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right="0"/>
        <w:jc w:val="center"/>
        <w:rPr>
          <w:rFonts w:ascii="Times New Roman" w:hAnsi="Times New Roman"/>
          <w:b w:val="1"/>
          <w:sz w:val="24"/>
        </w:rPr>
      </w:pPr>
      <w:r>
        <w:rPr>
          <w:rFonts w:ascii="Times New Roman" w:hAnsi="Times New Roman"/>
          <w:b w:val="1"/>
          <w:sz w:val="24"/>
        </w:rPr>
        <w:t>Муниципальный контракт</w:t>
      </w:r>
      <w:r>
        <w:rPr>
          <w:rFonts w:ascii="Times New Roman" w:hAnsi="Times New Roman"/>
          <w:b w:val="1"/>
          <w:sz w:val="24"/>
        </w:rPr>
        <w:t xml:space="preserve"> </w:t>
      </w:r>
      <w:r>
        <w:rPr>
          <w:rFonts w:ascii="Times New Roman" w:hAnsi="Times New Roman"/>
          <w:b w:val="1"/>
          <w:sz w:val="24"/>
        </w:rPr>
        <w:t>№</w:t>
      </w:r>
      <w:r>
        <w:rPr>
          <w:rFonts w:ascii="Times New Roman" w:hAnsi="Times New Roman"/>
          <w:b w:val="1"/>
          <w:sz w:val="24"/>
        </w:rPr>
        <w:t xml:space="preserve"> </w:t>
      </w:r>
      <w:r>
        <w:rPr>
          <w:rFonts w:ascii="Times New Roman" w:hAnsi="Times New Roman"/>
          <w:b w:val="1"/>
          <w:sz w:val="24"/>
        </w:rPr>
        <w:t>________</w:t>
      </w:r>
    </w:p>
    <w:p w14:paraId="02000000">
      <w:pPr>
        <w:widowControl w:val="1"/>
        <w:ind/>
        <w:jc w:val="center"/>
        <w:rPr>
          <w:color w:val="000000"/>
        </w:rPr>
      </w:pPr>
      <w:r>
        <w:rPr>
          <w:b w:val="1"/>
        </w:rPr>
        <w:t>н</w:t>
      </w:r>
      <w:r>
        <w:rPr>
          <w:b w:val="1"/>
        </w:rPr>
        <w:t>а поставку</w:t>
      </w:r>
      <w:r>
        <w:rPr>
          <w:b w:val="1"/>
        </w:rPr>
        <w:t xml:space="preserve"> </w:t>
      </w:r>
    </w:p>
    <w:p w14:paraId="03000000">
      <w:pPr>
        <w:pStyle w:val="Style_1"/>
        <w:widowControl w:val="1"/>
        <w:ind w:right="0"/>
        <w:jc w:val="center"/>
        <w:rPr>
          <w:rFonts w:ascii="Times New Roman" w:hAnsi="Times New Roman"/>
          <w:b w:val="1"/>
        </w:rPr>
      </w:pPr>
    </w:p>
    <w:p w14:paraId="04000000">
      <w:pPr>
        <w:widowControl w:val="1"/>
        <w:ind w:right="-5"/>
        <w:jc w:val="center"/>
        <w:rPr>
          <w:b w:val="1"/>
        </w:rPr>
      </w:pPr>
      <w:r>
        <w:rPr>
          <w:b w:val="1"/>
        </w:rPr>
        <w:t xml:space="preserve">ИКЗ </w:t>
      </w:r>
      <w:r>
        <w:t>263471202043847120100100030000000000</w:t>
      </w:r>
    </w:p>
    <w:p w14:paraId="05000000">
      <w:pPr>
        <w:pStyle w:val="Style_2"/>
      </w:pPr>
      <w:r>
        <w:t xml:space="preserve">г. Приозерск                                              </w:t>
      </w:r>
      <w:r>
        <w:t xml:space="preserve">                                      </w:t>
      </w:r>
      <w:r>
        <w:t xml:space="preserve">       «</w:t>
      </w:r>
      <w:r>
        <w:t xml:space="preserve">  </w:t>
      </w:r>
      <w:r>
        <w:t>»</w:t>
      </w:r>
      <w:r>
        <w:t xml:space="preserve"> </w:t>
      </w:r>
      <w:r>
        <w:t xml:space="preserve">                        </w:t>
      </w:r>
      <w:r>
        <w:t xml:space="preserve"> </w:t>
      </w:r>
      <w:r>
        <w:t>20</w:t>
      </w:r>
      <w:r>
        <w:t>26</w:t>
      </w:r>
      <w:r>
        <w:t xml:space="preserve"> г.</w:t>
      </w:r>
      <w:r>
        <w:t xml:space="preserve"> </w:t>
      </w:r>
    </w:p>
    <w:p w14:paraId="06000000">
      <w:pPr>
        <w:pStyle w:val="Style_3"/>
        <w:widowControl w:val="1"/>
        <w:ind/>
        <w:jc w:val="both"/>
        <w:rPr>
          <w:rFonts w:ascii="Times New Roman" w:hAnsi="Times New Roman"/>
          <w:sz w:val="24"/>
        </w:rPr>
      </w:pPr>
      <w:r>
        <w:rPr>
          <w:rFonts w:ascii="Times New Roman" w:hAnsi="Times New Roman"/>
          <w:sz w:val="24"/>
        </w:rPr>
        <w:t xml:space="preserve">         </w:t>
      </w:r>
    </w:p>
    <w:p w14:paraId="07000000">
      <w:pPr>
        <w:widowControl w:val="1"/>
        <w:ind w:firstLine="567" w:left="-567"/>
        <w:jc w:val="both"/>
      </w:pPr>
      <w:r>
        <w:t>Муниципальное дошкольное образовате</w:t>
      </w:r>
      <w:r>
        <w:t>льное учреждение «Детский сад №</w:t>
      </w:r>
      <w:r>
        <w:t>1</w:t>
      </w:r>
      <w:r>
        <w:t>5</w:t>
      </w:r>
      <w:r>
        <w:t xml:space="preserve">» </w:t>
      </w:r>
      <w:r>
        <w:t xml:space="preserve">в дальнейшем </w:t>
      </w:r>
      <w:r>
        <w:rPr>
          <w:b w:val="1"/>
        </w:rPr>
        <w:t>«</w:t>
      </w:r>
      <w:r>
        <w:rPr>
          <w:b w:val="1"/>
        </w:rPr>
        <w:t>Заказчик</w:t>
      </w:r>
      <w:r>
        <w:rPr>
          <w:b w:val="1"/>
        </w:rPr>
        <w:t>»</w:t>
      </w:r>
      <w:r>
        <w:t xml:space="preserve">, в лице </w:t>
      </w:r>
      <w:r>
        <w:t>заведующе</w:t>
      </w:r>
      <w:r>
        <w:t>го</w:t>
      </w:r>
      <w:r>
        <w:t xml:space="preserve"> </w:t>
      </w:r>
      <w:r>
        <w:t>Шумиловой Татьяны Михайловны</w:t>
      </w:r>
      <w:r>
        <w:t xml:space="preserve">, </w:t>
      </w:r>
      <w:r>
        <w:rPr>
          <w:spacing w:val="5"/>
        </w:rPr>
        <w:t>действующей на основании Устава, с одной стороны</w:t>
      </w:r>
      <w:r>
        <w:t xml:space="preserve"> и </w:t>
      </w:r>
      <w:r>
        <w:t>_____________________________________</w:t>
      </w:r>
      <w:r>
        <w:t>, в лице ___________________________________, действующий на основании ________</w:t>
      </w:r>
      <w:r>
        <w:t>____________</w:t>
      </w:r>
      <w:r>
        <w:t xml:space="preserve">, совместно именуемые далее – «Стороны» заключили настоящий муниципальный контракт, именуемый в дальнейшем </w:t>
      </w:r>
      <w:r>
        <w:rPr>
          <w:b w:val="1"/>
        </w:rPr>
        <w:t>«Контракт»</w:t>
      </w:r>
      <w:r>
        <w:t>, о нижеследующем:</w:t>
      </w:r>
    </w:p>
    <w:p w14:paraId="08000000">
      <w:pPr>
        <w:widowControl w:val="1"/>
        <w:ind w:firstLine="567" w:left="-567"/>
        <w:jc w:val="both"/>
        <w:rPr>
          <w:sz w:val="22"/>
        </w:rPr>
      </w:pPr>
    </w:p>
    <w:p w14:paraId="09000000">
      <w:pPr>
        <w:pStyle w:val="Style_3"/>
        <w:widowControl w:val="1"/>
        <w:ind/>
        <w:jc w:val="center"/>
        <w:rPr>
          <w:rFonts w:ascii="Times New Roman" w:hAnsi="Times New Roman"/>
          <w:b w:val="1"/>
          <w:color w:val="000000"/>
        </w:rPr>
      </w:pPr>
      <w:r>
        <w:rPr>
          <w:rFonts w:ascii="Times New Roman" w:hAnsi="Times New Roman"/>
          <w:b w:val="1"/>
          <w:color w:val="000000"/>
        </w:rPr>
        <w:t>1. Предмет муниципального контракта</w:t>
      </w:r>
    </w:p>
    <w:p w14:paraId="0A000000">
      <w:pPr>
        <w:widowControl w:val="1"/>
        <w:ind w:left="-540"/>
        <w:jc w:val="both"/>
      </w:pPr>
      <w:r>
        <w:t xml:space="preserve">   </w:t>
      </w:r>
      <w:r>
        <w:t xml:space="preserve">       </w:t>
      </w:r>
      <w:r>
        <w:t xml:space="preserve">   1.1. </w:t>
      </w:r>
      <w:r>
        <w:rPr>
          <w:color w:val="000000"/>
        </w:rPr>
        <w:t>Н</w:t>
      </w:r>
      <w:r>
        <w:t xml:space="preserve">астоящий контракт заключается с единственным поставщиком </w:t>
      </w:r>
      <w:r>
        <w:t xml:space="preserve">в соответствии с пунктом </w:t>
      </w:r>
      <w:r>
        <w:t>4</w:t>
      </w:r>
      <w:r>
        <w:t xml:space="preserve"> </w:t>
      </w:r>
      <w:r>
        <w:t xml:space="preserve">часть </w:t>
      </w:r>
      <w:r>
        <w:t>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0B000000">
      <w:pPr>
        <w:pStyle w:val="Style_1"/>
        <w:widowControl w:val="1"/>
        <w:ind w:left="-540" w:right="0"/>
        <w:jc w:val="both"/>
        <w:rPr>
          <w:rFonts w:ascii="Times New Roman" w:hAnsi="Times New Roman"/>
          <w:sz w:val="24"/>
        </w:rPr>
      </w:pP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1.2.</w:t>
      </w:r>
      <w:r>
        <w:rPr>
          <w:rFonts w:ascii="Times New Roman" w:hAnsi="Times New Roman"/>
          <w:sz w:val="24"/>
        </w:rPr>
        <w:t xml:space="preserve"> Поставщик обязуется поставить </w:t>
      </w:r>
      <w:r>
        <w:rPr>
          <w:rFonts w:ascii="Times New Roman" w:hAnsi="Times New Roman"/>
          <w:sz w:val="24"/>
        </w:rPr>
        <w:t>и передать Заказчику товар, в соответствии с</w:t>
      </w:r>
      <w:r>
        <w:rPr>
          <w:rFonts w:ascii="Times New Roman" w:hAnsi="Times New Roman"/>
          <w:sz w:val="24"/>
        </w:rPr>
        <w:t>о спецификацией</w:t>
      </w:r>
      <w:r>
        <w:rPr>
          <w:rFonts w:ascii="Times New Roman" w:hAnsi="Times New Roman"/>
          <w:sz w:val="24"/>
        </w:rPr>
        <w:t xml:space="preserve"> (Приложение № 1) Заказчика, а Заказчик оплатить в порядке и сроки, установленные настоящим Контрактом, полученный товар.  </w:t>
      </w:r>
    </w:p>
    <w:p w14:paraId="0C000000">
      <w:pPr>
        <w:pStyle w:val="Style_2"/>
        <w:widowControl w:val="1"/>
        <w:ind w:firstLine="567" w:left="-567" w:right="486"/>
      </w:pPr>
      <w:r>
        <w:t>1.3. Поставка товара осуществляется Поставщиком на объект</w:t>
      </w:r>
      <w:r>
        <w:t xml:space="preserve">: </w:t>
      </w:r>
      <w:r>
        <w:t>Муниципальное дошкольное образовате</w:t>
      </w:r>
      <w:r>
        <w:t>льное учреждение «Детский сад №</w:t>
      </w:r>
      <w:r>
        <w:t>1</w:t>
      </w:r>
      <w:r>
        <w:t>5</w:t>
      </w:r>
      <w:r>
        <w:t xml:space="preserve">», расположенного по адресу: </w:t>
      </w:r>
      <w:r>
        <w:t>188730 Ленинградская область,</w:t>
      </w:r>
      <w:r>
        <w:t xml:space="preserve"> </w:t>
      </w:r>
      <w:r>
        <w:t>Приозерский район, деревня Снегирёвка, улица Школьная</w:t>
      </w:r>
      <w:r>
        <w:t xml:space="preserve"> </w:t>
      </w:r>
      <w:r>
        <w:t>дом 20а</w:t>
      </w:r>
      <w:r>
        <w:t>.</w:t>
      </w:r>
      <w:r>
        <w:t xml:space="preserve"> </w:t>
      </w:r>
      <w:r>
        <w:t xml:space="preserve">в течении </w:t>
      </w:r>
      <w:r>
        <w:t>20</w:t>
      </w:r>
      <w:r>
        <w:t xml:space="preserve"> рабочих дней с момента подписания контракта.</w:t>
      </w:r>
    </w:p>
    <w:p w14:paraId="0D000000">
      <w:pPr>
        <w:pStyle w:val="Style_2"/>
        <w:widowControl w:val="1"/>
        <w:tabs>
          <w:tab w:leader="none" w:pos="0" w:val="left"/>
        </w:tabs>
        <w:ind w:right="486"/>
      </w:pPr>
    </w:p>
    <w:p w14:paraId="0E000000">
      <w:pPr>
        <w:pStyle w:val="Style_2"/>
        <w:widowControl w:val="1"/>
        <w:tabs>
          <w:tab w:leader="none" w:pos="405" w:val="left"/>
        </w:tabs>
        <w:ind w:left="-540"/>
        <w:jc w:val="center"/>
        <w:rPr>
          <w:b w:val="1"/>
        </w:rPr>
      </w:pPr>
      <w:r>
        <w:rPr>
          <w:b w:val="1"/>
        </w:rPr>
        <w:t>2. Цена и порядок расчетов.</w:t>
      </w:r>
    </w:p>
    <w:p w14:paraId="0F000000">
      <w:pPr>
        <w:pStyle w:val="Style_2"/>
        <w:widowControl w:val="1"/>
        <w:tabs>
          <w:tab w:leader="none" w:pos="405" w:val="left"/>
        </w:tabs>
        <w:ind w:firstLine="540" w:left="-540"/>
        <w:rPr>
          <w:b w:val="1"/>
        </w:rPr>
      </w:pPr>
      <w:r>
        <w:t xml:space="preserve"> 2.1.</w:t>
      </w:r>
      <w:r>
        <w:rPr>
          <w:b w:val="1"/>
        </w:rPr>
        <w:t xml:space="preserve"> </w:t>
      </w:r>
      <w:r>
        <w:t>Общая стоимость настоящего Контракта составляет</w:t>
      </w:r>
      <w:r>
        <w:t>:</w:t>
      </w:r>
      <w:r>
        <w:t xml:space="preserve"> </w:t>
      </w:r>
      <w:r>
        <w:t>________________________</w:t>
      </w:r>
    </w:p>
    <w:p w14:paraId="10000000">
      <w:pPr>
        <w:pStyle w:val="Style_3"/>
        <w:widowControl w:val="1"/>
        <w:tabs>
          <w:tab w:leader="none" w:pos="5748" w:val="left"/>
        </w:tabs>
        <w:ind w:left="-54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 xml:space="preserve">    </w:t>
      </w:r>
      <w:r>
        <w:rPr>
          <w:rFonts w:ascii="Times New Roman" w:hAnsi="Times New Roman"/>
          <w:color w:val="000000"/>
          <w:sz w:val="24"/>
        </w:rPr>
        <w:t xml:space="preserve">2.2. В цену товара входят: </w:t>
      </w:r>
      <w:r>
        <w:rPr>
          <w:rFonts w:ascii="Times New Roman" w:hAnsi="Times New Roman"/>
          <w:color w:val="000000"/>
          <w:sz w:val="24"/>
        </w:rPr>
        <w:tab/>
      </w:r>
    </w:p>
    <w:p w14:paraId="11000000">
      <w:pPr>
        <w:pStyle w:val="Style_3"/>
        <w:widowControl w:val="1"/>
        <w:ind w:left="-284"/>
        <w:jc w:val="both"/>
        <w:rPr>
          <w:rFonts w:ascii="Times New Roman" w:hAnsi="Times New Roman"/>
          <w:color w:val="000000"/>
          <w:sz w:val="24"/>
        </w:rPr>
      </w:pPr>
      <w:r>
        <w:rPr>
          <w:rFonts w:ascii="Times New Roman" w:hAnsi="Times New Roman"/>
          <w:color w:val="000000"/>
          <w:sz w:val="24"/>
        </w:rPr>
        <w:t xml:space="preserve">      2.2.1. транспортные расходы по доставке товара до места назначения, включая</w:t>
      </w:r>
      <w:r>
        <w:rPr>
          <w:rFonts w:ascii="Times New Roman" w:hAnsi="Times New Roman"/>
          <w:color w:val="000000"/>
          <w:sz w:val="24"/>
        </w:rPr>
        <w:t xml:space="preserve"> погрузочно</w:t>
      </w:r>
      <w:r>
        <w:rPr>
          <w:rFonts w:ascii="Times New Roman" w:hAnsi="Times New Roman"/>
          <w:color w:val="000000"/>
          <w:sz w:val="24"/>
        </w:rPr>
        <w:t>-разгрузочные работы</w:t>
      </w:r>
      <w:r>
        <w:rPr>
          <w:rFonts w:ascii="Times New Roman" w:hAnsi="Times New Roman"/>
          <w:color w:val="000000"/>
          <w:sz w:val="24"/>
        </w:rPr>
        <w:t>;</w:t>
      </w:r>
    </w:p>
    <w:p w14:paraId="12000000">
      <w:pPr>
        <w:pStyle w:val="Style_3"/>
        <w:widowControl w:val="1"/>
        <w:numPr>
          <w:ilvl w:val="2"/>
          <w:numId w:val="1"/>
        </w:numPr>
        <w:tabs>
          <w:tab w:leader="none" w:pos="0" w:val="left"/>
          <w:tab w:leader="none" w:pos="540" w:val="clear"/>
          <w:tab w:leader="none" w:pos="567" w:val="left"/>
        </w:tabs>
        <w:ind w:firstLine="27" w:left="0"/>
        <w:jc w:val="both"/>
        <w:rPr>
          <w:rFonts w:ascii="Times New Roman" w:hAnsi="Times New Roman"/>
          <w:color w:val="000000"/>
          <w:sz w:val="24"/>
        </w:rPr>
      </w:pPr>
      <w:r>
        <w:rPr>
          <w:rFonts w:ascii="Times New Roman" w:hAnsi="Times New Roman"/>
          <w:color w:val="000000"/>
          <w:sz w:val="24"/>
        </w:rPr>
        <w:t>налоги, сборы и другие обязательные платежи</w:t>
      </w:r>
      <w:r>
        <w:rPr>
          <w:rFonts w:ascii="Times New Roman" w:hAnsi="Times New Roman"/>
          <w:color w:val="000000"/>
          <w:sz w:val="24"/>
        </w:rPr>
        <w:t>.</w:t>
      </w:r>
    </w:p>
    <w:p w14:paraId="13000000">
      <w:pPr>
        <w:pStyle w:val="Style_3"/>
        <w:widowControl w:val="1"/>
        <w:numPr>
          <w:ilvl w:val="1"/>
          <w:numId w:val="1"/>
        </w:numPr>
        <w:tabs>
          <w:tab w:leader="none" w:pos="284" w:val="left"/>
        </w:tabs>
        <w:ind w:firstLine="567" w:left="-567"/>
        <w:jc w:val="both"/>
        <w:rPr>
          <w:rFonts w:ascii="Times New Roman" w:hAnsi="Times New Roman"/>
          <w:sz w:val="24"/>
        </w:rPr>
      </w:pPr>
      <w:r>
        <w:rPr>
          <w:rFonts w:ascii="Times New Roman" w:hAnsi="Times New Roman"/>
          <w:sz w:val="24"/>
        </w:rPr>
        <w:t>Р</w:t>
      </w:r>
      <w:r>
        <w:rPr>
          <w:rFonts w:ascii="Times New Roman" w:hAnsi="Times New Roman"/>
          <w:sz w:val="24"/>
        </w:rPr>
        <w:t xml:space="preserve">асчет, в размере </w:t>
      </w:r>
      <w:r>
        <w:rPr>
          <w:rFonts w:ascii="Times New Roman" w:hAnsi="Times New Roman"/>
          <w:sz w:val="24"/>
        </w:rPr>
        <w:t>10</w:t>
      </w:r>
      <w:r>
        <w:rPr>
          <w:rFonts w:ascii="Times New Roman" w:hAnsi="Times New Roman"/>
          <w:sz w:val="24"/>
        </w:rPr>
        <w:t xml:space="preserve">0% стоимости товара, производится в течение </w:t>
      </w:r>
      <w:r>
        <w:rPr>
          <w:rFonts w:ascii="Times New Roman" w:hAnsi="Times New Roman"/>
          <w:sz w:val="24"/>
        </w:rPr>
        <w:t>10-ти рабочих</w:t>
      </w:r>
      <w:r>
        <w:rPr>
          <w:rFonts w:ascii="Times New Roman" w:hAnsi="Times New Roman"/>
          <w:sz w:val="24"/>
        </w:rPr>
        <w:t xml:space="preserve"> дней после подписания </w:t>
      </w:r>
      <w:r>
        <w:rPr>
          <w:rFonts w:ascii="Times New Roman" w:hAnsi="Times New Roman"/>
          <w:color w:val="000000"/>
          <w:sz w:val="24"/>
        </w:rPr>
        <w:t>Универсального передаточного документа</w:t>
      </w:r>
      <w:r>
        <w:rPr>
          <w:rFonts w:ascii="Times New Roman" w:hAnsi="Times New Roman"/>
          <w:sz w:val="24"/>
        </w:rPr>
        <w:t>.</w:t>
      </w:r>
    </w:p>
    <w:p w14:paraId="14000000">
      <w:pPr>
        <w:widowControl w:val="1"/>
        <w:numPr>
          <w:ilvl w:val="1"/>
          <w:numId w:val="1"/>
        </w:numPr>
        <w:tabs>
          <w:tab w:leader="none" w:pos="426" w:val="left"/>
          <w:tab w:leader="none" w:pos="450" w:val="clear"/>
        </w:tabs>
        <w:ind w:firstLine="567" w:left="-567"/>
        <w:jc w:val="both"/>
      </w:pPr>
      <w:r>
        <w:t>Денежные средства перечисляются на расчетный счет Поставщика</w:t>
      </w:r>
      <w:r>
        <w:rPr>
          <w:color w:val="000000"/>
        </w:rPr>
        <w:t xml:space="preserve">, </w:t>
      </w:r>
      <w:r>
        <w:rPr>
          <w:color w:val="000000"/>
        </w:rPr>
        <w:t>д</w:t>
      </w:r>
      <w:r>
        <w:t>нем оплаты считается день списания денежных средств с расчетного счета Заказчика.</w:t>
      </w:r>
    </w:p>
    <w:p w14:paraId="15000000">
      <w:pPr>
        <w:widowControl w:val="1"/>
        <w:tabs>
          <w:tab w:leader="none" w:pos="1620" w:val="left"/>
        </w:tabs>
        <w:ind w:firstLine="567" w:left="-567"/>
        <w:jc w:val="both"/>
      </w:pPr>
      <w:r>
        <w:t>2.5.</w:t>
      </w:r>
      <w:r>
        <w:t xml:space="preserve"> </w:t>
      </w:r>
      <w:r>
        <w:t>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 на поставку которых заключен контракт, или при выявлении потребности в дополнительном  количестве товаров, не предусмотренных контрактом,  но связанных с поставками, предусмотренными контрактом. При этом по согласованию с Поставщиком, заказчик вправе изменить цену контракта пропорционально объему указанных дополнительных поставок, но не более чем на десять процентов такой цены.</w:t>
      </w:r>
    </w:p>
    <w:p w14:paraId="16000000">
      <w:pPr>
        <w:widowControl w:val="1"/>
        <w:tabs>
          <w:tab w:leader="none" w:pos="1620" w:val="left"/>
        </w:tabs>
        <w:ind w:firstLine="567" w:left="-567"/>
        <w:jc w:val="both"/>
      </w:pPr>
      <w:r>
        <w:t xml:space="preserve">2.6.  При сокращении потребности в поставке товаров, предусмотренных контрактом, заказчик по согласованию с Поставщиком, вправе уменьшить количество товаров и цену контракта. Цена контракта при сокращении потребности в поставке части такого товара определяется как частное от деления первоначальной цены контракта на предусмотренное в контракте количество такого товара. </w:t>
      </w:r>
    </w:p>
    <w:p w14:paraId="17000000">
      <w:pPr>
        <w:widowControl w:val="1"/>
        <w:tabs>
          <w:tab w:leader="none" w:pos="1620" w:val="left"/>
        </w:tabs>
        <w:ind w:firstLine="567" w:left="-567"/>
        <w:jc w:val="both"/>
      </w:pPr>
      <w:r>
        <w:t xml:space="preserve">2.7. Цена муниципального контракта может быть снижена по соглашению сторон без изменения предусмотренных контрактом количества товаров, объема работ, услуг и иных условий исполнения муниципального контракта.  </w:t>
      </w:r>
    </w:p>
    <w:p w14:paraId="18000000">
      <w:pPr>
        <w:widowControl w:val="1"/>
        <w:tabs>
          <w:tab w:leader="none" w:pos="1620" w:val="left"/>
        </w:tabs>
        <w:ind w:firstLine="567" w:left="-567"/>
        <w:jc w:val="both"/>
      </w:pPr>
      <w:r>
        <w:t xml:space="preserve">2.8. </w:t>
      </w:r>
      <w:r>
        <w:t>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19000000">
      <w:pPr>
        <w:pStyle w:val="Style_3"/>
        <w:widowControl w:val="1"/>
        <w:ind/>
        <w:jc w:val="center"/>
        <w:rPr>
          <w:rFonts w:ascii="Times New Roman" w:hAnsi="Times New Roman"/>
          <w:b w:val="1"/>
          <w:color w:val="000000"/>
          <w:sz w:val="24"/>
        </w:rPr>
      </w:pPr>
      <w:r>
        <w:rPr>
          <w:rFonts w:ascii="Times New Roman" w:hAnsi="Times New Roman"/>
          <w:b w:val="1"/>
          <w:color w:val="000000"/>
          <w:sz w:val="24"/>
        </w:rPr>
        <w:t>3. Гарантии качества товаров.</w:t>
      </w:r>
    </w:p>
    <w:p w14:paraId="1A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Поставщик гарантирует, что весь поставляемый по настоящему Контракту товар соответствует требованиям государственных стандартов на данный вид товара.</w:t>
      </w:r>
    </w:p>
    <w:p w14:paraId="1B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 xml:space="preserve">Весь товар, подлежащий в соответствии с законодательством Российской Федерации обязательной сертификации, должен иметь соответствующие сертификаты. Копии сертификатов на материалы, из которых выполнен товар, заверенные Поставщиком, передаются Заказчику вместе с товаром. </w:t>
      </w:r>
    </w:p>
    <w:p w14:paraId="1C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  половины стоимости такого товара.</w:t>
      </w:r>
    </w:p>
    <w:p w14:paraId="1D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sz w:val="24"/>
        </w:rPr>
        <w:t>Транспортные издержки, связанные с перевозками Товара ненадлежащего качества, несет виновная сторона.</w:t>
      </w:r>
    </w:p>
    <w:p w14:paraId="1E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sz w:val="24"/>
        </w:rPr>
        <w:t>Дефекты Товара, возникшие при транспортировке и погрузочно-разгрузочных работах, относятся за счет Поставщика.</w:t>
      </w:r>
    </w:p>
    <w:p w14:paraId="1F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Весь товар должен сопровождаться инструкцией по эксплуатации на русском языке.</w:t>
      </w:r>
    </w:p>
    <w:p w14:paraId="20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 xml:space="preserve">Срок гарантии на поставляемый товар </w:t>
      </w:r>
      <w:r>
        <w:rPr>
          <w:rFonts w:ascii="Times New Roman" w:hAnsi="Times New Roman"/>
          <w:sz w:val="24"/>
        </w:rPr>
        <w:t xml:space="preserve">определяется в рамках гарантийных сроков, установленных заводом-изготовителем, но в любом случае не может </w:t>
      </w:r>
      <w:r>
        <w:rPr>
          <w:rFonts w:ascii="Times New Roman" w:hAnsi="Times New Roman"/>
          <w:color w:val="000000"/>
          <w:sz w:val="24"/>
        </w:rPr>
        <w:t>составлять менее 1 года с момента передачи товара Заказчику.</w:t>
      </w:r>
    </w:p>
    <w:p w14:paraId="21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sz w:val="24"/>
        </w:rPr>
        <w:t>Под «Гарантийным случаем» понимается неисправность товара, или его составной части, выявленная при его установке, запуске или использовании в течение срока гарантии, и не являющаяся следствием ненадлежащего использования товара; правила надлежащего использования определены в поставляемой с товаром технической документации.</w:t>
      </w:r>
    </w:p>
    <w:p w14:paraId="22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sz w:val="24"/>
        </w:rPr>
        <w:t>Заказчик уведомляет Поставщика о возникновении Гарантийного случая по электронной почте, факсу или телефону указанным в адресной части Контракта, либо иным доступным способом.</w:t>
      </w:r>
    </w:p>
    <w:p w14:paraId="23000000">
      <w:pPr>
        <w:pStyle w:val="Style_3"/>
        <w:widowControl w:val="1"/>
        <w:numPr>
          <w:ilvl w:val="1"/>
          <w:numId w:val="2"/>
        </w:numPr>
        <w:tabs>
          <w:tab w:leader="none" w:pos="18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В течение 5 (пяти) рабочих дней, исчисляемых со дня поступления соответствующего уведомления, предусмотренного пунктом 3.9. Контракта, Поставщик обязан устранить в полной мере выявленную неисправность товара путем его ремонта, частичной или полной замены.</w:t>
      </w:r>
    </w:p>
    <w:p w14:paraId="24000000">
      <w:pPr>
        <w:pStyle w:val="Style_3"/>
        <w:widowControl w:val="1"/>
        <w:ind w:left="-540"/>
        <w:jc w:val="both"/>
        <w:rPr>
          <w:rFonts w:ascii="Times New Roman" w:hAnsi="Times New Roman"/>
          <w:color w:val="000000"/>
          <w:sz w:val="24"/>
        </w:rPr>
      </w:pPr>
      <w:r>
        <w:rPr>
          <w:rFonts w:ascii="Times New Roman" w:hAnsi="Times New Roman"/>
          <w:sz w:val="24"/>
        </w:rPr>
        <w:t>При неисполнении Поставщиком своих гарантийных обязательств по настоящему Контракту Заказчик вправе обратиться  в третью организацию либо  самостоятельно  выполнить необходимые мероприятия по устранению недостатков товара  с возложением  своих расходов  и  понесенных затрат на Поставщика.</w:t>
      </w:r>
    </w:p>
    <w:p w14:paraId="25000000">
      <w:pPr>
        <w:pStyle w:val="Style_3"/>
        <w:widowControl w:val="1"/>
        <w:ind w:firstLine="283" w:left="284"/>
        <w:jc w:val="center"/>
        <w:rPr>
          <w:rFonts w:ascii="Times New Roman" w:hAnsi="Times New Roman"/>
          <w:b w:val="1"/>
          <w:color w:val="000000"/>
          <w:sz w:val="24"/>
        </w:rPr>
      </w:pPr>
    </w:p>
    <w:p w14:paraId="26000000">
      <w:pPr>
        <w:pStyle w:val="Style_3"/>
        <w:widowControl w:val="1"/>
        <w:numPr>
          <w:ilvl w:val="0"/>
          <w:numId w:val="3"/>
        </w:numPr>
        <w:ind/>
        <w:jc w:val="center"/>
        <w:rPr>
          <w:rFonts w:ascii="Times New Roman" w:hAnsi="Times New Roman"/>
          <w:b w:val="1"/>
          <w:color w:val="000000"/>
          <w:sz w:val="24"/>
        </w:rPr>
      </w:pPr>
      <w:r>
        <w:rPr>
          <w:rFonts w:ascii="Times New Roman" w:hAnsi="Times New Roman"/>
          <w:b w:val="1"/>
          <w:color w:val="000000"/>
          <w:sz w:val="24"/>
        </w:rPr>
        <w:t>4.Порядок поставки и приемки-передачи товаров.</w:t>
      </w:r>
    </w:p>
    <w:p w14:paraId="27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 xml:space="preserve">Поставка товара осуществляется транспортом Поставщика либо силами привлеченной им транспортной организации, но за счет Поставщика, до места его приемки, определенного в пункте 1.3. настоящего Контракта. </w:t>
      </w:r>
      <w:r>
        <w:rPr>
          <w:rFonts w:ascii="Times New Roman" w:hAnsi="Times New Roman"/>
          <w:sz w:val="24"/>
        </w:rPr>
        <w:t>Транспортные средства должны быть приспособлены для безопасной перевозки Товара.</w:t>
      </w:r>
    </w:p>
    <w:p w14:paraId="28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Приемка товара по количеству и ассортименту, согласованному в соответствующей спецификации, а также по внешнему виду товара, осуществляется по месту назначения представителем Заказчика.</w:t>
      </w:r>
    </w:p>
    <w:p w14:paraId="29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 xml:space="preserve">Заказчик вправе отказаться от приемки и потребовать от Поставщика замены товара не соответствующего условиям данного </w:t>
      </w:r>
      <w:r>
        <w:rPr>
          <w:rFonts w:ascii="Times New Roman" w:hAnsi="Times New Roman"/>
          <w:color w:val="000000"/>
          <w:sz w:val="24"/>
        </w:rPr>
        <w:t>К</w:t>
      </w:r>
      <w:r>
        <w:rPr>
          <w:rFonts w:ascii="Times New Roman" w:hAnsi="Times New Roman"/>
          <w:color w:val="000000"/>
          <w:sz w:val="24"/>
        </w:rPr>
        <w:t>онтракта, в том числе поврежденного, загрязненного, некомплектного, не входящего в ассортимент, на котором отсутствует знак соответствия или в случае не предъявления сертификата.</w:t>
      </w:r>
    </w:p>
    <w:p w14:paraId="2A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w:t>
      </w:r>
    </w:p>
    <w:p w14:paraId="2B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Универсальный передаточный документ</w:t>
      </w:r>
      <w:r>
        <w:rPr>
          <w:rFonts w:ascii="Times New Roman" w:hAnsi="Times New Roman"/>
          <w:color w:val="000000"/>
          <w:sz w:val="24"/>
        </w:rPr>
        <w:t xml:space="preserve"> подписывается представителем Заказчика по окончании приемки товара в полном объеме, предусмотренном условиями настоящего Контракта. Датой поставки считается дата подписания </w:t>
      </w:r>
      <w:r>
        <w:rPr>
          <w:rFonts w:ascii="Times New Roman" w:hAnsi="Times New Roman"/>
          <w:color w:val="000000"/>
          <w:sz w:val="24"/>
        </w:rPr>
        <w:t>Универсального передаточного документа</w:t>
      </w:r>
      <w:r>
        <w:rPr>
          <w:rFonts w:ascii="Times New Roman" w:hAnsi="Times New Roman"/>
          <w:color w:val="000000"/>
          <w:sz w:val="24"/>
        </w:rPr>
        <w:t>.</w:t>
      </w:r>
    </w:p>
    <w:p w14:paraId="2C000000">
      <w:pPr>
        <w:pStyle w:val="Style_3"/>
        <w:widowControl w:val="1"/>
        <w:numPr>
          <w:ilvl w:val="1"/>
          <w:numId w:val="3"/>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Заказчиком.</w:t>
      </w:r>
    </w:p>
    <w:p w14:paraId="2D000000">
      <w:pPr>
        <w:pStyle w:val="Style_3"/>
        <w:widowControl w:val="1"/>
        <w:ind w:left="180"/>
        <w:jc w:val="both"/>
        <w:rPr>
          <w:rFonts w:ascii="Times New Roman" w:hAnsi="Times New Roman"/>
          <w:color w:val="000000"/>
          <w:sz w:val="24"/>
        </w:rPr>
      </w:pPr>
    </w:p>
    <w:p w14:paraId="2E000000">
      <w:pPr>
        <w:pStyle w:val="Style_3"/>
        <w:widowControl w:val="1"/>
        <w:ind w:left="-540"/>
        <w:jc w:val="center"/>
        <w:rPr>
          <w:rFonts w:ascii="Times New Roman" w:hAnsi="Times New Roman"/>
          <w:b w:val="1"/>
          <w:color w:val="000000"/>
          <w:sz w:val="24"/>
        </w:rPr>
      </w:pPr>
      <w:r>
        <w:rPr>
          <w:rFonts w:ascii="Times New Roman" w:hAnsi="Times New Roman"/>
          <w:b w:val="1"/>
          <w:color w:val="000000"/>
          <w:sz w:val="24"/>
        </w:rPr>
        <w:t>5. Упаковка.</w:t>
      </w:r>
    </w:p>
    <w:p w14:paraId="2F000000">
      <w:pPr>
        <w:pStyle w:val="Style_3"/>
        <w:widowControl w:val="1"/>
        <w:numPr>
          <w:ilvl w:val="1"/>
          <w:numId w:val="4"/>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Поставщик гарантирует:</w:t>
      </w:r>
    </w:p>
    <w:p w14:paraId="30000000">
      <w:pPr>
        <w:pStyle w:val="Style_3"/>
        <w:widowControl w:val="1"/>
        <w:numPr>
          <w:ilvl w:val="2"/>
          <w:numId w:val="4"/>
        </w:numPr>
        <w:ind w:firstLine="720" w:left="-540"/>
        <w:jc w:val="both"/>
        <w:rPr>
          <w:rFonts w:ascii="Times New Roman" w:hAnsi="Times New Roman"/>
          <w:color w:val="000000"/>
          <w:sz w:val="24"/>
        </w:rPr>
      </w:pPr>
      <w:r>
        <w:rPr>
          <w:rFonts w:ascii="Times New Roman" w:hAnsi="Times New Roman"/>
          <w:color w:val="000000"/>
          <w:sz w:val="24"/>
        </w:rPr>
        <w:t>Соответствие тары и/или упаковки обязательным требованиям, ее чистоту, а также сохранность товара при перевозке в этой таре и/или упаковке к месту назначения;</w:t>
      </w:r>
    </w:p>
    <w:p w14:paraId="31000000">
      <w:pPr>
        <w:pStyle w:val="Style_3"/>
        <w:widowControl w:val="1"/>
        <w:numPr>
          <w:ilvl w:val="2"/>
          <w:numId w:val="4"/>
        </w:numPr>
        <w:ind w:firstLine="720" w:left="-540"/>
        <w:jc w:val="both"/>
        <w:rPr>
          <w:rFonts w:ascii="Times New Roman" w:hAnsi="Times New Roman"/>
          <w:color w:val="000000"/>
          <w:sz w:val="24"/>
        </w:rPr>
      </w:pPr>
      <w:r>
        <w:rPr>
          <w:rFonts w:ascii="Times New Roman" w:hAnsi="Times New Roman"/>
          <w:color w:val="000000"/>
          <w:sz w:val="24"/>
        </w:rPr>
        <w:t>Соответствие транспорта требованиям нормативных правовых актов, предъявляемым к перевозке товара к месту назначения.</w:t>
      </w:r>
    </w:p>
    <w:p w14:paraId="32000000">
      <w:pPr>
        <w:pStyle w:val="Style_3"/>
        <w:widowControl w:val="1"/>
        <w:numPr>
          <w:ilvl w:val="1"/>
          <w:numId w:val="4"/>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Стоимость тары и/или упаковки включена в стоимость товара. Возврату тара и/или упаковка не подлежит.</w:t>
      </w:r>
    </w:p>
    <w:p w14:paraId="33000000">
      <w:pPr>
        <w:pStyle w:val="Style_3"/>
        <w:widowControl w:val="1"/>
        <w:ind w:left="-540"/>
        <w:jc w:val="center"/>
        <w:rPr>
          <w:rFonts w:ascii="Times New Roman" w:hAnsi="Times New Roman"/>
          <w:b w:val="1"/>
          <w:color w:val="000000"/>
          <w:sz w:val="24"/>
        </w:rPr>
      </w:pPr>
    </w:p>
    <w:p w14:paraId="34000000">
      <w:pPr>
        <w:pStyle w:val="Style_3"/>
        <w:widowControl w:val="1"/>
        <w:numPr>
          <w:ilvl w:val="0"/>
          <w:numId w:val="5"/>
        </w:numPr>
        <w:ind/>
        <w:jc w:val="center"/>
        <w:rPr>
          <w:rFonts w:ascii="Times New Roman" w:hAnsi="Times New Roman"/>
          <w:b w:val="1"/>
          <w:color w:val="000000"/>
          <w:sz w:val="24"/>
        </w:rPr>
      </w:pPr>
      <w:r>
        <w:rPr>
          <w:rFonts w:ascii="Times New Roman" w:hAnsi="Times New Roman"/>
          <w:b w:val="1"/>
          <w:color w:val="000000"/>
          <w:sz w:val="24"/>
        </w:rPr>
        <w:t xml:space="preserve">6.Срок действия Контракта, прочие условия </w:t>
      </w:r>
    </w:p>
    <w:p w14:paraId="35000000">
      <w:pPr>
        <w:pStyle w:val="Style_3"/>
        <w:widowControl w:val="1"/>
        <w:numPr>
          <w:ilvl w:val="1"/>
          <w:numId w:val="5"/>
        </w:numPr>
        <w:tabs>
          <w:tab w:leader="none" w:pos="720" w:val="left"/>
        </w:tabs>
        <w:ind w:firstLine="720" w:left="-540"/>
        <w:jc w:val="both"/>
        <w:rPr>
          <w:rFonts w:ascii="Times New Roman" w:hAnsi="Times New Roman"/>
          <w:sz w:val="24"/>
        </w:rPr>
      </w:pPr>
      <w:r>
        <w:rPr>
          <w:rFonts w:ascii="Times New Roman" w:hAnsi="Times New Roman"/>
          <w:sz w:val="24"/>
        </w:rPr>
        <w:t>Настоящий Контракт вступает в силу с момента его подписания обеими сторонами и действует до момента выполнения сторонами всех обязательств</w:t>
      </w:r>
      <w:r>
        <w:rPr>
          <w:rFonts w:ascii="Times New Roman" w:hAnsi="Times New Roman"/>
          <w:sz w:val="24"/>
        </w:rPr>
        <w:t xml:space="preserve">, но не позднее </w:t>
      </w:r>
      <w:r>
        <w:rPr>
          <w:rFonts w:ascii="Times New Roman" w:hAnsi="Times New Roman"/>
          <w:sz w:val="24"/>
        </w:rPr>
        <w:t>3</w:t>
      </w:r>
      <w:r>
        <w:rPr>
          <w:rFonts w:ascii="Times New Roman" w:hAnsi="Times New Roman"/>
          <w:sz w:val="24"/>
        </w:rPr>
        <w:t>1</w:t>
      </w:r>
      <w:r>
        <w:rPr>
          <w:rFonts w:ascii="Times New Roman" w:hAnsi="Times New Roman"/>
          <w:sz w:val="24"/>
        </w:rPr>
        <w:t xml:space="preserve"> </w:t>
      </w:r>
      <w:r>
        <w:rPr>
          <w:rFonts w:ascii="Times New Roman" w:hAnsi="Times New Roman"/>
          <w:sz w:val="24"/>
        </w:rPr>
        <w:t>декабря</w:t>
      </w:r>
      <w:r>
        <w:rPr>
          <w:rFonts w:ascii="Times New Roman" w:hAnsi="Times New Roman"/>
          <w:sz w:val="24"/>
        </w:rPr>
        <w:t xml:space="preserve"> </w:t>
      </w:r>
      <w:r>
        <w:rPr>
          <w:rFonts w:ascii="Times New Roman" w:hAnsi="Times New Roman"/>
          <w:sz w:val="24"/>
        </w:rPr>
        <w:t>20</w:t>
      </w:r>
      <w:r>
        <w:rPr>
          <w:rFonts w:ascii="Times New Roman" w:hAnsi="Times New Roman"/>
          <w:sz w:val="24"/>
        </w:rPr>
        <w:t>26</w:t>
      </w:r>
      <w:r>
        <w:rPr>
          <w:rFonts w:ascii="Times New Roman" w:hAnsi="Times New Roman"/>
          <w:sz w:val="24"/>
        </w:rPr>
        <w:t>года</w:t>
      </w:r>
      <w:r>
        <w:rPr>
          <w:rFonts w:ascii="Times New Roman" w:hAnsi="Times New Roman"/>
          <w:sz w:val="24"/>
        </w:rPr>
        <w:t>.</w:t>
      </w:r>
    </w:p>
    <w:p w14:paraId="36000000">
      <w:pPr>
        <w:pStyle w:val="Style_3"/>
        <w:widowControl w:val="1"/>
        <w:numPr>
          <w:ilvl w:val="1"/>
          <w:numId w:val="5"/>
        </w:numPr>
        <w:tabs>
          <w:tab w:leader="none" w:pos="720" w:val="left"/>
        </w:tabs>
        <w:ind w:firstLine="720" w:left="-540"/>
        <w:jc w:val="both"/>
        <w:rPr>
          <w:rFonts w:ascii="Times New Roman" w:hAnsi="Times New Roman"/>
          <w:color w:val="000000"/>
          <w:sz w:val="24"/>
        </w:rPr>
      </w:pPr>
      <w:r>
        <w:rPr>
          <w:rFonts w:ascii="Times New Roman" w:hAnsi="Times New Roman"/>
          <w:color w:val="000000"/>
          <w:sz w:val="24"/>
        </w:rPr>
        <w:t>Настоящий Контракт, может быть  расторгнут до окончания срока его действия по соглашению сторон, а также в одностороннем порядке по основаниям, установленным действующим законодательством РФ.</w:t>
      </w:r>
    </w:p>
    <w:p w14:paraId="37000000">
      <w:pPr>
        <w:pStyle w:val="Style_3"/>
        <w:widowControl w:val="1"/>
        <w:numPr>
          <w:ilvl w:val="1"/>
          <w:numId w:val="5"/>
        </w:numPr>
        <w:tabs>
          <w:tab w:leader="none" w:pos="720" w:val="left"/>
        </w:tabs>
        <w:ind w:firstLine="720" w:left="-540"/>
        <w:jc w:val="both"/>
        <w:rPr>
          <w:rFonts w:ascii="Times New Roman" w:hAnsi="Times New Roman"/>
          <w:b w:val="1"/>
          <w:sz w:val="24"/>
        </w:rPr>
      </w:pPr>
      <w:r>
        <w:rPr>
          <w:rFonts w:ascii="Times New Roman" w:hAnsi="Times New Roman"/>
          <w:sz w:val="24"/>
        </w:rPr>
        <w:t xml:space="preserve">Не могут </w:t>
      </w:r>
      <w:r>
        <w:rPr>
          <w:rFonts w:ascii="Times New Roman" w:hAnsi="Times New Roman"/>
          <w:sz w:val="24"/>
        </w:rPr>
        <w:t>быть изменены положения настоящего Контракта о цене, порядке осуществления Заказчиком приемки поставленного товара на соответствие его количества, комплектности, объема и качества.</w:t>
      </w:r>
      <w:r>
        <w:rPr>
          <w:rFonts w:ascii="Times New Roman" w:hAnsi="Times New Roman"/>
          <w:b w:val="1"/>
          <w:sz w:val="24"/>
        </w:rPr>
        <w:t xml:space="preserve"> </w:t>
      </w:r>
    </w:p>
    <w:p w14:paraId="38000000">
      <w:pPr>
        <w:pStyle w:val="Style_3"/>
        <w:widowControl w:val="1"/>
        <w:ind w:left="-540"/>
        <w:jc w:val="center"/>
        <w:rPr>
          <w:rFonts w:ascii="Times New Roman" w:hAnsi="Times New Roman"/>
          <w:b w:val="1"/>
          <w:color w:val="000000"/>
          <w:sz w:val="24"/>
        </w:rPr>
      </w:pPr>
    </w:p>
    <w:p w14:paraId="39000000">
      <w:pPr>
        <w:pStyle w:val="Style_3"/>
        <w:widowControl w:val="1"/>
        <w:numPr>
          <w:ilvl w:val="0"/>
          <w:numId w:val="6"/>
        </w:numPr>
        <w:ind/>
        <w:jc w:val="center"/>
        <w:rPr>
          <w:rFonts w:ascii="Times New Roman" w:hAnsi="Times New Roman"/>
          <w:b w:val="1"/>
          <w:color w:val="000000"/>
          <w:sz w:val="24"/>
        </w:rPr>
      </w:pPr>
      <w:r>
        <w:rPr>
          <w:rFonts w:ascii="Times New Roman" w:hAnsi="Times New Roman"/>
          <w:b w:val="1"/>
          <w:color w:val="000000"/>
          <w:sz w:val="24"/>
        </w:rPr>
        <w:t>Ответственность сторон.</w:t>
      </w:r>
    </w:p>
    <w:p w14:paraId="3A000000">
      <w:pPr>
        <w:widowControl w:val="1"/>
        <w:ind w:firstLine="709" w:left="-567"/>
        <w:jc w:val="both"/>
      </w:pPr>
      <w:r>
        <w:t>7.1.Стороны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14:paraId="3B000000">
      <w:pPr>
        <w:widowControl w:val="1"/>
        <w:ind w:firstLine="709" w:left="-567"/>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000000">
      <w:pPr>
        <w:widowControl w:val="1"/>
        <w:ind w:firstLine="709" w:left="-567"/>
        <w:jc w:val="both"/>
      </w:pPr>
      <w:r>
        <w:t xml:space="preserve">7.2.1.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D000000">
      <w:pPr>
        <w:widowControl w:val="1"/>
        <w:ind w:firstLine="709" w:left="-567"/>
        <w:jc w:val="both"/>
      </w:pPr>
      <w:r>
        <w:t>а) 1000 рублей, если цена контракта не превышает 3 млн. рублей (включительно);</w:t>
      </w:r>
    </w:p>
    <w:p w14:paraId="3E000000">
      <w:pPr>
        <w:widowControl w:val="1"/>
        <w:spacing w:before="120"/>
        <w:ind w:firstLine="709" w:left="-567"/>
        <w:jc w:val="both"/>
      </w:pPr>
      <w:r>
        <w:t>7.2.2.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w:t>
      </w:r>
    </w:p>
    <w:p w14:paraId="3F000000">
      <w:pPr>
        <w:widowControl w:val="1"/>
        <w:spacing w:before="120"/>
        <w:ind w:firstLine="709" w:left="-567"/>
        <w:jc w:val="both"/>
      </w:pPr>
      <w: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40000000">
      <w:pPr>
        <w:widowControl w:val="1"/>
        <w:spacing w:before="120"/>
        <w:ind w:firstLine="709" w:left="-567"/>
        <w:jc w:val="both"/>
      </w:pPr>
      <w:r>
        <w:t xml:space="preserve">7.3.1.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r>
        <w:rPr>
          <w:color w:val="0000FF"/>
          <w:u w:val="single"/>
        </w:rPr>
        <w:fldChar w:fldCharType="begin"/>
      </w:r>
      <w:r>
        <w:rPr>
          <w:color w:val="0000FF"/>
          <w:u w:val="single"/>
        </w:rPr>
        <w:instrText>HYPERLINK "consultantplus://offline/ref=5E4B7455BC90F61640E35C16721C52E20D420136E189DB103173C095B4E34BDBE16856F80704FF14N1a1L"</w:instrText>
      </w:r>
      <w:r>
        <w:rPr>
          <w:color w:val="0000FF"/>
          <w:u w:val="single"/>
        </w:rPr>
        <w:fldChar w:fldCharType="separate"/>
      </w:r>
      <w:r>
        <w:rPr>
          <w:color w:val="0000FF"/>
          <w:u w:val="single"/>
        </w:rPr>
        <w:t>пунктом 1 части 1 статьи 30</w:t>
      </w:r>
      <w:r>
        <w:rPr>
          <w:color w:val="0000FF"/>
          <w:u w:val="single"/>
        </w:rPr>
        <w:fldChar w:fldCharType="end"/>
      </w:r>
      <w: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41000000">
      <w:pPr>
        <w:widowControl w:val="1"/>
        <w:ind w:firstLine="709" w:left="-567"/>
        <w:jc w:val="both"/>
      </w:pPr>
      <w:r>
        <w:t>а) 3 процента цены контракта (этапа) в случае, если цена контракта (этапа) не превышает 3 млн. рублей;</w:t>
      </w:r>
    </w:p>
    <w:p w14:paraId="42000000">
      <w:pPr>
        <w:widowControl w:val="1"/>
        <w:ind w:firstLine="709" w:left="-567"/>
        <w:jc w:val="both"/>
      </w:pPr>
      <w:r>
        <w:t>б) 2 процента цены контракта (этапа) в случае, если цена контракта (этапа) составляет от 3 млн. рублей до 10 млн. рублей (включительно).</w:t>
      </w:r>
    </w:p>
    <w:p w14:paraId="43000000">
      <w:pPr>
        <w:widowControl w:val="1"/>
        <w:spacing w:after="120" w:before="120"/>
        <w:ind w:firstLine="709" w:left="-567"/>
        <w:jc w:val="both"/>
      </w:pPr>
      <w:r>
        <w:t>7.3.2 Пеня начисляется за каждый день просрочки исполнения Поставщиком обязательств, предусмотренных Контрактом, начиная со дня, следующего после дня истечения установленного Контрактом срока исполнения указанного обязательства.</w:t>
      </w:r>
    </w:p>
    <w:p w14:paraId="44000000">
      <w:pPr>
        <w:widowControl w:val="1"/>
        <w:ind w:firstLine="709" w:left="-567"/>
        <w:jc w:val="both"/>
      </w:pPr>
      <w:r>
        <w:t>7.3.3.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p>
    <w:p w14:paraId="45000000">
      <w:pPr>
        <w:widowControl w:val="1"/>
        <w:ind w:firstLine="709" w:left="-567"/>
        <w:jc w:val="both"/>
      </w:pPr>
      <w:r>
        <w:t>7.4.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46000000">
      <w:pPr>
        <w:widowControl w:val="1"/>
        <w:ind w:firstLine="709" w:left="-567"/>
        <w:jc w:val="both"/>
      </w:pPr>
      <w: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7000000">
      <w:pPr>
        <w:widowControl w:val="1"/>
        <w:ind w:firstLine="709" w:left="-567"/>
        <w:jc w:val="both"/>
      </w:pPr>
      <w:r>
        <w:t>7.6. Ответственность за причинение какого-либо вреда здоровью, жизни и(или) имуществу третьих лиц, вызванных действиями, либо бездействием Поставщика при выполнении обязательств по настоящему контракту несет Поставщик.</w:t>
      </w:r>
    </w:p>
    <w:p w14:paraId="48000000">
      <w:pPr>
        <w:widowControl w:val="1"/>
        <w:ind w:firstLine="709" w:left="-567"/>
        <w:jc w:val="both"/>
      </w:pPr>
      <w:r>
        <w:t>7.7. Указанная в настоящем разделе неустойка взимается за каждое нарушение в отдельности.</w:t>
      </w:r>
    </w:p>
    <w:p w14:paraId="49000000">
      <w:pPr>
        <w:widowControl w:val="1"/>
        <w:ind w:firstLine="709" w:left="-567"/>
        <w:jc w:val="both"/>
      </w:pPr>
      <w:r>
        <w:t xml:space="preserve">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A000000">
      <w:pPr>
        <w:widowControl w:val="1"/>
        <w:ind w:firstLine="709" w:left="-567"/>
        <w:jc w:val="both"/>
      </w:pPr>
      <w:r>
        <w:t>7.9. Уплата неустойки (штрафа, пени) не освобождает Стороны от выполнения принятых обязательств по Контракту.</w:t>
      </w:r>
    </w:p>
    <w:p w14:paraId="4B000000">
      <w:pPr>
        <w:widowControl w:val="1"/>
        <w:ind w:firstLine="709" w:left="-567"/>
        <w:jc w:val="both"/>
      </w:pPr>
      <w:r>
        <w:t xml:space="preserve">7.10.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не противоречит требованиям </w:t>
      </w:r>
      <w:r>
        <w:rPr>
          <w:color w:val="0000FF"/>
          <w:u w:val="single"/>
        </w:rPr>
        <w:fldChar w:fldCharType="begin"/>
      </w:r>
      <w:r>
        <w:rPr>
          <w:color w:val="0000FF"/>
          <w:u w:val="single"/>
        </w:rPr>
        <w:instrText>HYPERLINK "consultantplus://offline/ref=8235A0813BB725B24B4987C7FE38922658C78B67AB7E20FECA2F30D746lAe5IОконтрактнойсистемевсферезакупоктоваров,работ,услугдляобеспечениягосударственныхимуниципальныхнужд{КонсультантПлюс}" \o "Федеральный закон от 05.04.2013 N 44-ФЗ (ред. от 30.12.2015)"</w:instrText>
      </w:r>
      <w:r>
        <w:rPr>
          <w:color w:val="0000FF"/>
          <w:u w:val="single"/>
        </w:rPr>
        <w:fldChar w:fldCharType="separate"/>
      </w:r>
      <w:r>
        <w:rPr>
          <w:color w:val="0000FF"/>
          <w:u w:val="single"/>
        </w:rPr>
        <w:t>Закона</w:t>
      </w:r>
      <w:r>
        <w:rPr>
          <w:color w:val="0000FF"/>
          <w:u w:val="single"/>
        </w:rPr>
        <w:fldChar w:fldCharType="end"/>
      </w:r>
      <w:r>
        <w:t xml:space="preserve"> о контрактной системе.</w:t>
      </w:r>
    </w:p>
    <w:p w14:paraId="4C000000">
      <w:pPr>
        <w:widowControl w:val="1"/>
        <w:ind w:firstLine="709" w:left="-567"/>
        <w:jc w:val="both"/>
      </w:pPr>
      <w:r>
        <w:t>При этом оплата по контракту осуществляется на основании акта приемки товара (выполненных работ, оказанных услуг),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4D000000">
      <w:pPr>
        <w:pStyle w:val="Style_3"/>
        <w:widowControl w:val="1"/>
        <w:ind/>
        <w:jc w:val="center"/>
        <w:rPr>
          <w:rFonts w:ascii="Times New Roman" w:hAnsi="Times New Roman"/>
          <w:b w:val="1"/>
          <w:color w:val="000000"/>
          <w:sz w:val="24"/>
        </w:rPr>
      </w:pPr>
    </w:p>
    <w:p w14:paraId="4E000000">
      <w:pPr>
        <w:pStyle w:val="Style_3"/>
        <w:widowControl w:val="1"/>
        <w:ind/>
        <w:jc w:val="center"/>
        <w:rPr>
          <w:rFonts w:ascii="Times New Roman" w:hAnsi="Times New Roman"/>
          <w:b w:val="1"/>
          <w:color w:val="000000"/>
          <w:sz w:val="24"/>
        </w:rPr>
      </w:pPr>
      <w:r>
        <w:rPr>
          <w:rFonts w:ascii="Times New Roman" w:hAnsi="Times New Roman"/>
          <w:b w:val="1"/>
          <w:color w:val="000000"/>
          <w:sz w:val="24"/>
        </w:rPr>
        <w:t>8. Форс-мажор.</w:t>
      </w:r>
    </w:p>
    <w:p w14:paraId="4F000000">
      <w:pPr>
        <w:pStyle w:val="Style_3"/>
        <w:widowControl w:val="1"/>
        <w:numPr>
          <w:ilvl w:val="1"/>
          <w:numId w:val="7"/>
        </w:numPr>
        <w:tabs>
          <w:tab w:leader="none" w:pos="15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Виновная сторона освобождается от ответственности за частичное или полное неисполнение обязательств по Контракту, если докажет, что надлежащие исполнение ей обязательств по Контакту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50000000">
      <w:pPr>
        <w:pStyle w:val="Style_3"/>
        <w:widowControl w:val="1"/>
        <w:numPr>
          <w:ilvl w:val="1"/>
          <w:numId w:val="7"/>
        </w:numPr>
        <w:tabs>
          <w:tab w:leader="none" w:pos="15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51000000">
      <w:pPr>
        <w:pStyle w:val="Style_3"/>
        <w:widowControl w:val="1"/>
        <w:numPr>
          <w:ilvl w:val="1"/>
          <w:numId w:val="7"/>
        </w:numPr>
        <w:tabs>
          <w:tab w:leader="none" w:pos="15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52000000">
      <w:pPr>
        <w:pStyle w:val="Style_3"/>
        <w:widowControl w:val="1"/>
        <w:numPr>
          <w:ilvl w:val="1"/>
          <w:numId w:val="7"/>
        </w:numPr>
        <w:tabs>
          <w:tab w:leader="none" w:pos="15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Сроки начала и окончания выполнения условий Контракта могут быть сдвинуты на срок действия  обстоятельств непреодолимой силы, указанный в специальном акте.</w:t>
      </w:r>
    </w:p>
    <w:p w14:paraId="53000000">
      <w:pPr>
        <w:pStyle w:val="Style_3"/>
        <w:widowControl w:val="1"/>
        <w:ind w:left="-540"/>
        <w:jc w:val="both"/>
        <w:rPr>
          <w:rFonts w:ascii="Times New Roman" w:hAnsi="Times New Roman"/>
          <w:color w:val="000000"/>
          <w:sz w:val="24"/>
        </w:rPr>
      </w:pPr>
      <w:r>
        <w:rPr>
          <w:rFonts w:ascii="Times New Roman" w:hAnsi="Times New Roman"/>
          <w:color w:val="000000"/>
          <w:sz w:val="24"/>
        </w:rPr>
        <w:t xml:space="preserve">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Контракта.  </w:t>
      </w:r>
    </w:p>
    <w:p w14:paraId="54000000">
      <w:pPr>
        <w:pStyle w:val="Style_3"/>
        <w:widowControl w:val="1"/>
        <w:ind w:left="-540"/>
        <w:jc w:val="center"/>
        <w:rPr>
          <w:rFonts w:ascii="Times New Roman" w:hAnsi="Times New Roman"/>
          <w:b w:val="1"/>
          <w:color w:val="000000"/>
          <w:sz w:val="24"/>
        </w:rPr>
      </w:pPr>
    </w:p>
    <w:p w14:paraId="55000000">
      <w:pPr>
        <w:pStyle w:val="Style_3"/>
        <w:widowControl w:val="1"/>
        <w:ind w:left="-540"/>
        <w:jc w:val="center"/>
        <w:rPr>
          <w:rFonts w:ascii="Times New Roman" w:hAnsi="Times New Roman"/>
          <w:b w:val="1"/>
          <w:color w:val="000000"/>
          <w:sz w:val="24"/>
        </w:rPr>
      </w:pPr>
    </w:p>
    <w:p w14:paraId="56000000">
      <w:pPr>
        <w:pStyle w:val="Style_3"/>
        <w:widowControl w:val="1"/>
        <w:ind w:left="-540"/>
        <w:jc w:val="center"/>
        <w:rPr>
          <w:rFonts w:ascii="Times New Roman" w:hAnsi="Times New Roman"/>
          <w:b w:val="1"/>
          <w:color w:val="000000"/>
          <w:sz w:val="24"/>
        </w:rPr>
      </w:pPr>
    </w:p>
    <w:p w14:paraId="57000000">
      <w:pPr>
        <w:pStyle w:val="Style_3"/>
        <w:widowControl w:val="1"/>
        <w:ind w:left="-540"/>
        <w:jc w:val="center"/>
        <w:rPr>
          <w:rFonts w:ascii="Times New Roman" w:hAnsi="Times New Roman"/>
          <w:b w:val="1"/>
          <w:color w:val="000000"/>
          <w:sz w:val="24"/>
        </w:rPr>
      </w:pPr>
      <w:r>
        <w:rPr>
          <w:rFonts w:ascii="Times New Roman" w:hAnsi="Times New Roman"/>
          <w:b w:val="1"/>
          <w:color w:val="000000"/>
          <w:sz w:val="24"/>
        </w:rPr>
        <w:t>9. Порядок разрешения споров</w:t>
      </w:r>
    </w:p>
    <w:p w14:paraId="58000000">
      <w:pPr>
        <w:widowControl w:val="1"/>
        <w:numPr>
          <w:ilvl w:val="1"/>
          <w:numId w:val="8"/>
        </w:numPr>
        <w:tabs>
          <w:tab w:leader="none" w:pos="360" w:val="clear"/>
          <w:tab w:leader="none" w:pos="720" w:val="left"/>
        </w:tabs>
        <w:ind w:firstLine="720" w:left="-540"/>
        <w:jc w:val="both"/>
      </w:pPr>
      <w:r>
        <w:t>По всем вопросам, не нашедшим отражения в тексте настоящего Контракта, но прямо или косвенно вытекающим из отношений сторон по нему, затрагивающим имущественные интересы  и деловую репутацию сторон Контракта, стороны будут руководствоваться нормами и положениями действующего законодательства.</w:t>
      </w:r>
    </w:p>
    <w:p w14:paraId="59000000">
      <w:pPr>
        <w:widowControl w:val="1"/>
        <w:numPr>
          <w:ilvl w:val="1"/>
          <w:numId w:val="8"/>
        </w:numPr>
        <w:tabs>
          <w:tab w:leader="none" w:pos="360" w:val="clear"/>
          <w:tab w:leader="none" w:pos="720" w:val="left"/>
        </w:tabs>
        <w:ind w:firstLine="720" w:left="-540"/>
        <w:jc w:val="both"/>
      </w:pPr>
      <w:r>
        <w:t>Все приложения к настоящему Контракту являются его неотъемлемыми частями.</w:t>
      </w:r>
    </w:p>
    <w:p w14:paraId="5A000000">
      <w:pPr>
        <w:widowControl w:val="1"/>
        <w:numPr>
          <w:ilvl w:val="1"/>
          <w:numId w:val="8"/>
        </w:numPr>
        <w:tabs>
          <w:tab w:leader="none" w:pos="360" w:val="clear"/>
          <w:tab w:leader="none" w:pos="720" w:val="left"/>
        </w:tabs>
        <w:ind w:firstLine="720" w:left="-540"/>
        <w:jc w:val="both"/>
      </w:pPr>
      <w:r>
        <w:t xml:space="preserve">В случае изменения своего места нахождения, платежных реквизитов или обслуживающего банка, стороны обязуются незамедлительно уведомить об этом друг друга. </w:t>
      </w:r>
    </w:p>
    <w:p w14:paraId="5B000000">
      <w:pPr>
        <w:widowControl w:val="1"/>
        <w:numPr>
          <w:ilvl w:val="1"/>
          <w:numId w:val="8"/>
        </w:numPr>
        <w:tabs>
          <w:tab w:leader="none" w:pos="360" w:val="clear"/>
          <w:tab w:leader="none" w:pos="720" w:val="left"/>
        </w:tabs>
        <w:ind w:firstLine="720" w:left="-540"/>
        <w:jc w:val="both"/>
      </w:pPr>
      <w:r>
        <w:t xml:space="preserve">Настоящий Контракт  составлен в четырех экземплярах, имеющих равную юридическую силу, три из которых находятся у Заказчика, а один – у Поставщика. </w:t>
      </w:r>
    </w:p>
    <w:p w14:paraId="5C000000">
      <w:pPr>
        <w:pStyle w:val="Style_3"/>
        <w:widowControl w:val="1"/>
        <w:numPr>
          <w:ilvl w:val="1"/>
          <w:numId w:val="8"/>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Стороны стараются решить все спорные вопросы, которые могут возникнуть в ходе реализации Контракта или в связи с ним, путем переговоров.</w:t>
      </w:r>
    </w:p>
    <w:p w14:paraId="5D000000">
      <w:pPr>
        <w:pStyle w:val="Style_3"/>
        <w:widowControl w:val="1"/>
        <w:numPr>
          <w:ilvl w:val="1"/>
          <w:numId w:val="8"/>
        </w:numPr>
        <w:tabs>
          <w:tab w:leader="none" w:pos="360" w:val="clear"/>
          <w:tab w:leader="none" w:pos="720" w:val="left"/>
        </w:tabs>
        <w:ind w:firstLine="720" w:left="-540"/>
        <w:jc w:val="both"/>
        <w:rPr>
          <w:rFonts w:ascii="Times New Roman" w:hAnsi="Times New Roman"/>
          <w:color w:val="000000"/>
          <w:sz w:val="24"/>
        </w:rPr>
      </w:pPr>
      <w:r>
        <w:rPr>
          <w:rFonts w:ascii="Times New Roman" w:hAnsi="Times New Roman"/>
          <w:color w:val="000000"/>
          <w:sz w:val="24"/>
        </w:rPr>
        <w:t xml:space="preserve">Споры, по которым Стороны не достигли соглашения, рассматриваются в Арбитражном суде, г. Санкт-Петербурга и Ленинградской области.  </w:t>
      </w:r>
    </w:p>
    <w:p w14:paraId="5E000000">
      <w:pPr>
        <w:pStyle w:val="Style_3"/>
        <w:widowControl w:val="1"/>
        <w:ind w:firstLine="180"/>
        <w:jc w:val="both"/>
        <w:rPr>
          <w:rFonts w:ascii="Times New Roman" w:hAnsi="Times New Roman"/>
          <w:sz w:val="24"/>
        </w:rPr>
      </w:pPr>
      <w:r>
        <w:rPr>
          <w:rFonts w:ascii="Times New Roman" w:hAnsi="Times New Roman"/>
          <w:sz w:val="24"/>
        </w:rPr>
        <w:t>9.7. Настоящий Контракт, может быть, расторгнут (прекращен) в случаях:</w:t>
      </w:r>
    </w:p>
    <w:p w14:paraId="5F000000">
      <w:pPr>
        <w:pStyle w:val="Style_3"/>
        <w:widowControl w:val="1"/>
        <w:ind w:left="180"/>
        <w:jc w:val="both"/>
        <w:rPr>
          <w:rFonts w:ascii="Times New Roman" w:hAnsi="Times New Roman"/>
          <w:sz w:val="24"/>
        </w:rPr>
      </w:pPr>
      <w:r>
        <w:rPr>
          <w:rFonts w:ascii="Times New Roman" w:hAnsi="Times New Roman"/>
          <w:sz w:val="24"/>
        </w:rPr>
        <w:t>- по обоюдному согласию Сторон;</w:t>
      </w:r>
    </w:p>
    <w:p w14:paraId="60000000">
      <w:pPr>
        <w:pStyle w:val="Style_3"/>
        <w:widowControl w:val="1"/>
        <w:ind w:left="180"/>
        <w:jc w:val="both"/>
        <w:rPr>
          <w:rFonts w:ascii="Times New Roman" w:hAnsi="Times New Roman"/>
          <w:sz w:val="24"/>
        </w:rPr>
      </w:pPr>
      <w:r>
        <w:rPr>
          <w:rFonts w:ascii="Times New Roman" w:hAnsi="Times New Roman"/>
          <w:sz w:val="24"/>
        </w:rPr>
        <w:t>- по решению суда;</w:t>
      </w:r>
    </w:p>
    <w:p w14:paraId="61000000">
      <w:pPr>
        <w:pStyle w:val="Style_3"/>
        <w:widowControl w:val="1"/>
        <w:ind w:left="180"/>
        <w:jc w:val="both"/>
        <w:rPr>
          <w:rFonts w:ascii="Times New Roman" w:hAnsi="Times New Roman"/>
          <w:sz w:val="24"/>
        </w:rPr>
      </w:pPr>
      <w:r>
        <w:rPr>
          <w:rFonts w:ascii="Times New Roman" w:hAnsi="Times New Roman"/>
          <w:sz w:val="24"/>
        </w:rPr>
        <w:t>- в других случаях, в соответствии с действующим законодательством Российской Федерации;</w:t>
      </w:r>
    </w:p>
    <w:p w14:paraId="62000000">
      <w:pPr>
        <w:pStyle w:val="Style_3"/>
        <w:widowControl w:val="1"/>
        <w:ind w:left="-540"/>
        <w:jc w:val="both"/>
        <w:rPr>
          <w:rFonts w:ascii="Times New Roman" w:hAnsi="Times New Roman"/>
          <w:sz w:val="24"/>
        </w:rPr>
      </w:pPr>
      <w:r>
        <w:rPr>
          <w:rFonts w:ascii="Times New Roman" w:hAnsi="Times New Roman"/>
          <w:sz w:val="24"/>
        </w:rPr>
        <w:t xml:space="preserve">Заказчик вправе в одностороннем порядке отказаться от исполнения контракта и потребовать возмещения убытков, если Подрядчик не приступает своевременно к исполнению контракта, или выполняет работы, предусмотренные контрактом настолько медленно, что окончание их к сроку сдачи, предусмотренному контрактом становиться явно не возможным. </w:t>
      </w:r>
    </w:p>
    <w:p w14:paraId="63000000">
      <w:pPr>
        <w:pStyle w:val="Style_3"/>
        <w:widowControl w:val="1"/>
        <w:ind w:left="-540"/>
        <w:jc w:val="both"/>
        <w:rPr>
          <w:rFonts w:ascii="Times New Roman" w:hAnsi="Times New Roman"/>
          <w:sz w:val="24"/>
        </w:rPr>
      </w:pPr>
    </w:p>
    <w:p w14:paraId="64000000">
      <w:pPr>
        <w:pStyle w:val="Style_3"/>
        <w:widowControl w:val="1"/>
        <w:numPr>
          <w:ilvl w:val="0"/>
          <w:numId w:val="8"/>
        </w:numPr>
        <w:tabs>
          <w:tab w:leader="none" w:pos="720" w:val="left"/>
        </w:tabs>
        <w:ind w:firstLine="720" w:left="-540"/>
        <w:jc w:val="center"/>
        <w:rPr>
          <w:rFonts w:ascii="Times New Roman" w:hAnsi="Times New Roman"/>
          <w:color w:val="000000"/>
          <w:sz w:val="24"/>
        </w:rPr>
      </w:pPr>
      <w:r>
        <w:rPr>
          <w:rFonts w:ascii="Times New Roman" w:hAnsi="Times New Roman"/>
          <w:b w:val="1"/>
          <w:color w:val="000000"/>
          <w:sz w:val="24"/>
        </w:rPr>
        <w:t>10.Приложения:</w:t>
      </w:r>
    </w:p>
    <w:p w14:paraId="65000000">
      <w:pPr>
        <w:pStyle w:val="Style_3"/>
        <w:widowControl w:val="1"/>
        <w:tabs>
          <w:tab w:leader="none" w:pos="720" w:val="left"/>
        </w:tabs>
        <w:ind w:left="-540"/>
        <w:jc w:val="both"/>
        <w:rPr>
          <w:rFonts w:ascii="Times New Roman" w:hAnsi="Times New Roman"/>
          <w:color w:val="000000"/>
          <w:sz w:val="24"/>
        </w:rPr>
      </w:pPr>
      <w:r>
        <w:rPr>
          <w:rFonts w:ascii="Times New Roman" w:hAnsi="Times New Roman"/>
          <w:color w:val="000000"/>
          <w:sz w:val="24"/>
        </w:rPr>
        <w:t xml:space="preserve">              1). </w:t>
      </w:r>
      <w:r>
        <w:rPr>
          <w:rFonts w:ascii="Times New Roman" w:hAnsi="Times New Roman"/>
          <w:color w:val="000000"/>
          <w:sz w:val="24"/>
        </w:rPr>
        <w:t>Спецификация</w:t>
      </w:r>
      <w:r>
        <w:rPr>
          <w:rFonts w:ascii="Times New Roman" w:hAnsi="Times New Roman"/>
          <w:color w:val="000000"/>
          <w:sz w:val="24"/>
        </w:rPr>
        <w:t>.</w:t>
      </w:r>
    </w:p>
    <w:p w14:paraId="66000000">
      <w:pPr>
        <w:pStyle w:val="Style_3"/>
        <w:widowControl w:val="1"/>
        <w:tabs>
          <w:tab w:leader="none" w:pos="720" w:val="left"/>
        </w:tabs>
        <w:ind w:left="-540"/>
        <w:jc w:val="center"/>
        <w:rPr>
          <w:rFonts w:ascii="Times New Roman" w:hAnsi="Times New Roman"/>
          <w:b w:val="1"/>
          <w:sz w:val="24"/>
        </w:rPr>
      </w:pPr>
      <w:r>
        <w:rPr>
          <w:rFonts w:ascii="Times New Roman" w:hAnsi="Times New Roman"/>
          <w:b w:val="1"/>
          <w:sz w:val="24"/>
        </w:rPr>
        <w:t>11. Юридические адреса и банковские реквизиты сторон</w:t>
      </w:r>
    </w:p>
    <w:p w14:paraId="67000000">
      <w:pPr>
        <w:pStyle w:val="Style_3"/>
        <w:widowControl w:val="1"/>
        <w:ind/>
        <w:jc w:val="center"/>
        <w:rPr>
          <w:rFonts w:ascii="Times New Roman" w:hAnsi="Times New Roman"/>
          <w:b w:val="1"/>
          <w:color w:val="000000"/>
        </w:rPr>
      </w:pPr>
    </w:p>
    <w:tbl>
      <w:tblPr>
        <w:tblStyle w:val="Style_4"/>
        <w:tblW w:type="auto" w:w="0"/>
        <w:tblLayout w:type="fixed"/>
      </w:tblPr>
      <w:tblGrid>
        <w:gridCol w:w="4786"/>
        <w:gridCol w:w="5259"/>
      </w:tblGrid>
      <w:tr>
        <w:trPr>
          <w:trHeight w:hRule="atLeast" w:val="304"/>
        </w:trPr>
        <w:tc>
          <w:tcPr>
            <w:tcW w:type="dxa" w:w="4786"/>
          </w:tcPr>
          <w:p w14:paraId="68000000">
            <w:pPr>
              <w:widowControl w:val="1"/>
              <w:tabs>
                <w:tab w:leader="none" w:pos="6855" w:val="left"/>
              </w:tabs>
              <w:ind w:left="720"/>
            </w:pPr>
            <w:r>
              <w:rPr>
                <w:b w:val="1"/>
              </w:rPr>
              <w:t>Заказчик</w:t>
            </w:r>
          </w:p>
        </w:tc>
        <w:tc>
          <w:tcPr>
            <w:tcW w:type="dxa" w:w="5259"/>
          </w:tcPr>
          <w:p w14:paraId="69000000">
            <w:pPr>
              <w:widowControl w:val="1"/>
              <w:tabs>
                <w:tab w:leader="none" w:pos="6855" w:val="left"/>
              </w:tabs>
              <w:ind w:left="291"/>
              <w:rPr>
                <w:b w:val="1"/>
              </w:rPr>
            </w:pPr>
            <w:r>
              <w:rPr>
                <w:b w:val="1"/>
              </w:rPr>
              <w:t>Поставщик</w:t>
            </w:r>
          </w:p>
          <w:p w14:paraId="6A000000">
            <w:pPr>
              <w:widowControl w:val="1"/>
              <w:tabs>
                <w:tab w:leader="none" w:pos="6855" w:val="left"/>
              </w:tabs>
              <w:ind w:left="291"/>
              <w:rPr>
                <w:b w:val="1"/>
              </w:rPr>
            </w:pPr>
          </w:p>
          <w:p w14:paraId="6B000000">
            <w:pPr>
              <w:widowControl w:val="1"/>
              <w:tabs>
                <w:tab w:leader="none" w:pos="6855" w:val="left"/>
              </w:tabs>
              <w:ind w:left="291"/>
            </w:pPr>
          </w:p>
        </w:tc>
      </w:tr>
      <w:tr>
        <w:trPr>
          <w:trHeight w:hRule="atLeast" w:val="2301"/>
        </w:trPr>
        <w:tc>
          <w:tcPr>
            <w:tcW w:type="dxa" w:w="4786"/>
          </w:tcPr>
          <w:p w14:paraId="6C000000">
            <w:pPr>
              <w:pStyle w:val="Style_2"/>
              <w:widowControl w:val="0"/>
              <w:tabs>
                <w:tab w:leader="none" w:pos="0" w:val="left"/>
                <w:tab w:leader="none" w:pos="476" w:val="left"/>
                <w:tab w:leader="none" w:pos="720" w:val="left"/>
              </w:tabs>
              <w:ind/>
              <w:jc w:val="left"/>
              <w:rPr>
                <w:sz w:val="22"/>
              </w:rPr>
            </w:pPr>
            <w:r>
              <w:rPr>
                <w:sz w:val="22"/>
              </w:rPr>
              <w:t>Муниципальное дошкольное образовательно</w:t>
            </w:r>
            <w:r>
              <w:rPr>
                <w:sz w:val="22"/>
              </w:rPr>
              <w:t>е учреждение «Детский сад  №  1</w:t>
            </w:r>
            <w:r>
              <w:rPr>
                <w:sz w:val="22"/>
              </w:rPr>
              <w:t>5</w:t>
            </w:r>
            <w:r>
              <w:rPr>
                <w:sz w:val="22"/>
              </w:rPr>
              <w:t>»</w:t>
            </w:r>
          </w:p>
          <w:p w14:paraId="6D000000">
            <w:pPr>
              <w:pStyle w:val="Style_2"/>
              <w:widowControl w:val="0"/>
              <w:tabs>
                <w:tab w:leader="none" w:pos="0" w:val="left"/>
                <w:tab w:leader="none" w:pos="476" w:val="left"/>
                <w:tab w:leader="none" w:pos="720" w:val="left"/>
              </w:tabs>
              <w:ind w:right="252"/>
              <w:rPr>
                <w:sz w:val="22"/>
              </w:rPr>
            </w:pPr>
            <w:r>
              <w:rPr>
                <w:sz w:val="22"/>
              </w:rPr>
              <w:t>ИНН4712020438 КПП 471201001</w:t>
            </w:r>
          </w:p>
          <w:p w14:paraId="6E000000">
            <w:pPr>
              <w:widowControl w:val="1"/>
              <w:ind/>
              <w:jc w:val="both"/>
              <w:rPr>
                <w:color w:val="000000"/>
                <w:spacing w:val="2"/>
                <w:sz w:val="22"/>
              </w:rPr>
            </w:pPr>
            <w:r>
              <w:rPr>
                <w:color w:val="000000"/>
                <w:spacing w:val="2"/>
                <w:sz w:val="22"/>
              </w:rPr>
              <w:t>188730, Ленинградская область, Приозерский район, деревня Снегирёвка, улица Школьная, д.20а</w:t>
            </w:r>
          </w:p>
          <w:p w14:paraId="6F000000">
            <w:pPr>
              <w:pStyle w:val="Style_2"/>
              <w:widowControl w:val="0"/>
              <w:tabs>
                <w:tab w:leader="none" w:pos="0" w:val="left"/>
                <w:tab w:leader="none" w:pos="476" w:val="left"/>
                <w:tab w:leader="none" w:pos="720" w:val="left"/>
              </w:tabs>
              <w:ind w:right="252"/>
              <w:rPr>
                <w:color w:val="000000"/>
                <w:spacing w:val="2"/>
                <w:sz w:val="22"/>
              </w:rPr>
            </w:pPr>
            <w:r>
              <w:rPr>
                <w:sz w:val="22"/>
              </w:rPr>
              <w:t>Банк:</w:t>
            </w:r>
            <w:r>
              <w:rPr>
                <w:rStyle w:val="Style_5_ch"/>
                <w:color w:val="000000"/>
                <w:spacing w:val="2"/>
                <w:sz w:val="22"/>
              </w:rPr>
              <w:t>Операционно-кассовый центр № 1 Северо-Западного ГУ Банка России//УФК по Ленинградской области г.Санкт-Петербург</w:t>
            </w:r>
          </w:p>
          <w:p w14:paraId="70000000">
            <w:pPr>
              <w:widowControl w:val="0"/>
              <w:spacing w:after="0" w:line="240" w:lineRule="auto"/>
              <w:ind/>
              <w:rPr>
                <w:color w:val="000000"/>
                <w:spacing w:val="2"/>
                <w:sz w:val="22"/>
              </w:rPr>
            </w:pPr>
            <w:r>
              <w:rPr>
                <w:rStyle w:val="Style_5_ch"/>
                <w:color w:val="000000"/>
                <w:spacing w:val="2"/>
                <w:sz w:val="22"/>
              </w:rPr>
              <w:t>Банк  сокращенное наименование: ОКЦ № 1 СЗ ГУ Банка России//УФК по Ленинградской области г.Санкт-Петербург</w:t>
            </w:r>
          </w:p>
          <w:p w14:paraId="71000000">
            <w:pPr>
              <w:widowControl w:val="0"/>
              <w:spacing w:after="0"/>
              <w:ind/>
              <w:rPr>
                <w:color w:val="000000"/>
                <w:spacing w:val="2"/>
                <w:sz w:val="22"/>
              </w:rPr>
            </w:pPr>
            <w:r>
              <w:rPr>
                <w:rStyle w:val="Style_5_ch"/>
                <w:color w:val="000000"/>
                <w:spacing w:val="2"/>
                <w:sz w:val="22"/>
              </w:rPr>
              <w:t xml:space="preserve">БИК </w:t>
            </w:r>
            <w:r>
              <w:rPr>
                <w:rStyle w:val="Style_5_ch"/>
                <w:color w:val="000000"/>
                <w:spacing w:val="2"/>
                <w:sz w:val="22"/>
              </w:rPr>
              <w:t>044030098</w:t>
            </w:r>
          </w:p>
          <w:p w14:paraId="72000000">
            <w:pPr>
              <w:widowControl w:val="0"/>
              <w:spacing w:after="0"/>
              <w:ind/>
              <w:rPr>
                <w:color w:val="000000"/>
                <w:spacing w:val="2"/>
                <w:sz w:val="22"/>
              </w:rPr>
            </w:pPr>
            <w:r>
              <w:rPr>
                <w:rStyle w:val="Style_5_ch"/>
                <w:color w:val="000000"/>
                <w:spacing w:val="2"/>
                <w:sz w:val="22"/>
              </w:rPr>
              <w:t>Р</w:t>
            </w:r>
            <w:r>
              <w:rPr>
                <w:rStyle w:val="Style_5_ch"/>
                <w:color w:val="000000"/>
                <w:spacing w:val="2"/>
                <w:sz w:val="22"/>
              </w:rPr>
              <w:t>/</w:t>
            </w:r>
            <w:r>
              <w:rPr>
                <w:rStyle w:val="Style_5_ch"/>
                <w:color w:val="000000"/>
                <w:spacing w:val="2"/>
                <w:sz w:val="22"/>
              </w:rPr>
              <w:t>сч</w:t>
            </w:r>
            <w:r>
              <w:rPr>
                <w:rStyle w:val="Style_5_ch"/>
                <w:color w:val="000000"/>
                <w:spacing w:val="2"/>
                <w:sz w:val="22"/>
              </w:rPr>
              <w:t xml:space="preserve"> </w:t>
            </w:r>
            <w:r>
              <w:rPr>
                <w:rStyle w:val="Style_5_ch"/>
                <w:color w:val="000000"/>
                <w:spacing w:val="2"/>
                <w:sz w:val="22"/>
              </w:rPr>
              <w:t xml:space="preserve"> </w:t>
            </w:r>
            <w:r>
              <w:rPr>
                <w:rStyle w:val="Style_5_ch"/>
                <w:color w:val="000000"/>
                <w:spacing w:val="2"/>
                <w:sz w:val="22"/>
              </w:rPr>
              <w:t>03231643416390004500</w:t>
            </w:r>
          </w:p>
          <w:p w14:paraId="73000000">
            <w:pPr>
              <w:widowControl w:val="0"/>
              <w:spacing w:after="0"/>
              <w:ind/>
              <w:rPr>
                <w:color w:val="000000"/>
                <w:spacing w:val="2"/>
                <w:sz w:val="22"/>
              </w:rPr>
            </w:pPr>
            <w:r>
              <w:rPr>
                <w:rStyle w:val="Style_5_ch"/>
                <w:color w:val="000000"/>
                <w:spacing w:val="2"/>
                <w:sz w:val="22"/>
              </w:rPr>
              <w:t>Кор/</w:t>
            </w:r>
            <w:r>
              <w:rPr>
                <w:rStyle w:val="Style_5_ch"/>
                <w:color w:val="000000"/>
                <w:spacing w:val="2"/>
                <w:sz w:val="22"/>
              </w:rPr>
              <w:t>сч</w:t>
            </w:r>
            <w:r>
              <w:rPr>
                <w:rStyle w:val="Style_5_ch"/>
                <w:color w:val="000000"/>
                <w:spacing w:val="2"/>
                <w:sz w:val="22"/>
              </w:rPr>
              <w:t xml:space="preserve"> </w:t>
            </w:r>
            <w:r>
              <w:rPr>
                <w:rStyle w:val="Style_5_ch"/>
                <w:color w:val="000000"/>
                <w:spacing w:val="2"/>
                <w:sz w:val="22"/>
              </w:rPr>
              <w:t xml:space="preserve"> </w:t>
            </w:r>
            <w:r>
              <w:rPr>
                <w:rStyle w:val="Style_5_ch"/>
                <w:color w:val="000000"/>
                <w:spacing w:val="2"/>
                <w:sz w:val="22"/>
              </w:rPr>
              <w:t>40102810745370000098</w:t>
            </w:r>
          </w:p>
          <w:p w14:paraId="74000000">
            <w:pPr>
              <w:widowControl w:val="0"/>
              <w:spacing w:after="0"/>
              <w:ind/>
              <w:rPr>
                <w:rFonts w:ascii="Times New Roman" w:hAnsi="Times New Roman"/>
                <w:sz w:val="28"/>
              </w:rPr>
            </w:pPr>
            <w:r>
              <w:rPr>
                <w:rStyle w:val="Style_5_ch"/>
                <w:color w:val="000000"/>
                <w:spacing w:val="2"/>
                <w:sz w:val="22"/>
              </w:rPr>
              <w:t xml:space="preserve">Для лицевого счета </w:t>
            </w:r>
            <w:r>
              <w:rPr>
                <w:rStyle w:val="Style_5_ch"/>
                <w:color w:val="000000"/>
                <w:spacing w:val="2"/>
                <w:sz w:val="22"/>
              </w:rPr>
              <w:t xml:space="preserve"> 02176908293 </w:t>
            </w:r>
            <w:r>
              <w:rPr>
                <w:rFonts w:ascii="Times New Roman" w:hAnsi="Times New Roman"/>
                <w:sz w:val="28"/>
              </w:rPr>
              <w:t xml:space="preserve">  </w:t>
            </w:r>
          </w:p>
          <w:p w14:paraId="75000000">
            <w:pPr>
              <w:pStyle w:val="Style_2"/>
              <w:widowControl w:val="0"/>
              <w:tabs>
                <w:tab w:leader="none" w:pos="0" w:val="left"/>
                <w:tab w:leader="none" w:pos="476" w:val="left"/>
                <w:tab w:leader="none" w:pos="720" w:val="left"/>
              </w:tabs>
              <w:ind w:right="252"/>
              <w:rPr>
                <w:sz w:val="28"/>
              </w:rPr>
            </w:pPr>
            <w:r>
              <w:rPr>
                <w:sz w:val="22"/>
              </w:rPr>
              <w:t>тел (факс) 8-813-79 -61-325</w:t>
            </w:r>
          </w:p>
          <w:p w14:paraId="76000000">
            <w:pPr>
              <w:pStyle w:val="Style_2"/>
              <w:widowControl w:val="0"/>
              <w:tabs>
                <w:tab w:leader="none" w:pos="0" w:val="left"/>
                <w:tab w:leader="none" w:pos="476" w:val="left"/>
                <w:tab w:leader="none" w:pos="720" w:val="left"/>
              </w:tabs>
              <w:ind w:right="252"/>
              <w:rPr>
                <w:sz w:val="22"/>
              </w:rPr>
            </w:pPr>
            <w:r>
              <w:rPr>
                <w:sz w:val="22"/>
              </w:rPr>
              <w:t>элект.почта : snegirdou15@yandex.ru</w:t>
            </w:r>
          </w:p>
          <w:p w14:paraId="77000000">
            <w:pPr>
              <w:pStyle w:val="Style_2"/>
              <w:widowControl w:val="0"/>
              <w:tabs>
                <w:tab w:leader="none" w:pos="0" w:val="left"/>
                <w:tab w:leader="none" w:pos="476" w:val="left"/>
                <w:tab w:leader="none" w:pos="720" w:val="left"/>
              </w:tabs>
              <w:ind w:right="252"/>
              <w:rPr>
                <w:sz w:val="22"/>
              </w:rPr>
            </w:pPr>
          </w:p>
          <w:p w14:paraId="78000000">
            <w:pPr>
              <w:widowControl w:val="1"/>
              <w:tabs>
                <w:tab w:leader="none" w:pos="0" w:val="left"/>
              </w:tabs>
              <w:ind/>
              <w:jc w:val="both"/>
              <w:rPr>
                <w:color w:val="000000"/>
                <w:spacing w:val="2"/>
                <w:sz w:val="22"/>
              </w:rPr>
            </w:pPr>
          </w:p>
        </w:tc>
        <w:tc>
          <w:tcPr>
            <w:tcW w:type="dxa" w:w="5259"/>
          </w:tcPr>
          <w:p w14:paraId="79000000">
            <w:pPr>
              <w:rPr>
                <w:color w:val="000000"/>
                <w:spacing w:val="2"/>
                <w:sz w:val="22"/>
              </w:rPr>
            </w:pPr>
          </w:p>
          <w:p w14:paraId="7A000000">
            <w:pPr>
              <w:pStyle w:val="Style_2"/>
              <w:widowControl w:val="0"/>
              <w:ind w:right="486"/>
              <w:jc w:val="left"/>
              <w:rPr>
                <w:sz w:val="22"/>
              </w:rPr>
            </w:pPr>
          </w:p>
        </w:tc>
      </w:tr>
    </w:tbl>
    <w:p w14:paraId="7B000000">
      <w:pPr>
        <w:widowControl w:val="1"/>
        <w:ind/>
        <w:jc w:val="center"/>
        <w:rPr>
          <w:b w:val="1"/>
        </w:rPr>
      </w:pPr>
      <w:r>
        <w:rPr>
          <w:b w:val="1"/>
        </w:rPr>
        <w:t>Подписи сторон</w:t>
      </w:r>
    </w:p>
    <w:p w14:paraId="7C000000">
      <w:pPr>
        <w:widowControl w:val="1"/>
        <w:ind/>
        <w:jc w:val="center"/>
        <w:rPr>
          <w:b w:val="1"/>
        </w:rPr>
      </w:pPr>
    </w:p>
    <w:p w14:paraId="7D000000">
      <w:pPr>
        <w:rPr>
          <w:b w:val="1"/>
        </w:rPr>
      </w:pPr>
      <w:r>
        <w:rPr>
          <w:b w:val="1"/>
        </w:rPr>
        <w:t xml:space="preserve">             </w:t>
      </w:r>
      <w:r>
        <w:rPr>
          <w:b w:val="1"/>
        </w:rPr>
        <w:t xml:space="preserve">Заказчик                                                                   </w:t>
      </w:r>
      <w:r>
        <w:rPr>
          <w:b w:val="1"/>
        </w:rPr>
        <w:t xml:space="preserve">               </w:t>
      </w:r>
      <w:r>
        <w:rPr>
          <w:b w:val="1"/>
        </w:rPr>
        <w:t>Поставщик</w:t>
      </w:r>
    </w:p>
    <w:p w14:paraId="7E000000">
      <w:pPr>
        <w:rPr>
          <w:b w:val="1"/>
        </w:rPr>
      </w:pPr>
    </w:p>
    <w:p w14:paraId="7F000000">
      <w:pPr>
        <w:rPr>
          <w:b w:val="1"/>
        </w:rPr>
      </w:pPr>
    </w:p>
    <w:tbl>
      <w:tblPr>
        <w:tblStyle w:val="Style_4"/>
        <w:tblW w:type="auto" w:w="0"/>
        <w:tblLayout w:type="fixed"/>
      </w:tblPr>
      <w:tblGrid>
        <w:gridCol w:w="4500"/>
        <w:gridCol w:w="5040"/>
      </w:tblGrid>
      <w:tr>
        <w:tc>
          <w:tcPr>
            <w:tcW w:type="dxa" w:w="4500"/>
          </w:tcPr>
          <w:p w14:paraId="80000000">
            <w:pPr>
              <w:pStyle w:val="Style_2"/>
              <w:widowControl w:val="0"/>
              <w:ind/>
              <w:rPr>
                <w:sz w:val="20"/>
              </w:rPr>
            </w:pPr>
            <w:r>
              <w:rPr>
                <w:sz w:val="20"/>
              </w:rPr>
              <w:t xml:space="preserve">Заведующий </w:t>
            </w:r>
            <w:r>
              <w:rPr>
                <w:sz w:val="20"/>
              </w:rPr>
              <w:t>муниципаль</w:t>
            </w:r>
            <w:r>
              <w:rPr>
                <w:sz w:val="20"/>
              </w:rPr>
              <w:t>ным</w:t>
            </w:r>
            <w:r>
              <w:rPr>
                <w:sz w:val="20"/>
              </w:rPr>
              <w:t xml:space="preserve"> дошкольн</w:t>
            </w:r>
            <w:r>
              <w:rPr>
                <w:sz w:val="20"/>
              </w:rPr>
              <w:t>ым</w:t>
            </w:r>
            <w:r>
              <w:rPr>
                <w:sz w:val="20"/>
              </w:rPr>
              <w:t xml:space="preserve"> образовательн</w:t>
            </w:r>
            <w:r>
              <w:rPr>
                <w:sz w:val="20"/>
              </w:rPr>
              <w:t>ым</w:t>
            </w:r>
            <w:r>
              <w:rPr>
                <w:sz w:val="20"/>
              </w:rPr>
              <w:t xml:space="preserve"> учреждение</w:t>
            </w:r>
            <w:r>
              <w:rPr>
                <w:sz w:val="20"/>
              </w:rPr>
              <w:t>м</w:t>
            </w:r>
            <w:r>
              <w:rPr>
                <w:sz w:val="20"/>
              </w:rPr>
              <w:t xml:space="preserve"> «Детский сад №</w:t>
            </w:r>
            <w:r>
              <w:rPr>
                <w:sz w:val="20"/>
              </w:rPr>
              <w:t>1</w:t>
            </w:r>
            <w:r>
              <w:rPr>
                <w:sz w:val="20"/>
              </w:rPr>
              <w:t>5</w:t>
            </w:r>
            <w:r>
              <w:rPr>
                <w:sz w:val="20"/>
              </w:rPr>
              <w:t>»</w:t>
            </w:r>
          </w:p>
          <w:p w14:paraId="81000000">
            <w:pPr>
              <w:pStyle w:val="Style_2"/>
              <w:widowControl w:val="0"/>
              <w:ind w:right="1307"/>
              <w:rPr>
                <w:sz w:val="20"/>
              </w:rPr>
            </w:pPr>
          </w:p>
          <w:p w14:paraId="82000000">
            <w:pPr>
              <w:pStyle w:val="Style_2"/>
              <w:widowControl w:val="0"/>
              <w:ind w:right="1307"/>
              <w:rPr>
                <w:sz w:val="20"/>
              </w:rPr>
            </w:pPr>
          </w:p>
          <w:p w14:paraId="83000000">
            <w:pPr>
              <w:pStyle w:val="Style_2"/>
              <w:widowControl w:val="0"/>
              <w:ind w:right="1307"/>
              <w:rPr>
                <w:sz w:val="20"/>
              </w:rPr>
            </w:pPr>
          </w:p>
          <w:p w14:paraId="84000000">
            <w:pPr>
              <w:pStyle w:val="Style_2"/>
              <w:widowControl w:val="0"/>
              <w:ind w:right="1307"/>
              <w:rPr>
                <w:sz w:val="20"/>
              </w:rPr>
            </w:pPr>
          </w:p>
          <w:p w14:paraId="85000000">
            <w:pPr>
              <w:pStyle w:val="Style_2"/>
              <w:widowControl w:val="0"/>
              <w:ind/>
              <w:rPr>
                <w:sz w:val="20"/>
              </w:rPr>
            </w:pPr>
            <w:r>
              <w:rPr>
                <w:sz w:val="20"/>
              </w:rPr>
              <w:t>_________</w:t>
            </w:r>
            <w:r>
              <w:rPr>
                <w:sz w:val="20"/>
              </w:rPr>
              <w:t>_________________</w:t>
            </w:r>
            <w:r>
              <w:rPr>
                <w:sz w:val="20"/>
              </w:rPr>
              <w:t xml:space="preserve"> </w:t>
            </w:r>
            <w:r>
              <w:rPr>
                <w:sz w:val="20"/>
              </w:rPr>
              <w:t>Шумилова Т.М</w:t>
            </w:r>
            <w:r>
              <w:rPr>
                <w:sz w:val="20"/>
              </w:rPr>
              <w:t>.</w:t>
            </w:r>
          </w:p>
          <w:p w14:paraId="86000000">
            <w:pPr>
              <w:pStyle w:val="Style_2"/>
              <w:widowControl w:val="0"/>
              <w:ind w:left="175" w:right="-428"/>
              <w:rPr>
                <w:b w:val="1"/>
                <w:sz w:val="20"/>
              </w:rPr>
            </w:pPr>
            <w:r>
              <w:rPr>
                <w:sz w:val="18"/>
              </w:rPr>
              <w:t>М.П.</w:t>
            </w:r>
            <w:r>
              <w:rPr>
                <w:b w:val="1"/>
                <w:sz w:val="20"/>
              </w:rPr>
              <w:t xml:space="preserve">  </w:t>
            </w:r>
            <w:r>
              <w:rPr>
                <w:b w:val="1"/>
                <w:sz w:val="20"/>
              </w:rPr>
              <w:t xml:space="preserve"> </w:t>
            </w:r>
          </w:p>
        </w:tc>
        <w:tc>
          <w:tcPr>
            <w:tcW w:type="dxa" w:w="5040"/>
          </w:tcPr>
          <w:p w14:paraId="87000000">
            <w:pPr>
              <w:pStyle w:val="Style_2"/>
              <w:widowControl w:val="0"/>
              <w:tabs>
                <w:tab w:leader="none" w:pos="476" w:val="left"/>
                <w:tab w:leader="none" w:pos="720" w:val="left"/>
              </w:tabs>
              <w:ind w:left="745" w:right="-32"/>
              <w:rPr>
                <w:b w:val="1"/>
                <w:sz w:val="20"/>
              </w:rPr>
            </w:pPr>
            <w:r>
              <w:rPr>
                <w:b w:val="1"/>
                <w:sz w:val="20"/>
              </w:rPr>
              <w:t xml:space="preserve"> </w:t>
            </w:r>
          </w:p>
        </w:tc>
      </w:tr>
    </w:tbl>
    <w:p w14:paraId="88000000"/>
    <w:p w14:paraId="89000000"/>
    <w:p w14:paraId="8A000000">
      <w:r>
        <w:br w:type="page"/>
      </w:r>
    </w:p>
    <w:p w14:paraId="8B000000">
      <w:pPr>
        <w:pStyle w:val="Style_3"/>
        <w:widowControl w:val="1"/>
        <w:ind w:firstLine="360"/>
        <w:jc w:val="right"/>
        <w:rPr>
          <w:rFonts w:ascii="Times New Roman" w:hAnsi="Times New Roman"/>
          <w:sz w:val="16"/>
        </w:rPr>
      </w:pPr>
      <w:bookmarkStart w:id="1" w:name="OLE_LINK1"/>
      <w:r>
        <w:rPr>
          <w:rFonts w:ascii="Times New Roman" w:hAnsi="Times New Roman"/>
          <w:sz w:val="16"/>
        </w:rPr>
        <w:t>Приложение № 1</w:t>
      </w:r>
    </w:p>
    <w:tbl>
      <w:tblPr>
        <w:tblStyle w:val="Style_4"/>
        <w:tblW w:type="auto" w:w="0"/>
        <w:tblInd w:type="dxa" w:w="622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909"/>
      </w:tblGrid>
      <w:tr>
        <w:tc>
          <w:tcPr>
            <w:tcW w:type="dxa" w:w="3909"/>
            <w:tcBorders>
              <w:top w:sz="4" w:val="nil"/>
              <w:left w:sz="4" w:val="nil"/>
              <w:bottom w:sz="4" w:val="nil"/>
              <w:right w:sz="4" w:val="nil"/>
            </w:tcBorders>
          </w:tcPr>
          <w:p w14:paraId="8C000000">
            <w:pPr>
              <w:pStyle w:val="Style_6"/>
              <w:widowControl w:val="1"/>
              <w:numPr>
                <w:ilvl w:val="0"/>
                <w:numId w:val="0"/>
              </w:numPr>
              <w:ind/>
              <w:jc w:val="right"/>
              <w:rPr>
                <w:sz w:val="16"/>
              </w:rPr>
            </w:pPr>
            <w:r>
              <w:rPr>
                <w:sz w:val="16"/>
              </w:rPr>
              <w:t>к муниципальному контракту</w:t>
            </w:r>
            <w:r>
              <w:rPr>
                <w:sz w:val="16"/>
              </w:rPr>
              <w:t xml:space="preserve"> № </w:t>
            </w:r>
            <w:r>
              <w:rPr>
                <w:sz w:val="16"/>
              </w:rPr>
              <w:t>_______</w:t>
            </w:r>
            <w:r>
              <w:rPr>
                <w:sz w:val="16"/>
              </w:rPr>
              <w:t xml:space="preserve">  </w:t>
            </w:r>
          </w:p>
          <w:p w14:paraId="8D000000">
            <w:pPr>
              <w:pStyle w:val="Style_6"/>
              <w:widowControl w:val="1"/>
              <w:numPr>
                <w:ilvl w:val="0"/>
                <w:numId w:val="0"/>
              </w:numPr>
              <w:ind/>
              <w:jc w:val="right"/>
              <w:rPr>
                <w:sz w:val="16"/>
              </w:rPr>
            </w:pPr>
            <w:r>
              <w:rPr>
                <w:sz w:val="16"/>
              </w:rPr>
              <w:t xml:space="preserve"> </w:t>
            </w:r>
            <w:r>
              <w:rPr>
                <w:sz w:val="16"/>
              </w:rPr>
              <w:t xml:space="preserve"> от</w:t>
            </w:r>
            <w:r>
              <w:rPr>
                <w:sz w:val="16"/>
              </w:rPr>
              <w:t xml:space="preserve">         </w:t>
            </w:r>
            <w:r>
              <w:rPr>
                <w:sz w:val="16"/>
              </w:rPr>
              <w:t xml:space="preserve"> </w:t>
            </w:r>
            <w:r>
              <w:rPr>
                <w:sz w:val="16"/>
              </w:rPr>
              <w:t xml:space="preserve"> </w:t>
            </w:r>
            <w:r>
              <w:rPr>
                <w:sz w:val="16"/>
              </w:rPr>
              <w:t>.</w:t>
            </w:r>
            <w:r>
              <w:rPr>
                <w:sz w:val="16"/>
              </w:rPr>
              <w:t xml:space="preserve">    </w:t>
            </w:r>
            <w:r>
              <w:rPr>
                <w:sz w:val="16"/>
              </w:rPr>
              <w:t xml:space="preserve"> </w:t>
            </w:r>
            <w:r>
              <w:rPr>
                <w:sz w:val="16"/>
              </w:rPr>
              <w:t>.</w:t>
            </w:r>
            <w:r>
              <w:rPr>
                <w:sz w:val="16"/>
              </w:rPr>
              <w:t>20</w:t>
            </w:r>
            <w:r>
              <w:rPr>
                <w:sz w:val="16"/>
              </w:rPr>
              <w:t>26</w:t>
            </w:r>
            <w:r>
              <w:rPr>
                <w:sz w:val="16"/>
              </w:rPr>
              <w:t xml:space="preserve"> г.</w:t>
            </w:r>
          </w:p>
          <w:p w14:paraId="8E000000">
            <w:pPr>
              <w:pStyle w:val="Style_6"/>
              <w:widowControl w:val="1"/>
              <w:numPr>
                <w:ilvl w:val="0"/>
                <w:numId w:val="0"/>
              </w:numPr>
              <w:ind/>
              <w:jc w:val="right"/>
              <w:rPr>
                <w:sz w:val="16"/>
              </w:rPr>
            </w:pPr>
            <w:bookmarkEnd w:id="1"/>
          </w:p>
        </w:tc>
      </w:tr>
    </w:tbl>
    <w:p w14:paraId="8F000000">
      <w:pPr>
        <w:pStyle w:val="Style_1"/>
        <w:widowControl w:val="1"/>
        <w:ind w:right="0"/>
        <w:rPr>
          <w:rFonts w:ascii="Times New Roman" w:hAnsi="Times New Roman"/>
          <w:b w:val="1"/>
        </w:rPr>
      </w:pPr>
    </w:p>
    <w:p w14:paraId="90000000">
      <w:pPr>
        <w:pStyle w:val="Style_1"/>
        <w:widowControl w:val="1"/>
        <w:ind w:right="0"/>
        <w:jc w:val="right"/>
        <w:rPr>
          <w:rFonts w:ascii="Times New Roman" w:hAnsi="Times New Roman"/>
          <w:b w:val="1"/>
        </w:rPr>
      </w:pPr>
    </w:p>
    <w:p w14:paraId="91000000">
      <w:pPr>
        <w:pStyle w:val="Style_1"/>
        <w:widowControl w:val="1"/>
        <w:ind w:right="0"/>
        <w:jc w:val="right"/>
        <w:rPr>
          <w:rFonts w:ascii="Times New Roman" w:hAnsi="Times New Roman"/>
          <w:b w:val="1"/>
        </w:rPr>
      </w:pPr>
    </w:p>
    <w:p w14:paraId="92000000">
      <w:pPr>
        <w:widowControl w:val="1"/>
        <w:ind/>
        <w:jc w:val="both"/>
      </w:pPr>
      <w:r>
        <w:t xml:space="preserve">            УТВЕРЖДАЮ:                                                                               СОГЛАСОВАНО:</w:t>
      </w:r>
    </w:p>
    <w:p w14:paraId="93000000">
      <w:pPr>
        <w:widowControl w:val="1"/>
        <w:ind/>
        <w:jc w:val="both"/>
      </w:pPr>
    </w:p>
    <w:p w14:paraId="94000000">
      <w:pPr>
        <w:widowControl w:val="1"/>
        <w:ind/>
        <w:jc w:val="both"/>
      </w:pPr>
    </w:p>
    <w:tbl>
      <w:tblPr>
        <w:tblStyle w:val="Style_4"/>
        <w:tblW w:type="auto" w:w="0"/>
        <w:tblLayout w:type="fixed"/>
      </w:tblPr>
      <w:tblGrid>
        <w:gridCol w:w="5920"/>
        <w:gridCol w:w="5069"/>
      </w:tblGrid>
      <w:tr>
        <w:tc>
          <w:tcPr>
            <w:tcW w:type="dxa" w:w="5920"/>
          </w:tcPr>
          <w:p w14:paraId="95000000">
            <w:pPr>
              <w:pStyle w:val="Style_2"/>
              <w:widowControl w:val="0"/>
              <w:ind w:left="175" w:right="1735"/>
              <w:rPr>
                <w:sz w:val="20"/>
              </w:rPr>
            </w:pPr>
            <w:r>
              <w:rPr>
                <w:sz w:val="20"/>
              </w:rPr>
              <w:t xml:space="preserve">Заведующий муниципальным дошкольным образовательным </w:t>
            </w:r>
            <w:r>
              <w:rPr>
                <w:sz w:val="20"/>
              </w:rPr>
              <w:t>учреждени</w:t>
            </w:r>
            <w:r>
              <w:rPr>
                <w:sz w:val="20"/>
              </w:rPr>
              <w:t>ем «Детский сад №1</w:t>
            </w:r>
            <w:r>
              <w:rPr>
                <w:sz w:val="20"/>
              </w:rPr>
              <w:t>5</w:t>
            </w:r>
            <w:r>
              <w:rPr>
                <w:sz w:val="20"/>
              </w:rPr>
              <w:t>»</w:t>
            </w:r>
          </w:p>
          <w:p w14:paraId="96000000">
            <w:pPr>
              <w:pStyle w:val="Style_2"/>
              <w:widowControl w:val="0"/>
              <w:ind w:left="175" w:right="1735"/>
              <w:rPr>
                <w:sz w:val="20"/>
              </w:rPr>
            </w:pPr>
          </w:p>
          <w:p w14:paraId="97000000">
            <w:pPr>
              <w:pStyle w:val="Style_2"/>
              <w:widowControl w:val="0"/>
              <w:ind w:left="175" w:right="1735"/>
              <w:rPr>
                <w:sz w:val="20"/>
              </w:rPr>
            </w:pPr>
          </w:p>
          <w:p w14:paraId="98000000">
            <w:pPr>
              <w:pStyle w:val="Style_2"/>
              <w:widowControl w:val="0"/>
              <w:ind w:left="175" w:right="1735"/>
              <w:rPr>
                <w:sz w:val="20"/>
              </w:rPr>
            </w:pPr>
          </w:p>
          <w:p w14:paraId="99000000">
            <w:pPr>
              <w:pStyle w:val="Style_2"/>
              <w:widowControl w:val="0"/>
              <w:ind w:left="175" w:right="1735"/>
              <w:rPr>
                <w:sz w:val="20"/>
              </w:rPr>
            </w:pPr>
            <w:r>
              <w:rPr>
                <w:sz w:val="20"/>
              </w:rPr>
              <w:t>_________</w:t>
            </w:r>
            <w:r>
              <w:rPr>
                <w:sz w:val="20"/>
              </w:rPr>
              <w:t>_______</w:t>
            </w:r>
            <w:r>
              <w:rPr>
                <w:sz w:val="20"/>
              </w:rPr>
              <w:t xml:space="preserve"> </w:t>
            </w:r>
            <w:r>
              <w:rPr>
                <w:sz w:val="20"/>
              </w:rPr>
              <w:t>Шумилова Т.М.</w:t>
            </w:r>
            <w:r>
              <w:rPr>
                <w:sz w:val="20"/>
              </w:rPr>
              <w:t xml:space="preserve">  </w:t>
            </w:r>
          </w:p>
          <w:p w14:paraId="9A000000">
            <w:pPr>
              <w:pStyle w:val="Style_2"/>
              <w:widowControl w:val="0"/>
              <w:ind w:left="175" w:right="486"/>
              <w:rPr>
                <w:sz w:val="20"/>
              </w:rPr>
            </w:pPr>
            <w:r>
              <w:rPr>
                <w:sz w:val="20"/>
              </w:rPr>
              <w:t xml:space="preserve">М.П.  </w:t>
            </w:r>
          </w:p>
        </w:tc>
        <w:tc>
          <w:tcPr>
            <w:tcW w:type="dxa" w:w="5069"/>
          </w:tcPr>
          <w:p w14:paraId="9B000000">
            <w:pPr>
              <w:pStyle w:val="Style_2"/>
              <w:widowControl w:val="0"/>
              <w:ind w:right="486"/>
              <w:rPr>
                <w:sz w:val="20"/>
              </w:rPr>
            </w:pPr>
          </w:p>
        </w:tc>
      </w:tr>
      <w:tr>
        <w:tc>
          <w:tcPr>
            <w:tcW w:type="dxa" w:w="5920"/>
          </w:tcPr>
          <w:p w14:paraId="9C000000">
            <w:pPr>
              <w:rPr>
                <w:color w:val="000000"/>
              </w:rPr>
            </w:pPr>
          </w:p>
        </w:tc>
        <w:tc>
          <w:tcPr>
            <w:tcW w:type="dxa" w:w="5069"/>
          </w:tcPr>
          <w:p w14:paraId="9D000000">
            <w:pPr>
              <w:widowControl w:val="1"/>
              <w:ind w:right="849"/>
              <w:rPr>
                <w:color w:val="000000"/>
                <w:sz w:val="18"/>
              </w:rPr>
            </w:pPr>
          </w:p>
        </w:tc>
      </w:tr>
      <w:tr>
        <w:tc>
          <w:tcPr>
            <w:tcW w:type="dxa" w:w="5920"/>
          </w:tcPr>
          <w:p w14:paraId="9E000000">
            <w:pPr>
              <w:widowControl w:val="1"/>
              <w:ind/>
              <w:jc w:val="both"/>
            </w:pPr>
          </w:p>
          <w:p w14:paraId="9F000000">
            <w:pPr>
              <w:widowControl w:val="1"/>
              <w:ind/>
              <w:jc w:val="both"/>
            </w:pPr>
          </w:p>
        </w:tc>
        <w:tc>
          <w:tcPr>
            <w:tcW w:type="dxa" w:w="5069"/>
          </w:tcPr>
          <w:p w14:paraId="A0000000">
            <w:pPr>
              <w:widowControl w:val="1"/>
              <w:ind/>
              <w:jc w:val="both"/>
              <w:rPr>
                <w:color w:val="000000"/>
              </w:rPr>
            </w:pPr>
          </w:p>
        </w:tc>
      </w:tr>
    </w:tbl>
    <w:p w14:paraId="A1000000">
      <w:pPr>
        <w:pStyle w:val="Style_7"/>
        <w:widowControl w:val="1"/>
        <w:ind/>
        <w:jc w:val="center"/>
        <w:rPr>
          <w:b w:val="1"/>
          <w:sz w:val="20"/>
        </w:rPr>
      </w:pPr>
      <w:r>
        <w:rPr>
          <w:b w:val="1"/>
          <w:sz w:val="20"/>
        </w:rPr>
        <w:t>СПЕЦИФИКАЦИЯ</w:t>
      </w:r>
    </w:p>
    <w:p w14:paraId="A2000000">
      <w:pPr>
        <w:pStyle w:val="Style_2"/>
        <w:widowControl w:val="1"/>
        <w:tabs>
          <w:tab w:leader="none" w:pos="405" w:val="left"/>
        </w:tabs>
        <w:ind w:left="-540"/>
        <w:rPr>
          <w:b w:val="1"/>
          <w:sz w:val="20"/>
        </w:rPr>
      </w:pPr>
      <w:r>
        <w:rPr>
          <w:b w:val="1"/>
        </w:rPr>
        <w:t xml:space="preserve"> </w:t>
      </w:r>
    </w:p>
    <w:tbl>
      <w:tblPr>
        <w:tblStyle w:val="Style_4"/>
        <w:tblW w:type="auto" w:w="0"/>
        <w:tblInd w:type="dxa" w:w="113"/>
        <w:tblLayout w:type="fixed"/>
      </w:tblPr>
      <w:tblGrid>
        <w:gridCol w:w="560"/>
        <w:gridCol w:w="4113"/>
        <w:gridCol w:w="740"/>
        <w:gridCol w:w="800"/>
        <w:gridCol w:w="1580"/>
        <w:gridCol w:w="1760"/>
      </w:tblGrid>
      <w:tr>
        <w:trPr>
          <w:trHeight w:hRule="atLeast" w:val="552"/>
        </w:trPr>
        <w:tc>
          <w:tcPr>
            <w:tcW w:type="dxa" w:w="560"/>
            <w:tcBorders>
              <w:top w:color="000000" w:sz="4" w:val="single"/>
              <w:left w:color="000000" w:sz="4" w:val="single"/>
              <w:bottom w:color="000000" w:sz="4" w:val="single"/>
              <w:right w:color="000000" w:sz="4" w:val="single"/>
            </w:tcBorders>
            <w:shd w:fill="FFFFFF" w:val="clear"/>
          </w:tcPr>
          <w:p w14:paraId="A3000000">
            <w:pPr>
              <w:rPr>
                <w:color w:val="000000"/>
                <w:sz w:val="22"/>
              </w:rPr>
            </w:pPr>
          </w:p>
        </w:tc>
        <w:tc>
          <w:tcPr>
            <w:tcW w:type="dxa" w:w="4113"/>
            <w:tcBorders>
              <w:top w:color="000000" w:sz="4" w:val="single"/>
              <w:left w:sz="4" w:val="nil"/>
              <w:bottom w:color="000000" w:sz="4" w:val="single"/>
              <w:right w:color="000000" w:sz="4" w:val="single"/>
            </w:tcBorders>
            <w:shd w:fill="FFFFFF" w:val="clear"/>
          </w:tcPr>
          <w:p w14:paraId="A4000000">
            <w:pPr>
              <w:rPr>
                <w:color w:val="000000"/>
                <w:sz w:val="22"/>
              </w:rPr>
            </w:pPr>
          </w:p>
        </w:tc>
        <w:tc>
          <w:tcPr>
            <w:tcW w:type="dxa" w:w="740"/>
            <w:tcBorders>
              <w:top w:color="000000" w:sz="4" w:val="single"/>
              <w:left w:sz="4" w:val="nil"/>
              <w:bottom w:color="000000" w:sz="4" w:val="single"/>
              <w:right w:color="000000" w:sz="4" w:val="single"/>
            </w:tcBorders>
            <w:shd w:fill="FFFFFF" w:val="clear"/>
          </w:tcPr>
          <w:p w14:paraId="A5000000">
            <w:pPr>
              <w:widowControl w:val="1"/>
              <w:ind/>
              <w:jc w:val="center"/>
              <w:rPr>
                <w:color w:val="000000"/>
                <w:sz w:val="22"/>
              </w:rPr>
            </w:pPr>
          </w:p>
        </w:tc>
        <w:tc>
          <w:tcPr>
            <w:tcW w:type="dxa" w:w="800"/>
            <w:tcBorders>
              <w:top w:color="000000" w:sz="4" w:val="single"/>
              <w:left w:sz="4" w:val="nil"/>
              <w:bottom w:color="000000" w:sz="4" w:val="single"/>
              <w:right w:color="000000" w:sz="4" w:val="single"/>
            </w:tcBorders>
            <w:shd w:fill="FFFFFF" w:val="clear"/>
          </w:tcPr>
          <w:p w14:paraId="A6000000">
            <w:pPr>
              <w:widowControl w:val="1"/>
              <w:ind/>
              <w:jc w:val="center"/>
              <w:rPr>
                <w:color w:val="000000"/>
                <w:sz w:val="22"/>
              </w:rPr>
            </w:pPr>
          </w:p>
        </w:tc>
        <w:tc>
          <w:tcPr>
            <w:tcW w:type="dxa" w:w="1580"/>
            <w:tcBorders>
              <w:top w:color="000000" w:sz="4" w:val="single"/>
              <w:left w:sz="4" w:val="nil"/>
              <w:bottom w:color="000000" w:sz="4" w:val="single"/>
              <w:right w:color="000000" w:sz="4" w:val="single"/>
            </w:tcBorders>
            <w:shd w:fill="FFFFFF" w:val="clear"/>
          </w:tcPr>
          <w:p w14:paraId="A7000000">
            <w:pPr>
              <w:widowControl w:val="1"/>
              <w:ind/>
              <w:jc w:val="center"/>
              <w:rPr>
                <w:color w:val="000000"/>
                <w:sz w:val="22"/>
              </w:rPr>
            </w:pPr>
          </w:p>
        </w:tc>
        <w:tc>
          <w:tcPr>
            <w:tcW w:type="dxa" w:w="1760"/>
            <w:tcBorders>
              <w:top w:color="000000" w:sz="4" w:val="single"/>
              <w:left w:sz="4" w:val="nil"/>
              <w:bottom w:color="000000" w:sz="4" w:val="single"/>
              <w:right w:color="000000" w:sz="4" w:val="single"/>
            </w:tcBorders>
            <w:shd w:fill="FFFFFF" w:val="clear"/>
          </w:tcPr>
          <w:p w14:paraId="A8000000">
            <w:pPr>
              <w:widowControl w:val="1"/>
              <w:ind/>
              <w:jc w:val="right"/>
              <w:rPr>
                <w:color w:val="000000"/>
                <w:sz w:val="22"/>
              </w:rPr>
            </w:pPr>
          </w:p>
        </w:tc>
      </w:tr>
      <w:tr>
        <w:trPr>
          <w:trHeight w:hRule="atLeast" w:val="312"/>
        </w:trPr>
        <w:tc>
          <w:tcPr>
            <w:tcW w:type="dxa" w:w="560"/>
            <w:tcBorders>
              <w:top w:sz="4" w:val="nil"/>
              <w:left w:color="000000" w:sz="4" w:val="single"/>
              <w:bottom w:color="000000" w:sz="4" w:val="single"/>
              <w:right w:color="000000" w:sz="4" w:val="single"/>
            </w:tcBorders>
            <w:shd w:fill="auto" w:val="clear"/>
          </w:tcPr>
          <w:p w14:paraId="A9000000">
            <w:pPr>
              <w:widowControl w:val="1"/>
              <w:ind/>
              <w:jc w:val="center"/>
              <w:rPr>
                <w:color w:val="000000"/>
                <w:sz w:val="22"/>
              </w:rPr>
            </w:pPr>
          </w:p>
        </w:tc>
        <w:tc>
          <w:tcPr>
            <w:tcW w:type="dxa" w:w="4113"/>
            <w:tcBorders>
              <w:top w:sz="4" w:val="nil"/>
              <w:left w:sz="4" w:val="nil"/>
              <w:bottom w:color="000000" w:sz="4" w:val="single"/>
              <w:right w:color="000000" w:sz="4" w:val="single"/>
            </w:tcBorders>
            <w:shd w:fill="FFFFFF" w:val="clear"/>
          </w:tcPr>
          <w:p/>
        </w:tc>
        <w:tc>
          <w:tcPr>
            <w:tcW w:type="dxa" w:w="740"/>
            <w:tcBorders>
              <w:top w:sz="4" w:val="nil"/>
              <w:left w:sz="4" w:val="nil"/>
              <w:bottom w:color="000000" w:sz="4" w:val="single"/>
              <w:right w:color="000000" w:sz="4" w:val="single"/>
            </w:tcBorders>
            <w:shd w:fill="FFFFFF" w:val="clear"/>
          </w:tcPr>
          <w:p w14:paraId="AA000000">
            <w:pPr>
              <w:widowControl w:val="1"/>
              <w:ind/>
              <w:jc w:val="right"/>
            </w:pPr>
          </w:p>
        </w:tc>
        <w:tc>
          <w:tcPr>
            <w:tcW w:type="dxa" w:w="800"/>
            <w:tcBorders>
              <w:top w:sz="4" w:val="nil"/>
              <w:left w:sz="4" w:val="nil"/>
              <w:bottom w:color="000000" w:sz="4" w:val="single"/>
              <w:right w:color="000000" w:sz="4" w:val="single"/>
            </w:tcBorders>
            <w:shd w:fill="FFFFFF" w:val="clear"/>
          </w:tcPr>
          <w:p w14:paraId="AB000000">
            <w:pPr>
              <w:widowControl w:val="1"/>
              <w:ind/>
              <w:jc w:val="center"/>
              <w:rPr>
                <w:color w:val="000000"/>
                <w:sz w:val="22"/>
              </w:rPr>
            </w:pPr>
          </w:p>
        </w:tc>
        <w:tc>
          <w:tcPr>
            <w:tcW w:type="dxa" w:w="1580"/>
            <w:tcBorders>
              <w:top w:sz="4" w:val="nil"/>
              <w:left w:sz="4" w:val="nil"/>
              <w:bottom w:color="000000" w:sz="4" w:val="single"/>
              <w:right w:color="000000" w:sz="4" w:val="single"/>
            </w:tcBorders>
            <w:shd w:fill="FFFFFF" w:val="clear"/>
          </w:tcPr>
          <w:p w14:paraId="AC000000">
            <w:pPr>
              <w:widowControl w:val="1"/>
              <w:ind/>
              <w:jc w:val="right"/>
            </w:pPr>
          </w:p>
        </w:tc>
        <w:tc>
          <w:tcPr>
            <w:tcW w:type="dxa" w:w="1760"/>
            <w:tcBorders>
              <w:top w:sz="4" w:val="nil"/>
              <w:left w:sz="4" w:val="nil"/>
              <w:bottom w:color="000000" w:sz="4" w:val="single"/>
              <w:right w:color="000000" w:sz="4" w:val="single"/>
            </w:tcBorders>
            <w:shd w:fill="auto" w:val="clear"/>
          </w:tcPr>
          <w:p w14:paraId="AD000000">
            <w:pPr>
              <w:widowControl w:val="1"/>
              <w:ind/>
              <w:jc w:val="right"/>
              <w:rPr>
                <w:sz w:val="22"/>
              </w:rPr>
            </w:pPr>
          </w:p>
        </w:tc>
      </w:tr>
      <w:tr>
        <w:trPr>
          <w:trHeight w:hRule="atLeast" w:val="276"/>
        </w:trPr>
        <w:tc>
          <w:tcPr>
            <w:tcW w:type="dxa" w:w="560"/>
            <w:tcBorders>
              <w:top w:sz="4" w:val="nil"/>
              <w:left w:sz="4" w:val="nil"/>
              <w:bottom w:sz="4" w:val="nil"/>
              <w:right w:sz="4" w:val="nil"/>
            </w:tcBorders>
            <w:shd w:fill="auto" w:val="clear"/>
          </w:tcPr>
          <w:p w14:paraId="AE000000">
            <w:pPr>
              <w:widowControl w:val="1"/>
              <w:ind/>
              <w:jc w:val="right"/>
              <w:rPr>
                <w:sz w:val="22"/>
              </w:rPr>
            </w:pPr>
          </w:p>
        </w:tc>
        <w:tc>
          <w:tcPr>
            <w:tcW w:type="dxa" w:w="4113"/>
            <w:tcBorders>
              <w:top w:sz="4" w:val="nil"/>
              <w:left w:sz="4" w:val="nil"/>
              <w:bottom w:sz="4" w:val="nil"/>
              <w:right w:sz="4" w:val="nil"/>
            </w:tcBorders>
            <w:shd w:fill="auto" w:val="clear"/>
          </w:tcPr>
          <w:p w14:paraId="AF000000">
            <w:pPr>
              <w:rPr>
                <w:sz w:val="20"/>
              </w:rPr>
            </w:pPr>
          </w:p>
        </w:tc>
        <w:tc>
          <w:tcPr>
            <w:tcW w:type="dxa" w:w="740"/>
            <w:tcBorders>
              <w:top w:sz="4" w:val="nil"/>
              <w:left w:sz="4" w:val="nil"/>
              <w:bottom w:sz="4" w:val="nil"/>
              <w:right w:sz="4" w:val="nil"/>
            </w:tcBorders>
            <w:shd w:fill="auto" w:val="clear"/>
          </w:tcPr>
          <w:p w14:paraId="B0000000">
            <w:pPr>
              <w:rPr>
                <w:sz w:val="20"/>
              </w:rPr>
            </w:pPr>
          </w:p>
        </w:tc>
        <w:tc>
          <w:tcPr>
            <w:tcW w:type="dxa" w:w="800"/>
            <w:tcBorders>
              <w:top w:sz="4" w:val="nil"/>
              <w:left w:sz="4" w:val="nil"/>
              <w:bottom w:sz="4" w:val="nil"/>
              <w:right w:sz="4" w:val="nil"/>
            </w:tcBorders>
            <w:shd w:fill="auto" w:val="clear"/>
          </w:tcPr>
          <w:p w14:paraId="B1000000">
            <w:pPr>
              <w:widowControl w:val="1"/>
              <w:ind/>
              <w:jc w:val="center"/>
              <w:rPr>
                <w:sz w:val="20"/>
              </w:rPr>
            </w:pPr>
          </w:p>
        </w:tc>
        <w:tc>
          <w:tcPr>
            <w:tcW w:type="dxa" w:w="1580"/>
            <w:tcBorders>
              <w:top w:sz="4" w:val="nil"/>
              <w:left w:sz="4" w:val="nil"/>
              <w:bottom w:sz="4" w:val="nil"/>
              <w:right w:sz="4" w:val="nil"/>
            </w:tcBorders>
            <w:shd w:fill="auto" w:val="clear"/>
          </w:tcPr>
          <w:p w14:paraId="B2000000">
            <w:pPr>
              <w:widowControl w:val="1"/>
              <w:ind/>
              <w:jc w:val="center"/>
              <w:rPr>
                <w:color w:val="000000"/>
                <w:sz w:val="22"/>
              </w:rPr>
            </w:pPr>
          </w:p>
        </w:tc>
        <w:tc>
          <w:tcPr>
            <w:tcW w:type="dxa" w:w="1760"/>
            <w:tcBorders>
              <w:top w:sz="4" w:val="nil"/>
              <w:left w:sz="4" w:val="nil"/>
              <w:bottom w:sz="4" w:val="nil"/>
              <w:right w:sz="4" w:val="nil"/>
            </w:tcBorders>
            <w:shd w:fill="FFFFFF" w:val="clear"/>
          </w:tcPr>
          <w:p w14:paraId="B3000000">
            <w:pPr>
              <w:widowControl w:val="1"/>
              <w:ind/>
              <w:jc w:val="right"/>
              <w:rPr>
                <w:color w:val="000000"/>
                <w:sz w:val="22"/>
              </w:rPr>
            </w:pPr>
          </w:p>
        </w:tc>
      </w:tr>
    </w:tbl>
    <w:p w14:paraId="B4000000">
      <w:pPr>
        <w:pStyle w:val="Style_2"/>
        <w:widowControl w:val="1"/>
        <w:tabs>
          <w:tab w:leader="none" w:pos="405" w:val="left"/>
        </w:tabs>
        <w:ind w:left="-540"/>
        <w:rPr>
          <w:b w:val="1"/>
          <w:sz w:val="20"/>
        </w:rPr>
      </w:pPr>
    </w:p>
    <w:p w14:paraId="B5000000">
      <w:pPr>
        <w:pStyle w:val="Style_2"/>
        <w:widowControl w:val="1"/>
        <w:tabs>
          <w:tab w:leader="none" w:pos="405" w:val="left"/>
        </w:tabs>
        <w:ind w:firstLine="540" w:left="-540"/>
        <w:rPr>
          <w:b w:val="1"/>
        </w:rPr>
      </w:pPr>
      <w:r>
        <w:rPr>
          <w:b w:val="1"/>
          <w:sz w:val="20"/>
        </w:rPr>
        <w:t xml:space="preserve">Итого: </w:t>
      </w:r>
    </w:p>
    <w:p w14:paraId="B6000000">
      <w:pPr>
        <w:pStyle w:val="Style_2"/>
        <w:widowControl w:val="1"/>
        <w:tabs>
          <w:tab w:leader="none" w:pos="405" w:val="left"/>
        </w:tabs>
        <w:ind/>
        <w:rPr>
          <w:b w:val="1"/>
          <w:sz w:val="20"/>
        </w:rPr>
      </w:pPr>
    </w:p>
    <w:sectPr>
      <w:pgSz w:h="16838" w:orient="portrait" w:w="11906"/>
      <w:pgMar w:bottom="567" w:footer="709" w:gutter="0" w:header="709" w:left="1418" w:right="567" w:top="567"/>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lvl w:ilvl="1"/>
    <w:lvl w:ilvl="2"/>
    <w:lvl w:ilvl="3"/>
    <w:lvl w:ilvl="4"/>
    <w:lvl w:ilvl="5"/>
    <w:lvl w:ilvl="6"/>
    <w:lvl w:ilvl="7"/>
    <w:lvl w:ilvl="8"/>
  </w:abstractNum>
  <w:abstractNum w:abstractNumId="1">
    <w:lvl w:ilvl="0"/>
    <w:lvl w:ilvl="1"/>
    <w:lvl w:ilvl="2"/>
    <w:lvl w:ilvl="3"/>
    <w:lvl w:ilvl="4"/>
    <w:lvl w:ilvl="5"/>
    <w:lvl w:ilvl="6"/>
    <w:lvl w:ilvl="7"/>
    <w:lvl w:ilvl="8"/>
  </w:abstractNum>
  <w:abstractNum w:abstractNumId="2">
    <w:lvl w:ilvl="0"/>
    <w:lvl w:ilvl="1"/>
    <w:lvl w:ilvl="2"/>
    <w:lvl w:ilvl="3"/>
    <w:lvl w:ilvl="4"/>
    <w:lvl w:ilvl="5"/>
    <w:lvl w:ilvl="6"/>
    <w:lvl w:ilvl="7"/>
    <w:lvl w:ilvl="8"/>
  </w:abstractNum>
  <w:abstractNum w:abstractNumId="3">
    <w:lvl w:ilvl="0"/>
    <w:lvl w:ilvl="1"/>
    <w:lvl w:ilvl="2"/>
    <w:lvl w:ilvl="3"/>
    <w:lvl w:ilvl="4"/>
    <w:lvl w:ilvl="5"/>
    <w:lvl w:ilvl="6"/>
    <w:lvl w:ilvl="7"/>
    <w:lvl w:ilvl="8"/>
  </w:abstractNum>
  <w:abstractNum w:abstractNumId="4">
    <w:lvl w:ilvl="0"/>
    <w:lvl w:ilvl="1"/>
    <w:lvl w:ilvl="2"/>
    <w:lvl w:ilvl="3"/>
    <w:lvl w:ilvl="4"/>
    <w:lvl w:ilvl="5"/>
    <w:lvl w:ilvl="6"/>
    <w:lvl w:ilvl="7"/>
    <w:lvl w:ilvl="8"/>
  </w:abstractNum>
  <w:abstractNum w:abstractNumId="5">
    <w:lvl w:ilvl="0">
      <w:start w:val="7"/>
      <w:numFmt w:val="decimal"/>
      <w:lvlText w:val="%1."/>
      <w:lvlJc w:val="left"/>
      <w:pPr>
        <w:widowControl w:val="1"/>
        <w:tabs>
          <w:tab w:leader="none" w:pos="510" w:val="left"/>
        </w:tabs>
        <w:ind w:hanging="510" w:left="510"/>
      </w:pPr>
    </w:lvl>
    <w:lvl w:ilvl="1">
      <w:start w:val="1"/>
      <w:numFmt w:val="decimal"/>
      <w:lvlText w:val="%1.%2."/>
      <w:lvlJc w:val="left"/>
      <w:pPr>
        <w:widowControl w:val="1"/>
        <w:tabs>
          <w:tab w:leader="none" w:pos="240" w:val="left"/>
        </w:tabs>
        <w:ind w:hanging="510" w:left="240"/>
      </w:pPr>
    </w:lvl>
    <w:lvl w:ilvl="2">
      <w:start w:val="1"/>
      <w:numFmt w:val="decimal"/>
      <w:lvlText w:val="%1.%2.%3."/>
      <w:lvlJc w:val="left"/>
      <w:pPr>
        <w:widowControl w:val="1"/>
        <w:tabs>
          <w:tab w:leader="none" w:pos="180" w:val="left"/>
        </w:tabs>
        <w:ind w:hanging="720" w:left="180"/>
      </w:pPr>
    </w:lvl>
    <w:lvl w:ilvl="3">
      <w:start w:val="1"/>
      <w:numFmt w:val="decimal"/>
      <w:lvlText w:val="%1.%2.%3.%4."/>
      <w:lvlJc w:val="left"/>
      <w:pPr>
        <w:widowControl w:val="1"/>
        <w:ind w:hanging="720" w:left="-90"/>
      </w:pPr>
    </w:lvl>
    <w:lvl w:ilvl="4">
      <w:start w:val="1"/>
      <w:numFmt w:val="decimal"/>
      <w:lvlText w:val="%1.%2.%3.%4.%5."/>
      <w:lvlJc w:val="left"/>
      <w:pPr>
        <w:widowControl w:val="1"/>
        <w:tabs>
          <w:tab w:leader="none" w:pos="0" w:val="left"/>
        </w:tabs>
        <w:ind w:hanging="1080" w:left="0"/>
      </w:pPr>
    </w:lvl>
    <w:lvl w:ilvl="5">
      <w:start w:val="1"/>
      <w:numFmt w:val="decimal"/>
      <w:lvlText w:val="%1.%2.%3.%4.%5.%6."/>
      <w:lvlJc w:val="left"/>
      <w:pPr>
        <w:widowControl w:val="1"/>
        <w:ind w:hanging="1080" w:left="-270"/>
      </w:pPr>
    </w:lvl>
    <w:lvl w:ilvl="6">
      <w:start w:val="1"/>
      <w:numFmt w:val="decimal"/>
      <w:lvlText w:val="%1.%2.%3.%4.%5.%6.%7."/>
      <w:lvlJc w:val="left"/>
      <w:pPr>
        <w:widowControl w:val="1"/>
        <w:ind w:hanging="1080" w:left="-540"/>
      </w:pPr>
    </w:lvl>
    <w:lvl w:ilvl="7">
      <w:start w:val="1"/>
      <w:numFmt w:val="decimal"/>
      <w:lvlText w:val="%1.%2.%3.%4.%5.%6.%7.%8."/>
      <w:lvlJc w:val="left"/>
      <w:pPr>
        <w:widowControl w:val="1"/>
        <w:ind w:hanging="1440" w:left="-450"/>
      </w:pPr>
    </w:lvl>
    <w:lvl w:ilvl="8">
      <w:start w:val="1"/>
      <w:numFmt w:val="decimal"/>
      <w:lvlText w:val="%1.%2.%3.%4.%5.%6.%7.%8.%9."/>
      <w:lvlJc w:val="left"/>
      <w:pPr>
        <w:widowControl w:val="1"/>
        <w:ind w:hanging="1440" w:left="-720"/>
      </w:pPr>
    </w:lvl>
  </w:abstractNum>
  <w:abstractNum w:abstractNumId="6">
    <w:lvl w:ilvl="0"/>
    <w:lvl w:ilvl="1"/>
    <w:lvl w:ilvl="2"/>
    <w:lvl w:ilvl="3"/>
    <w:lvl w:ilvl="4"/>
    <w:lvl w:ilvl="5"/>
    <w:lvl w:ilvl="6"/>
    <w:lvl w:ilvl="7"/>
    <w:lvl w:ilvl="8"/>
  </w:abstractNum>
  <w:abstractNum w:abstractNumId="7">
    <w:lvl w:ilvl="0"/>
    <w:lvl w:ilvl="1"/>
    <w:lvl w:ilvl="2"/>
    <w:lvl w:ilvl="3"/>
    <w:lvl w:ilvl="4"/>
    <w:lvl w:ilvl="5"/>
    <w:lvl w:ilvl="6"/>
    <w:lvl w:ilvl="7"/>
    <w:lvl w:ilvl="8"/>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rPr>
      <w:sz w:val="24"/>
    </w:rPr>
  </w:style>
  <w:style w:default="1" w:styleId="Style_5_ch" w:type="character">
    <w:name w:val="Normal"/>
    <w:link w:val="Style_5"/>
    <w:rPr>
      <w:sz w:val="24"/>
    </w:rPr>
  </w:style>
  <w:style w:styleId="Style_8" w:type="paragraph">
    <w:name w:val="Знак Знак Знак1 Знак"/>
    <w:basedOn w:val="Style_5"/>
    <w:link w:val="Style_8_ch"/>
    <w:pPr>
      <w:widowControl w:val="1"/>
      <w:spacing w:after="160" w:line="240" w:lineRule="exact"/>
      <w:ind/>
      <w:jc w:val="right"/>
    </w:pPr>
  </w:style>
  <w:style w:styleId="Style_8_ch" w:type="character">
    <w:name w:val="Знак Знак Знак1 Знак"/>
    <w:basedOn w:val="Style_5_ch"/>
    <w:link w:val="Style_8"/>
  </w:style>
  <w:style w:styleId="Style_9" w:type="paragraph">
    <w:name w:val="toc 2"/>
    <w:next w:val="Style_5"/>
    <w:link w:val="Style_9_ch"/>
    <w:uiPriority w:val="39"/>
    <w:pPr>
      <w:widowControl w:val="1"/>
      <w:ind w:firstLine="0" w:left="200"/>
      <w:jc w:val="left"/>
    </w:pPr>
    <w:rPr>
      <w:rFonts w:ascii="XO Thames" w:hAnsi="XO Thames"/>
      <w:sz w:val="28"/>
    </w:rPr>
  </w:style>
  <w:style w:styleId="Style_9_ch" w:type="character">
    <w:name w:val="toc 2"/>
    <w:link w:val="Style_9"/>
    <w:rPr>
      <w:rFonts w:ascii="XO Thames" w:hAnsi="XO Thames"/>
      <w:sz w:val="28"/>
    </w:rPr>
  </w:style>
  <w:style w:styleId="Style_10" w:type="paragraph">
    <w:name w:val="toc 4"/>
    <w:next w:val="Style_5"/>
    <w:link w:val="Style_10_ch"/>
    <w:uiPriority w:val="39"/>
    <w:pPr>
      <w:widowControl w:val="1"/>
      <w:ind w:firstLine="0" w:left="600"/>
      <w:jc w:val="left"/>
    </w:pPr>
    <w:rPr>
      <w:rFonts w:ascii="XO Thames" w:hAnsi="XO Thames"/>
      <w:sz w:val="28"/>
    </w:rPr>
  </w:style>
  <w:style w:styleId="Style_10_ch" w:type="character">
    <w:name w:val="toc 4"/>
    <w:link w:val="Style_10"/>
    <w:rPr>
      <w:rFonts w:ascii="XO Thames" w:hAnsi="XO Thames"/>
      <w:sz w:val="28"/>
    </w:rPr>
  </w:style>
  <w:style w:styleId="Style_11" w:type="paragraph">
    <w:name w:val="toc 6"/>
    <w:next w:val="Style_5"/>
    <w:link w:val="Style_11_ch"/>
    <w:uiPriority w:val="39"/>
    <w:pPr>
      <w:widowControl w:val="1"/>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5"/>
    <w:link w:val="Style_12_ch"/>
    <w:uiPriority w:val="39"/>
    <w:pPr>
      <w:widowControl w:val="1"/>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7" w:type="paragraph">
    <w:name w:val="Body Text 3"/>
    <w:basedOn w:val="Style_5"/>
    <w:link w:val="Style_7_ch"/>
    <w:pPr>
      <w:keepNext w:val="1"/>
      <w:keepLines w:val="1"/>
      <w:widowControl w:val="1"/>
      <w:ind/>
      <w:jc w:val="both"/>
    </w:pPr>
    <w:rPr>
      <w:sz w:val="24"/>
    </w:rPr>
  </w:style>
  <w:style w:styleId="Style_7_ch" w:type="character">
    <w:name w:val="Body Text 3"/>
    <w:basedOn w:val="Style_5_ch"/>
    <w:link w:val="Style_7"/>
    <w:rPr>
      <w:sz w:val="24"/>
    </w:rPr>
  </w:style>
  <w:style w:styleId="Style_13" w:type="paragraph">
    <w:name w:val=" Знак14 Знак"/>
    <w:link w:val="Style_13_ch"/>
    <w:rPr>
      <w:rFonts w:ascii="Times New Roman" w:hAnsi="Times New Roman"/>
      <w:sz w:val="20"/>
    </w:rPr>
  </w:style>
  <w:style w:styleId="Style_13_ch" w:type="character">
    <w:name w:val=" Знак14 Знак"/>
    <w:link w:val="Style_13"/>
    <w:rPr>
      <w:rFonts w:ascii="Times New Roman" w:hAnsi="Times New Roman"/>
      <w:sz w:val="20"/>
    </w:rPr>
  </w:style>
  <w:style w:styleId="Style_14" w:type="paragraph">
    <w:name w:val="Endnote"/>
    <w:link w:val="Style_14_ch"/>
    <w:pPr>
      <w:widowControl w:val="1"/>
      <w:ind w:firstLine="851" w:left="0"/>
      <w:jc w:val="both"/>
    </w:pPr>
    <w:rPr>
      <w:rFonts w:ascii="XO Thames" w:hAnsi="XO Thames"/>
      <w:sz w:val="22"/>
    </w:rPr>
  </w:style>
  <w:style w:styleId="Style_14_ch" w:type="character">
    <w:name w:val="Endnote"/>
    <w:link w:val="Style_14"/>
    <w:rPr>
      <w:rFonts w:ascii="XO Thames" w:hAnsi="XO Thames"/>
      <w:sz w:val="22"/>
    </w:rPr>
  </w:style>
  <w:style w:styleId="Style_15" w:type="paragraph">
    <w:name w:val="heading 3"/>
    <w:next w:val="Style_5"/>
    <w:link w:val="Style_15_ch"/>
    <w:uiPriority w:val="9"/>
    <w:qFormat/>
    <w:pPr>
      <w:widowControl w:val="1"/>
      <w:spacing w:after="120" w:before="120"/>
      <w:ind/>
      <w:jc w:val="both"/>
      <w:outlineLvl w:val="2"/>
    </w:pPr>
    <w:rPr>
      <w:rFonts w:ascii="XO Thames" w:hAnsi="XO Thames"/>
      <w:b w:val="1"/>
      <w:sz w:val="26"/>
    </w:rPr>
  </w:style>
  <w:style w:styleId="Style_15_ch" w:type="character">
    <w:name w:val="heading 3"/>
    <w:link w:val="Style_15"/>
    <w:rPr>
      <w:rFonts w:ascii="XO Thames" w:hAnsi="XO Thames"/>
      <w:b w:val="1"/>
      <w:sz w:val="26"/>
    </w:rPr>
  </w:style>
  <w:style w:styleId="Style_16" w:type="paragraph">
    <w:name w:val="Основной шрифт абзаца1"/>
    <w:link w:val="Style_16_ch"/>
  </w:style>
  <w:style w:styleId="Style_16_ch" w:type="character">
    <w:name w:val="Основной шрифт абзаца1"/>
    <w:link w:val="Style_16"/>
  </w:style>
  <w:style w:styleId="Style_17" w:type="paragraph">
    <w:name w:val="xl65"/>
    <w:basedOn w:val="Style_5"/>
    <w:link w:val="Style_17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sz w:val="24"/>
    </w:rPr>
  </w:style>
  <w:style w:styleId="Style_17_ch" w:type="character">
    <w:name w:val="xl65"/>
    <w:basedOn w:val="Style_5_ch"/>
    <w:link w:val="Style_17"/>
    <w:rPr>
      <w:rFonts w:ascii="Arial" w:hAnsi="Arial"/>
      <w:sz w:val="24"/>
    </w:rPr>
  </w:style>
  <w:style w:styleId="Style_18" w:type="paragraph">
    <w:name w:val="Normal (Web)"/>
    <w:basedOn w:val="Style_5"/>
    <w:link w:val="Style_18_ch"/>
    <w:pPr>
      <w:widowControl w:val="1"/>
      <w:spacing w:afterAutospacing="on" w:beforeAutospacing="on"/>
      <w:ind/>
    </w:pPr>
    <w:rPr>
      <w:sz w:val="24"/>
    </w:rPr>
  </w:style>
  <w:style w:styleId="Style_18_ch" w:type="character">
    <w:name w:val="Normal (Web)"/>
    <w:basedOn w:val="Style_5_ch"/>
    <w:link w:val="Style_18"/>
    <w:rPr>
      <w:sz w:val="24"/>
    </w:rPr>
  </w:style>
  <w:style w:styleId="Style_19" w:type="paragraph">
    <w:name w:val="xl64"/>
    <w:basedOn w:val="Style_5"/>
    <w:link w:val="Style_19_ch"/>
    <w:pPr>
      <w:widowControl w:val="1"/>
      <w:spacing w:afterAutospacing="on" w:beforeAutospacing="on"/>
      <w:ind/>
    </w:pPr>
    <w:rPr>
      <w:rFonts w:ascii="Helvetica" w:hAnsi="Helvetica"/>
    </w:rPr>
  </w:style>
  <w:style w:styleId="Style_19_ch" w:type="character">
    <w:name w:val="xl64"/>
    <w:basedOn w:val="Style_5_ch"/>
    <w:link w:val="Style_19"/>
    <w:rPr>
      <w:rFonts w:ascii="Helvetica" w:hAnsi="Helvetica"/>
    </w:rPr>
  </w:style>
  <w:style w:styleId="Style_20" w:type="paragraph">
    <w:name w:val="Balloon Text"/>
    <w:basedOn w:val="Style_5"/>
    <w:link w:val="Style_20_ch"/>
    <w:rPr>
      <w:rFonts w:ascii="Tahoma" w:hAnsi="Tahoma"/>
      <w:sz w:val="16"/>
    </w:rPr>
  </w:style>
  <w:style w:styleId="Style_20_ch" w:type="character">
    <w:name w:val="Balloon Text"/>
    <w:basedOn w:val="Style_5_ch"/>
    <w:link w:val="Style_20"/>
    <w:rPr>
      <w:rFonts w:ascii="Tahoma" w:hAnsi="Tahoma"/>
      <w:sz w:val="16"/>
    </w:rPr>
  </w:style>
  <w:style w:styleId="Style_21" w:type="paragraph">
    <w:name w:val="toc 3"/>
    <w:next w:val="Style_5"/>
    <w:link w:val="Style_21_ch"/>
    <w:uiPriority w:val="39"/>
    <w:pPr>
      <w:widowControl w:val="1"/>
      <w:ind w:firstLine="0" w:left="400"/>
      <w:jc w:val="left"/>
    </w:pPr>
    <w:rPr>
      <w:rFonts w:ascii="XO Thames" w:hAnsi="XO Thames"/>
      <w:sz w:val="28"/>
    </w:rPr>
  </w:style>
  <w:style w:styleId="Style_21_ch" w:type="character">
    <w:name w:val="toc 3"/>
    <w:link w:val="Style_21"/>
    <w:rPr>
      <w:rFonts w:ascii="XO Thames" w:hAnsi="XO Thames"/>
      <w:sz w:val="28"/>
    </w:rPr>
  </w:style>
  <w:style w:styleId="Style_1" w:type="paragraph">
    <w:name w:val="ConsNonformat"/>
    <w:link w:val="Style_1_ch"/>
    <w:pPr>
      <w:widowControl w:val="0"/>
      <w:ind w:right="19772"/>
    </w:pPr>
    <w:rPr>
      <w:rFonts w:ascii="Courier New" w:hAnsi="Courier New"/>
    </w:rPr>
  </w:style>
  <w:style w:styleId="Style_1_ch" w:type="character">
    <w:name w:val="ConsNonformat"/>
    <w:link w:val="Style_1"/>
    <w:rPr>
      <w:rFonts w:ascii="Courier New" w:hAnsi="Courier New"/>
    </w:rPr>
  </w:style>
  <w:style w:styleId="Style_22" w:type="paragraph">
    <w:name w:val=" Знак Знак Знак Знак Знак"/>
    <w:basedOn w:val="Style_5"/>
    <w:link w:val="Style_22_ch"/>
    <w:pPr>
      <w:widowControl w:val="1"/>
      <w:spacing w:after="160" w:line="240" w:lineRule="exact"/>
      <w:ind/>
    </w:pPr>
    <w:rPr>
      <w:rFonts w:ascii="Verdana" w:hAnsi="Verdana"/>
    </w:rPr>
  </w:style>
  <w:style w:styleId="Style_22_ch" w:type="character">
    <w:name w:val=" Знак Знак Знак Знак Знак"/>
    <w:basedOn w:val="Style_5_ch"/>
    <w:link w:val="Style_22"/>
    <w:rPr>
      <w:rFonts w:ascii="Verdana" w:hAnsi="Verdana"/>
    </w:rPr>
  </w:style>
  <w:style w:styleId="Style_3" w:type="paragraph">
    <w:name w:val="Preformat"/>
    <w:link w:val="Style_3_ch"/>
    <w:pPr>
      <w:widowControl w:val="0"/>
      <w:ind/>
    </w:pPr>
    <w:rPr>
      <w:rFonts w:ascii="Courier New" w:hAnsi="Courier New"/>
    </w:rPr>
  </w:style>
  <w:style w:styleId="Style_3_ch" w:type="character">
    <w:name w:val="Preformat"/>
    <w:link w:val="Style_3"/>
    <w:rPr>
      <w:rFonts w:ascii="Courier New" w:hAnsi="Courier New"/>
    </w:rPr>
  </w:style>
  <w:style w:styleId="Style_23" w:type="paragraph">
    <w:name w:val="xl67"/>
    <w:basedOn w:val="Style_5"/>
    <w:link w:val="Style_23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sz w:val="24"/>
    </w:rPr>
  </w:style>
  <w:style w:styleId="Style_23_ch" w:type="character">
    <w:name w:val="xl67"/>
    <w:basedOn w:val="Style_5_ch"/>
    <w:link w:val="Style_23"/>
    <w:rPr>
      <w:rFonts w:ascii="Arial" w:hAnsi="Arial"/>
      <w:sz w:val="24"/>
    </w:rPr>
  </w:style>
  <w:style w:styleId="Style_24" w:type="paragraph">
    <w:name w:val="heading 5"/>
    <w:next w:val="Style_5"/>
    <w:link w:val="Style_24_ch"/>
    <w:uiPriority w:val="9"/>
    <w:qFormat/>
    <w:pPr>
      <w:widowControl w:val="1"/>
      <w:spacing w:after="120" w:before="120"/>
      <w:ind/>
      <w:jc w:val="both"/>
      <w:outlineLvl w:val="4"/>
    </w:pPr>
    <w:rPr>
      <w:rFonts w:ascii="XO Thames" w:hAnsi="XO Thames"/>
      <w:b w:val="1"/>
      <w:sz w:val="22"/>
    </w:rPr>
  </w:style>
  <w:style w:styleId="Style_24_ch" w:type="character">
    <w:name w:val="heading 5"/>
    <w:link w:val="Style_24"/>
    <w:rPr>
      <w:rFonts w:ascii="XO Thames" w:hAnsi="XO Thames"/>
      <w:b w:val="1"/>
      <w:sz w:val="22"/>
    </w:rPr>
  </w:style>
  <w:style w:styleId="Style_25" w:type="paragraph">
    <w:name w:val="heading 1"/>
    <w:next w:val="Style_5"/>
    <w:link w:val="Style_25_ch"/>
    <w:uiPriority w:val="9"/>
    <w:qFormat/>
    <w:pPr>
      <w:widowControl w:val="1"/>
      <w:spacing w:after="120" w:before="120"/>
      <w:ind/>
      <w:jc w:val="both"/>
      <w:outlineLvl w:val="0"/>
    </w:pPr>
    <w:rPr>
      <w:rFonts w:ascii="XO Thames" w:hAnsi="XO Thames"/>
      <w:b w:val="1"/>
      <w:sz w:val="32"/>
    </w:rPr>
  </w:style>
  <w:style w:styleId="Style_25_ch" w:type="character">
    <w:name w:val="heading 1"/>
    <w:link w:val="Style_25"/>
    <w:rPr>
      <w:rFonts w:ascii="XO Thames" w:hAnsi="XO Thames"/>
      <w:b w:val="1"/>
      <w:sz w:val="32"/>
    </w:rPr>
  </w:style>
  <w:style w:styleId="Style_26" w:type="paragraph">
    <w:name w:val="xl66"/>
    <w:basedOn w:val="Style_5"/>
    <w:link w:val="Style_26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sz w:val="24"/>
    </w:rPr>
  </w:style>
  <w:style w:styleId="Style_26_ch" w:type="character">
    <w:name w:val="xl66"/>
    <w:basedOn w:val="Style_5_ch"/>
    <w:link w:val="Style_26"/>
    <w:rPr>
      <w:rFonts w:ascii="Arial" w:hAnsi="Arial"/>
      <w:sz w:val="24"/>
    </w:rPr>
  </w:style>
  <w:style w:styleId="Style_27" w:type="paragraph">
    <w:name w:val="Hyperlink"/>
    <w:link w:val="Style_27_ch"/>
    <w:rPr>
      <w:color w:val="0000FF"/>
      <w:u w:val="single"/>
    </w:rPr>
  </w:style>
  <w:style w:styleId="Style_27_ch" w:type="character">
    <w:name w:val="Hyperlink"/>
    <w:link w:val="Style_27"/>
    <w:rPr>
      <w:color w:val="0000FF"/>
      <w:u w:val="single"/>
    </w:rPr>
  </w:style>
  <w:style w:styleId="Style_28" w:type="paragraph">
    <w:name w:val="Footnote"/>
    <w:basedOn w:val="Style_5"/>
    <w:link w:val="Style_28_ch"/>
    <w:pPr>
      <w:widowControl w:val="1"/>
      <w:spacing w:after="60"/>
      <w:ind/>
      <w:jc w:val="both"/>
    </w:pPr>
  </w:style>
  <w:style w:styleId="Style_28_ch" w:type="character">
    <w:name w:val="Footnote"/>
    <w:basedOn w:val="Style_5_ch"/>
    <w:link w:val="Style_28"/>
  </w:style>
  <w:style w:styleId="Style_29" w:type="paragraph">
    <w:name w:val="xl68"/>
    <w:basedOn w:val="Style_5"/>
    <w:link w:val="Style_29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w:hAnsi="Arial"/>
      <w:sz w:val="24"/>
    </w:rPr>
  </w:style>
  <w:style w:styleId="Style_29_ch" w:type="character">
    <w:name w:val="xl68"/>
    <w:basedOn w:val="Style_5_ch"/>
    <w:link w:val="Style_29"/>
    <w:rPr>
      <w:rFonts w:ascii="Arial" w:hAnsi="Arial"/>
      <w:sz w:val="24"/>
    </w:rPr>
  </w:style>
  <w:style w:styleId="Style_30" w:type="paragraph">
    <w:name w:val="toc 1"/>
    <w:next w:val="Style_5"/>
    <w:link w:val="Style_30_ch"/>
    <w:uiPriority w:val="39"/>
    <w:pPr>
      <w:widowControl w:val="1"/>
      <w:ind w:firstLine="0" w:left="0"/>
      <w:jc w:val="left"/>
    </w:pPr>
    <w:rPr>
      <w:rFonts w:ascii="XO Thames" w:hAnsi="XO Thames"/>
      <w:b w:val="1"/>
      <w:sz w:val="28"/>
    </w:rPr>
  </w:style>
  <w:style w:styleId="Style_30_ch" w:type="character">
    <w:name w:val="toc 1"/>
    <w:link w:val="Style_30"/>
    <w:rPr>
      <w:rFonts w:ascii="XO Thames" w:hAnsi="XO Thames"/>
      <w:b w:val="1"/>
      <w:sz w:val="28"/>
    </w:rPr>
  </w:style>
  <w:style w:styleId="Style_31" w:type="paragraph">
    <w:name w:val="Header and Footer"/>
    <w:link w:val="Style_31_ch"/>
    <w:pPr>
      <w:widowControl w:val="1"/>
      <w:spacing w:line="240" w:lineRule="auto"/>
      <w:ind/>
      <w:jc w:val="both"/>
    </w:pPr>
    <w:rPr>
      <w:rFonts w:ascii="XO Thames" w:hAnsi="XO Thames"/>
      <w:sz w:val="28"/>
    </w:rPr>
  </w:style>
  <w:style w:styleId="Style_31_ch" w:type="character">
    <w:name w:val="Header and Footer"/>
    <w:link w:val="Style_31"/>
    <w:rPr>
      <w:rFonts w:ascii="XO Thames" w:hAnsi="XO Thames"/>
      <w:sz w:val="28"/>
    </w:rPr>
  </w:style>
  <w:style w:styleId="Style_32" w:type="paragraph">
    <w:name w:val="blk"/>
    <w:basedOn w:val="Style_33"/>
    <w:link w:val="Style_32_ch"/>
  </w:style>
  <w:style w:styleId="Style_32_ch" w:type="character">
    <w:name w:val="blk"/>
    <w:basedOn w:val="Style_33_ch"/>
    <w:link w:val="Style_32"/>
  </w:style>
  <w:style w:styleId="Style_34" w:type="paragraph">
    <w:name w:val=" Знак Знак1"/>
    <w:link w:val="Style_34_ch"/>
    <w:rPr>
      <w:color w:val="000000"/>
      <w:spacing w:val="2"/>
      <w:sz w:val="24"/>
    </w:rPr>
  </w:style>
  <w:style w:styleId="Style_34_ch" w:type="character">
    <w:name w:val=" Знак Знак1"/>
    <w:link w:val="Style_34"/>
    <w:rPr>
      <w:color w:val="000000"/>
      <w:spacing w:val="2"/>
      <w:sz w:val="24"/>
    </w:rPr>
  </w:style>
  <w:style w:styleId="Style_35" w:type="paragraph">
    <w:name w:val="toc 9"/>
    <w:next w:val="Style_5"/>
    <w:link w:val="Style_35_ch"/>
    <w:uiPriority w:val="39"/>
    <w:pPr>
      <w:widowControl w:val="1"/>
      <w:ind w:firstLine="0" w:left="1600"/>
      <w:jc w:val="left"/>
    </w:pPr>
    <w:rPr>
      <w:rFonts w:ascii="XO Thames" w:hAnsi="XO Thames"/>
      <w:sz w:val="28"/>
    </w:rPr>
  </w:style>
  <w:style w:styleId="Style_35_ch" w:type="character">
    <w:name w:val="toc 9"/>
    <w:link w:val="Style_35"/>
    <w:rPr>
      <w:rFonts w:ascii="XO Thames" w:hAnsi="XO Thames"/>
      <w:sz w:val="28"/>
    </w:rPr>
  </w:style>
  <w:style w:styleId="Style_36" w:type="paragraph">
    <w:name w:val="xl69"/>
    <w:basedOn w:val="Style_5"/>
    <w:link w:val="Style_36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w:hAnsi="Arial"/>
      <w:sz w:val="24"/>
    </w:rPr>
  </w:style>
  <w:style w:styleId="Style_36_ch" w:type="character">
    <w:name w:val="xl69"/>
    <w:basedOn w:val="Style_5_ch"/>
    <w:link w:val="Style_36"/>
    <w:rPr>
      <w:rFonts w:ascii="Arial" w:hAnsi="Arial"/>
      <w:sz w:val="24"/>
    </w:rPr>
  </w:style>
  <w:style w:styleId="Style_37" w:type="paragraph">
    <w:name w:val="xl63"/>
    <w:basedOn w:val="Style_5"/>
    <w:link w:val="Style_37_ch"/>
    <w:pPr>
      <w:widowControl w:val="1"/>
      <w:spacing w:afterAutospacing="on" w:beforeAutospacing="on"/>
      <w:ind/>
    </w:pPr>
    <w:rPr>
      <w:rFonts w:ascii="Helvetica" w:hAnsi="Helvetica"/>
    </w:rPr>
  </w:style>
  <w:style w:styleId="Style_37_ch" w:type="character">
    <w:name w:val="xl63"/>
    <w:basedOn w:val="Style_5_ch"/>
    <w:link w:val="Style_37"/>
    <w:rPr>
      <w:rFonts w:ascii="Helvetica" w:hAnsi="Helvetica"/>
    </w:rPr>
  </w:style>
  <w:style w:styleId="Style_38" w:type="paragraph">
    <w:name w:val="msonormal"/>
    <w:basedOn w:val="Style_5"/>
    <w:link w:val="Style_38_ch"/>
    <w:pPr>
      <w:widowControl w:val="1"/>
      <w:spacing w:afterAutospacing="on" w:beforeAutospacing="on"/>
      <w:ind/>
    </w:pPr>
    <w:rPr>
      <w:sz w:val="24"/>
    </w:rPr>
  </w:style>
  <w:style w:styleId="Style_38_ch" w:type="character">
    <w:name w:val="msonormal"/>
    <w:basedOn w:val="Style_5_ch"/>
    <w:link w:val="Style_38"/>
    <w:rPr>
      <w:sz w:val="24"/>
    </w:rPr>
  </w:style>
  <w:style w:styleId="Style_39" w:type="paragraph">
    <w:name w:val="toc 8"/>
    <w:next w:val="Style_5"/>
    <w:link w:val="Style_39_ch"/>
    <w:uiPriority w:val="39"/>
    <w:pPr>
      <w:widowControl w:val="1"/>
      <w:ind w:firstLine="0" w:left="1400"/>
      <w:jc w:val="left"/>
    </w:pPr>
    <w:rPr>
      <w:rFonts w:ascii="XO Thames" w:hAnsi="XO Thames"/>
      <w:sz w:val="28"/>
    </w:rPr>
  </w:style>
  <w:style w:styleId="Style_39_ch" w:type="character">
    <w:name w:val="toc 8"/>
    <w:link w:val="Style_39"/>
    <w:rPr>
      <w:rFonts w:ascii="XO Thames" w:hAnsi="XO Thames"/>
      <w:sz w:val="28"/>
    </w:rPr>
  </w:style>
  <w:style w:styleId="Style_40" w:type="paragraph">
    <w:name w:val="toc 5"/>
    <w:next w:val="Style_5"/>
    <w:link w:val="Style_40_ch"/>
    <w:uiPriority w:val="39"/>
    <w:pPr>
      <w:widowControl w:val="1"/>
      <w:ind w:firstLine="0" w:left="800"/>
      <w:jc w:val="left"/>
    </w:pPr>
    <w:rPr>
      <w:rFonts w:ascii="XO Thames" w:hAnsi="XO Thames"/>
      <w:sz w:val="28"/>
    </w:rPr>
  </w:style>
  <w:style w:styleId="Style_40_ch" w:type="character">
    <w:name w:val="toc 5"/>
    <w:link w:val="Style_40"/>
    <w:rPr>
      <w:rFonts w:ascii="XO Thames" w:hAnsi="XO Thames"/>
      <w:sz w:val="28"/>
    </w:rPr>
  </w:style>
  <w:style w:styleId="Style_41" w:type="paragraph">
    <w:name w:val="footnote reference"/>
    <w:link w:val="Style_41_ch"/>
    <w:rPr>
      <w:vertAlign w:val="superscript"/>
    </w:rPr>
  </w:style>
  <w:style w:styleId="Style_41_ch" w:type="character">
    <w:name w:val="footnote reference"/>
    <w:link w:val="Style_41"/>
    <w:rPr>
      <w:vertAlign w:val="superscript"/>
    </w:rPr>
  </w:style>
  <w:style w:styleId="Style_42" w:type="paragraph">
    <w:name w:val=" Знак1"/>
    <w:basedOn w:val="Style_5"/>
    <w:link w:val="Style_42_ch"/>
    <w:pPr>
      <w:widowControl w:val="1"/>
      <w:spacing w:afterAutospacing="on" w:beforeAutospacing="on"/>
      <w:ind/>
    </w:pPr>
    <w:rPr>
      <w:rFonts w:ascii="Tahoma" w:hAnsi="Tahoma"/>
    </w:rPr>
  </w:style>
  <w:style w:styleId="Style_42_ch" w:type="character">
    <w:name w:val=" Знак1"/>
    <w:basedOn w:val="Style_5_ch"/>
    <w:link w:val="Style_42"/>
    <w:rPr>
      <w:rFonts w:ascii="Tahoma" w:hAnsi="Tahoma"/>
    </w:rPr>
  </w:style>
  <w:style w:styleId="Style_33" w:type="paragraph">
    <w:name w:val="Default Paragraph Font"/>
    <w:link w:val="Style_33_ch"/>
  </w:style>
  <w:style w:styleId="Style_33_ch" w:type="character">
    <w:name w:val="Default Paragraph Font"/>
    <w:link w:val="Style_33"/>
  </w:style>
  <w:style w:styleId="Style_43" w:type="paragraph">
    <w:name w:val="Subtitle"/>
    <w:next w:val="Style_5"/>
    <w:link w:val="Style_43_ch"/>
    <w:uiPriority w:val="11"/>
    <w:qFormat/>
    <w:pPr>
      <w:widowControl w:val="1"/>
      <w:ind/>
      <w:jc w:val="both"/>
    </w:pPr>
    <w:rPr>
      <w:rFonts w:ascii="XO Thames" w:hAnsi="XO Thames"/>
      <w:i w:val="1"/>
      <w:sz w:val="24"/>
    </w:rPr>
  </w:style>
  <w:style w:styleId="Style_43_ch" w:type="character">
    <w:name w:val="Subtitle"/>
    <w:link w:val="Style_43"/>
    <w:rPr>
      <w:rFonts w:ascii="XO Thames" w:hAnsi="XO Thames"/>
      <w:i w:val="1"/>
      <w:sz w:val="24"/>
    </w:rPr>
  </w:style>
  <w:style w:styleId="Style_44" w:type="paragraph">
    <w:name w:val="ConsPlusNormal"/>
    <w:link w:val="Style_44_ch"/>
    <w:pPr>
      <w:widowControl w:val="0"/>
      <w:ind w:firstLine="720"/>
    </w:pPr>
    <w:rPr>
      <w:rFonts w:ascii="Arial" w:hAnsi="Arial"/>
    </w:rPr>
  </w:style>
  <w:style w:styleId="Style_44_ch" w:type="character">
    <w:name w:val="ConsPlusNormal"/>
    <w:link w:val="Style_44"/>
    <w:rPr>
      <w:rFonts w:ascii="Arial" w:hAnsi="Arial"/>
    </w:rPr>
  </w:style>
  <w:style w:styleId="Style_6" w:type="paragraph">
    <w:name w:val="Title"/>
    <w:basedOn w:val="Style_5"/>
    <w:link w:val="Style_6_ch"/>
    <w:uiPriority w:val="10"/>
    <w:qFormat/>
    <w:pPr>
      <w:widowControl w:val="1"/>
      <w:ind/>
      <w:jc w:val="center"/>
    </w:pPr>
    <w:rPr>
      <w:sz w:val="28"/>
    </w:rPr>
  </w:style>
  <w:style w:styleId="Style_6_ch" w:type="character">
    <w:name w:val="Title"/>
    <w:basedOn w:val="Style_5_ch"/>
    <w:link w:val="Style_6"/>
    <w:rPr>
      <w:sz w:val="28"/>
    </w:rPr>
  </w:style>
  <w:style w:styleId="Style_45" w:type="paragraph">
    <w:name w:val="heading 4"/>
    <w:next w:val="Style_5"/>
    <w:link w:val="Style_45_ch"/>
    <w:uiPriority w:val="9"/>
    <w:qFormat/>
    <w:pPr>
      <w:widowControl w:val="1"/>
      <w:spacing w:after="120" w:before="120"/>
      <w:ind/>
      <w:jc w:val="both"/>
      <w:outlineLvl w:val="3"/>
    </w:pPr>
    <w:rPr>
      <w:rFonts w:ascii="XO Thames" w:hAnsi="XO Thames"/>
      <w:b w:val="1"/>
      <w:sz w:val="24"/>
    </w:rPr>
  </w:style>
  <w:style w:styleId="Style_45_ch" w:type="character">
    <w:name w:val="heading 4"/>
    <w:link w:val="Style_45"/>
    <w:rPr>
      <w:rFonts w:ascii="XO Thames" w:hAnsi="XO Thames"/>
      <w:b w:val="1"/>
      <w:sz w:val="24"/>
    </w:rPr>
  </w:style>
  <w:style w:styleId="Style_46" w:type="paragraph">
    <w:name w:val="FollowedHyperlink"/>
    <w:link w:val="Style_46_ch"/>
    <w:rPr>
      <w:color w:val="FF00FF"/>
      <w:u w:val="single"/>
    </w:rPr>
  </w:style>
  <w:style w:styleId="Style_46_ch" w:type="character">
    <w:name w:val="FollowedHyperlink"/>
    <w:link w:val="Style_46"/>
    <w:rPr>
      <w:color w:val="FF00FF"/>
      <w:u w:val="single"/>
    </w:rPr>
  </w:style>
  <w:style w:styleId="Style_47" w:type="paragraph">
    <w:name w:val="heading 2"/>
    <w:next w:val="Style_5"/>
    <w:link w:val="Style_47_ch"/>
    <w:uiPriority w:val="9"/>
    <w:qFormat/>
    <w:pPr>
      <w:widowControl w:val="1"/>
      <w:spacing w:after="120" w:before="120"/>
      <w:ind/>
      <w:jc w:val="both"/>
      <w:outlineLvl w:val="1"/>
    </w:pPr>
    <w:rPr>
      <w:rFonts w:ascii="XO Thames" w:hAnsi="XO Thames"/>
      <w:b w:val="1"/>
      <w:sz w:val="28"/>
    </w:rPr>
  </w:style>
  <w:style w:styleId="Style_47_ch" w:type="character">
    <w:name w:val="heading 2"/>
    <w:link w:val="Style_47"/>
    <w:rPr>
      <w:rFonts w:ascii="XO Thames" w:hAnsi="XO Thames"/>
      <w:b w:val="1"/>
      <w:sz w:val="28"/>
    </w:rPr>
  </w:style>
  <w:style w:styleId="Style_2" w:type="paragraph">
    <w:name w:val="Body Text"/>
    <w:basedOn w:val="Style_5"/>
    <w:link w:val="Style_2_ch"/>
    <w:pPr>
      <w:widowControl w:val="1"/>
      <w:spacing w:before="14"/>
      <w:ind/>
      <w:jc w:val="both"/>
    </w:pPr>
    <w:rPr>
      <w:color w:val="000000"/>
      <w:spacing w:val="2"/>
      <w:sz w:val="24"/>
    </w:rPr>
  </w:style>
  <w:style w:styleId="Style_2_ch" w:type="character">
    <w:name w:val="Body Text"/>
    <w:basedOn w:val="Style_5_ch"/>
    <w:link w:val="Style_2"/>
    <w:rPr>
      <w:color w:val="000000"/>
      <w:spacing w:val="2"/>
      <w:sz w:val="24"/>
    </w:rPr>
  </w:style>
  <w:style w:styleId="Style_48" w:type="table">
    <w:name w:val="Table Grid"/>
    <w:basedOn w:val="Style_4"/>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WithEffects.xml" Type="http://schemas.microsoft.com/office/2007/relationships/stylesWithEffects"/>
  <Relationship Id="rId1" Target="fontTable.xml" Type="http://schemas.openxmlformats.org/officeDocument/2006/relationships/fontTable"/>
  <Relationship Id="rId7" Target="numbering.xml" Type="http://schemas.openxmlformats.org/officeDocument/2006/relationships/numbering"/>
  <Relationship Id="rId5" Target="webSettings.xml" Type="http://schemas.openxmlformats.org/officeDocument/2006/relationships/webSettings"/>
  <Relationship Id="rId3" Target="styles.xml" Type="http://schemas.openxmlformats.org/officeDocument/2006/relationships/styles"/>
  <Relationship Id="rId2" Target="settings.xml" Type="http://schemas.openxmlformats.org/officeDocument/2006/relationships/settings"/>
  <Relationship Id="rId6" Target="theme/theme1.xml" Type="http://schemas.openxmlformats.org/officeDocument/2006/relationships/theme"/>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2026-02-26T11:34:32Z</dcterms:created>
  <dcterms:modified xsi:type="dcterms:W3CDTF">2026-05-21T19:24:22Z</dcterms:modified>
</cp:coreProperties>
</file>