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87"/>
        <w:ind w:firstLine="567"/>
        <w:jc w:val="center"/>
        <w:keepNext w:val="0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контракт №</w:t>
      </w:r>
      <w:r/>
    </w:p>
    <w:p>
      <w:pPr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оказание услуги по проведению диспансеризации муниципальных служащих</w:t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г.</w:t>
      </w:r>
      <w:r>
        <w:rPr>
          <w:rFonts w:ascii="Times New Roman" w:hAnsi="Times New Roman" w:cs="Times New Roman"/>
          <w:bCs/>
          <w:lang w:eastAsia="he-IL" w:bidi="he-IL"/>
        </w:rPr>
        <w:t xml:space="preserve"> Сланцы, Ленинградской области </w:t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</w:r>
      <w:r>
        <w:rPr>
          <w:rFonts w:ascii="Times New Roman" w:hAnsi="Times New Roman" w:cs="Times New Roman"/>
          <w:bCs/>
          <w:lang w:eastAsia="he-IL" w:bidi="he-IL"/>
        </w:rPr>
        <w:tab/>
        <w:t xml:space="preserve">«___» _________ 2026 года</w:t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rPr>
          <w:rFonts w:ascii="Times New Roman" w:hAnsi="Times New Roman" w:eastAsia="SimSun"/>
          <w:color w:val="00000a"/>
        </w:rPr>
      </w:pPr>
      <w:r>
        <w:rPr>
          <w:rFonts w:ascii="Times New Roman" w:hAnsi="Times New Roman" w:eastAsia="SimSun" w:cs="Times New Roman"/>
          <w:b/>
          <w:bCs/>
          <w:color w:val="000000"/>
          <w:spacing w:val="-5"/>
        </w:rPr>
        <w:t xml:space="preserve">Администрация муниципального образования Сланцевский муниципальный район Ленинградской области, </w:t>
      </w:r>
      <w:r>
        <w:rPr>
          <w:rFonts w:ascii="Times New Roman" w:hAnsi="Times New Roman" w:eastAsia="SimSun" w:cs="Times New Roman"/>
          <w:bCs/>
          <w:color w:val="000000"/>
          <w:spacing w:val="-5"/>
        </w:rPr>
        <w:t xml:space="preserve">от имени муниципального образования Сланцевский муниципальный район Ленинградской области, в лице главы администрации Чистовой Марины Борисовны</w:t>
      </w:r>
      <w:r>
        <w:rPr>
          <w:rFonts w:ascii="Times New Roman" w:hAnsi="Times New Roman" w:eastAsia="SimSun" w:cs="Times New Roman"/>
          <w:color w:val="000000"/>
          <w:spacing w:val="-6"/>
        </w:rPr>
        <w:t xml:space="preserve">, действующей на основании Устава, именуемая в дальнейшем «Заказчик»</w:t>
      </w:r>
      <w:r>
        <w:rPr>
          <w:rFonts w:ascii="Times New Roman" w:hAnsi="Times New Roman" w:eastAsia="SimSun" w:cs="Times New Roman"/>
          <w:color w:val="000000"/>
        </w:rPr>
        <w:t xml:space="preserve">,</w:t>
      </w:r>
      <w:r>
        <w:rPr>
          <w:rFonts w:ascii="Times New Roman" w:hAnsi="Times New Roman" w:eastAsia="SimSun" w:cs="Times New Roman"/>
          <w:color w:val="000000"/>
          <w:spacing w:val="-6"/>
        </w:rPr>
        <w:t xml:space="preserve"> </w:t>
      </w:r>
      <w:r>
        <w:rPr>
          <w:rFonts w:ascii="Times New Roman" w:hAnsi="Times New Roman" w:eastAsia="SimSun" w:cs="Times New Roman"/>
          <w:iCs/>
          <w:color w:val="000000"/>
          <w:spacing w:val="-6"/>
        </w:rPr>
        <w:t xml:space="preserve">и _________________________________</w:t>
      </w:r>
      <w:r>
        <w:rPr>
          <w:rFonts w:ascii="Times New Roman" w:hAnsi="Times New Roman" w:eastAsia="SimSun" w:cs="Times New Roman"/>
          <w:color w:val="000000"/>
          <w:spacing w:val="-6"/>
        </w:rPr>
        <w:t xml:space="preserve">, в лице _________________________________________</w:t>
      </w:r>
      <w:r>
        <w:rPr>
          <w:rFonts w:ascii="Times New Roman" w:hAnsi="Times New Roman" w:eastAsia="SimSun" w:cs="Times New Roman"/>
          <w:color w:val="000000"/>
          <w:spacing w:val="-6"/>
        </w:rPr>
        <w:t xml:space="preserve">, действующего на основании _________, с другой стороны, именуемое в дальнейшем</w:t>
      </w:r>
      <w:r>
        <w:rPr>
          <w:rFonts w:ascii="Times New Roman" w:hAnsi="Times New Roman" w:eastAsia="SimSun" w:cs="Times New Roman"/>
          <w:color w:val="000000"/>
          <w:spacing w:val="-6"/>
        </w:rPr>
        <w:t xml:space="preserve"> «</w:t>
      </w:r>
      <w:r>
        <w:rPr>
          <w:rFonts w:ascii="Times New Roman" w:hAnsi="Times New Roman" w:eastAsia="SimSun" w:cs="Times New Roman"/>
          <w:color w:val="000000"/>
          <w:spacing w:val="-6"/>
        </w:rPr>
        <w:t xml:space="preserve">Исполнитель», </w:t>
      </w:r>
      <w:r>
        <w:rPr>
          <w:rFonts w:ascii="Times New Roman" w:hAnsi="Times New Roman" w:eastAsia="SimSun" w:cs="Times New Roman"/>
          <w:color w:val="000000"/>
        </w:rPr>
        <w:t xml:space="preserve">в дальнейшем вместе именуемые «Стороны», и каждый в отдельности «Сторона», с соблюдением требований Гражданского кодекса Российской Федерации, на основании п.4 ч.1 ст.93 Федерал</w:t>
      </w:r>
      <w:r>
        <w:rPr>
          <w:rFonts w:ascii="Times New Roman" w:hAnsi="Times New Roman" w:eastAsia="SimSun" w:cs="Times New Roman"/>
          <w:color w:val="000000"/>
        </w:rPr>
        <w:t xml:space="preserve">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муниципальный контракт (далее - контракт) о</w:t>
      </w:r>
      <w:r>
        <w:rPr>
          <w:rFonts w:ascii="Times New Roman" w:hAnsi="Times New Roman" w:eastAsia="SimSun" w:cs="Times New Roman"/>
          <w:color w:val="000000"/>
        </w:rPr>
        <w:t xml:space="preserve"> </w:t>
      </w:r>
      <w:r>
        <w:rPr>
          <w:rFonts w:ascii="Times New Roman" w:hAnsi="Times New Roman" w:eastAsia="SimSun" w:cs="Times New Roman"/>
          <w:color w:val="000000"/>
        </w:rPr>
        <w:t xml:space="preserve">нижеследующем:</w:t>
      </w:r>
      <w:r/>
    </w:p>
    <w:p>
      <w:pPr>
        <w:pStyle w:val="1003"/>
        <w:ind w:firstLine="567"/>
        <w:jc w:val="center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</w:r>
      <w:r/>
    </w:p>
    <w:p>
      <w:pPr>
        <w:pStyle w:val="786"/>
        <w:numPr>
          <w:ilvl w:val="0"/>
          <w:numId w:val="0"/>
        </w:numPr>
        <w:ind w:firstLine="567"/>
        <w:keepNext w:val="0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 ПРЕДМЕТ КОНТРАКТА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Заказчик поручает, а Исполнитель обязуется, в течение ср</w:t>
      </w:r>
      <w:r>
        <w:rPr>
          <w:rFonts w:ascii="Times New Roman" w:hAnsi="Times New Roman" w:cs="Times New Roman"/>
        </w:rPr>
        <w:t xml:space="preserve">ока действия настоящего контракта, оказать Заказчику услуги по организации проведения диспансеризации муниципальных служащих администрации Сланцевского муниципального района (далее – услуги), на основании лицензии Л041-01149-47/00328134 от 02.12.2019 года.</w:t>
      </w:r>
      <w:r/>
    </w:p>
    <w:p>
      <w:pPr>
        <w:pStyle w:val="102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работников подлежащих диспансеризации – 55 человек, в том числе: </w:t>
      </w:r>
      <w:r/>
    </w:p>
    <w:p>
      <w:pPr>
        <w:pStyle w:val="102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женщин (до 40 лет) – 8 человек</w:t>
      </w:r>
      <w:r/>
    </w:p>
    <w:p>
      <w:pPr>
        <w:pStyle w:val="102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женщин (после 40 лет) - 42 человека</w:t>
      </w:r>
      <w:r/>
    </w:p>
    <w:p>
      <w:pPr>
        <w:pStyle w:val="102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мужчин (после 40 лет) - 5 человек.</w:t>
      </w:r>
      <w:r/>
    </w:p>
    <w:p>
      <w:pPr>
        <w:pStyle w:val="102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работников (от 45 лет и старше) – 32 человека.</w:t>
      </w:r>
      <w:r/>
    </w:p>
    <w:p>
      <w:pPr>
        <w:pStyle w:val="102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Источник финансирования контракта - средства бюджета Сланцевского муниципального района Ленинградской области.</w:t>
      </w:r>
      <w:r/>
    </w:p>
    <w:p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  <w:t xml:space="preserve">ИКЗ: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hyperlink r:id="rId9" w:tooltip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w:history="1">
        <w:r>
          <w:rPr>
            <w:rStyle w:val="947"/>
            <w:rFonts w:ascii="Times New Roman" w:hAnsi="Times New Roman" w:eastAsia="Roboto" w:cs="Times New Roman"/>
            <w:color w:val="000000" w:themeColor="text1"/>
            <w:sz w:val="28"/>
            <w:szCs w:val="28"/>
            <w:highlight w:val="yellow"/>
            <w:u w:val="none"/>
          </w:rPr>
        </w:r>
        <w:r>
          <w:rPr>
            <w:rStyle w:val="94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2634713008137470701001000</w:t>
        </w:r>
        <w:r>
          <w:rPr>
            <w:rStyle w:val="94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</w:t>
        </w:r>
        <w:r>
          <w:rPr>
            <w:rStyle w:val="94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0000000244</w:t>
        </w:r>
        <w:r>
          <w:rPr>
            <w:rStyle w:val="947"/>
            <w:rFonts w:ascii="Times New Roman" w:hAnsi="Times New Roman" w:eastAsia="Roboto" w:cs="Times New Roman"/>
            <w:color w:val="000000" w:themeColor="text1"/>
            <w:sz w:val="28"/>
            <w:szCs w:val="28"/>
            <w:highlight w:val="none"/>
            <w:u w:val="none"/>
          </w:rPr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Код ОКПД 2 — 86.90.19.190.</w:t>
      </w:r>
      <w:r/>
    </w:p>
    <w:p>
      <w:pPr>
        <w:pStyle w:val="102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1.3. 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оказывает услуги согласно Техническому заданию (Приложение №1 к настоящему контракту). </w:t>
      </w:r>
      <w:r/>
    </w:p>
    <w:p>
      <w:pPr>
        <w:pStyle w:val="1003"/>
        <w:ind w:firstLine="567"/>
        <w:jc w:val="both"/>
        <w:spacing w:after="0" w:line="240" w:lineRule="auto"/>
        <w:rPr>
          <w:rFonts w:cs="Times New Roman"/>
          <w:lang w:eastAsia="hi-IN"/>
        </w:rPr>
      </w:pPr>
      <w:r>
        <w:rPr>
          <w:rFonts w:cs="Times New Roman"/>
        </w:rPr>
        <w:t xml:space="preserve">1.4. </w:t>
      </w:r>
      <w:r>
        <w:rPr>
          <w:rFonts w:cs="Times New Roman"/>
          <w:lang w:eastAsia="hi-IN"/>
        </w:rPr>
        <w:t xml:space="preserve">Срок оказания услуг: с момента заключения контракта по 30 ноября 2026 года, согласно Графику прохождения диспансеризации муниципальными служащими (Приложение №2 к настоящему контракту).</w:t>
      </w:r>
      <w:r/>
    </w:p>
    <w:p>
      <w:pPr>
        <w:pStyle w:val="1003"/>
        <w:ind w:firstLine="567"/>
        <w:jc w:val="both"/>
        <w:spacing w:after="0" w:line="240" w:lineRule="auto"/>
        <w:rPr>
          <w:bCs/>
          <w:iCs/>
        </w:rPr>
      </w:pPr>
      <w:r>
        <w:rPr>
          <w:lang w:eastAsia="hi-IN"/>
        </w:rPr>
        <w:t xml:space="preserve">1.5. </w:t>
      </w:r>
      <w:r>
        <w:rPr>
          <w:bCs/>
        </w:rPr>
        <w:t xml:space="preserve">Место</w:t>
      </w:r>
      <w:r>
        <w:t xml:space="preserve"> </w:t>
      </w:r>
      <w:r>
        <w:rPr>
          <w:bCs/>
        </w:rPr>
        <w:t xml:space="preserve">оказания услуг:</w:t>
      </w:r>
      <w:r>
        <w:t xml:space="preserve"> </w:t>
      </w:r>
      <w:r>
        <w:rPr>
          <w:rStyle w:val="1014"/>
        </w:rPr>
        <w:t xml:space="preserve">Услуги </w:t>
      </w:r>
      <w:r>
        <w:rPr>
          <w:lang w:eastAsia="ru-RU"/>
        </w:rPr>
        <w:t xml:space="preserve">по организации проведения диспансеризации муниципальных служащих администрации Сланцевского муниципального района </w:t>
      </w:r>
      <w:r>
        <w:rPr>
          <w:rStyle w:val="1014"/>
        </w:rPr>
        <w:t xml:space="preserve">должны оказываться врачами-специалистами медицинского учреждения </w:t>
      </w:r>
      <w:r>
        <w:rPr>
          <w:lang w:eastAsia="hi-IN"/>
        </w:rPr>
        <w:t xml:space="preserve">по месту нахождения Исполнителя в границах Сланцевского городского поселения на базе учреждения в рабочие дни с 9-00 часов до 16-00 часов</w:t>
      </w:r>
      <w:r>
        <w:rPr>
          <w:rFonts w:eastAsia="Lucida Sans Unicode"/>
          <w:lang w:eastAsia="hi-IN"/>
        </w:rPr>
        <w:t xml:space="preserve">.</w:t>
      </w:r>
      <w:r/>
    </w:p>
    <w:p>
      <w:pPr>
        <w:pStyle w:val="1024"/>
        <w:ind w:firstLine="567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</w:rPr>
        <w:t xml:space="preserve">C</w:t>
      </w:r>
      <w:r>
        <w:rPr>
          <w:rFonts w:ascii="Times New Roman" w:hAnsi="Times New Roman" w:cs="Times New Roman"/>
          <w:b/>
          <w:bCs/>
        </w:rPr>
        <w:t xml:space="preserve">ТОРОН: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Заказчик обязан: 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2.1.1</w:t>
      </w:r>
      <w:r>
        <w:rPr>
          <w:rFonts w:ascii="Times New Roman" w:hAnsi="Times New Roman" w:cs="Times New Roman"/>
          <w:b w:val="0"/>
          <w:bCs w:val="0"/>
        </w:rPr>
        <w:t xml:space="preserve">.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в т</w:t>
      </w:r>
      <w:r>
        <w:rPr>
          <w:rFonts w:ascii="Times New Roman" w:hAnsi="Times New Roman" w:cs="Times New Roman"/>
        </w:rPr>
        <w:t xml:space="preserve">ечени</w:t>
      </w:r>
      <w:r>
        <w:rPr>
          <w:rFonts w:ascii="Times New Roman" w:hAnsi="Times New Roman" w:cs="Times New Roman"/>
        </w:rPr>
        <w:t xml:space="preserve">и</w:t>
      </w:r>
      <w:r>
        <w:rPr>
          <w:rFonts w:ascii="Times New Roman" w:hAnsi="Times New Roman" w:cs="Times New Roman"/>
        </w:rPr>
        <w:t xml:space="preserve"> 10-ти рабочих дней с момента заключения контракта представить Исполнителю </w:t>
      </w:r>
      <w:r>
        <w:rPr>
          <w:rStyle w:val="1014"/>
          <w:rFonts w:ascii="Times New Roman" w:hAnsi="Times New Roman"/>
          <w:color w:val="000000"/>
        </w:rPr>
        <w:t xml:space="preserve">поименный список муниципальных служащих</w:t>
      </w:r>
      <w:r>
        <w:rPr>
          <w:rFonts w:ascii="Times New Roman" w:hAnsi="Times New Roman" w:cs="Times New Roman"/>
        </w:rPr>
        <w:t xml:space="preserve">, в котором указывается количество и профессии (должности) работников, год рождения, адреса;</w:t>
      </w:r>
      <w:r>
        <w:rPr>
          <w:rFonts w:ascii="Times New Roman" w:hAnsi="Times New Roman" w:cs="Times New Roman"/>
        </w:rPr>
        <w:tab/>
      </w:r>
      <w:r/>
    </w:p>
    <w:p>
      <w:pPr>
        <w:ind w:firstLine="567"/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2.1.2.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обе</w:t>
      </w:r>
      <w:r>
        <w:rPr>
          <w:rFonts w:ascii="Times New Roman" w:hAnsi="Times New Roman" w:cs="Times New Roman"/>
        </w:rPr>
        <w:t xml:space="preserve">спечить явку работников на осмотр, в сроки, согласованные с </w:t>
      </w:r>
      <w:r>
        <w:rPr>
          <w:rFonts w:ascii="Times New Roman" w:hAnsi="Times New Roman" w:cs="Times New Roman"/>
          <w:color w:val="000000"/>
        </w:rPr>
        <w:t xml:space="preserve">Исполнителем (Приложение №2 к настоящему контракту);</w:t>
      </w:r>
      <w:r>
        <w:rPr>
          <w:rFonts w:ascii="Times New Roman" w:hAnsi="Times New Roman" w:cs="Times New Roman"/>
          <w:color w:val="000000"/>
        </w:rPr>
        <w:tab/>
      </w:r>
      <w:r/>
    </w:p>
    <w:p>
      <w:pPr>
        <w:ind w:firstLine="567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2.1.3.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опла</w:t>
      </w:r>
      <w:r>
        <w:rPr>
          <w:rFonts w:ascii="Times New Roman" w:hAnsi="Times New Roman" w:cs="Times New Roman"/>
        </w:rPr>
        <w:t xml:space="preserve">тить услуги Исполнителю по факту оказанных услуг в соответствии с муниципальным контрактом.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Исполнитель обязан:</w:t>
      </w:r>
      <w:r>
        <w:rPr>
          <w:rFonts w:ascii="Times New Roman" w:hAnsi="Times New Roman" w:cs="Times New Roman"/>
        </w:rPr>
        <w:tab/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2.2.1. предупредить персонально врачей-специалистов, участвующих в проведении диспансеризации об административной и юридической ответственности за качество и полноту проводимого обследования;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провести диспансеризацию работников Заказчика;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2.2.3. составить заключительный акт о проведенном обследовании работников Заказчика.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2.2.4. соответствовать </w:t>
      </w:r>
      <w:r>
        <w:rPr>
          <w:rFonts w:ascii="Times New Roman" w:hAnsi="Times New Roman" w:cs="Times New Roman"/>
        </w:rPr>
        <w:t xml:space="preserve">требованиям</w:t>
      </w:r>
      <w:r>
        <w:rPr>
          <w:rFonts w:ascii="Times New Roman" w:hAnsi="Times New Roman" w:cs="Times New Roman"/>
        </w:rPr>
        <w:t xml:space="preserve"> установленным в статье 31 Федерального закона №44-ФЗ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Исполнитель вправе: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2.3.1. Требовать оплаты по Контракту в случае полного исполнения обязательств по Контракту.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2.3.2. Исполнитель имеет иные права, вытекающие из условий Контракта.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 Заказчик вправе: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2.4.1. Потребовать от Исполнителя безвозмездного устранения недостатков в оказанных услугах, если качество оказанных услуг не соответствует требованиям Контракта. </w:t>
      </w:r>
      <w:r/>
    </w:p>
    <w:p>
      <w:pPr>
        <w:numPr>
          <w:ilvl w:val="0"/>
          <w:numId w:val="2"/>
        </w:numPr>
        <w:ind w:left="0" w:firstLine="567"/>
        <w:jc w:val="both"/>
        <w:widowControl/>
        <w:tabs>
          <w:tab w:val="num" w:pos="0" w:leader="none"/>
          <w:tab w:val="clear" w:pos="43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2.4.2. Не принимать результат оказанных услуг, если он не соответствует требованиям Контракта, а также требовать возмещения причиненного ущерба.</w:t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3. РАЗМЕР И ПОРЯДОК ОПЛАТЫ</w:t>
      </w:r>
      <w:r/>
    </w:p>
    <w:p>
      <w:pPr>
        <w:numPr>
          <w:ilvl w:val="1"/>
          <w:numId w:val="4"/>
        </w:numPr>
        <w:ind w:left="0" w:firstLine="567"/>
        <w:jc w:val="both"/>
        <w:widowControl/>
        <w:tabs>
          <w:tab w:val="left" w:pos="0" w:leader="none"/>
          <w:tab w:val="clear" w:pos="36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Расчет производится единовременно за фактически оказанные услуги, в течение </w:t>
      </w:r>
      <w:r>
        <w:rPr>
          <w:rFonts w:ascii="Times New Roman" w:hAnsi="Times New Roman" w:cs="Times New Roman"/>
          <w:color w:val="000000"/>
        </w:rPr>
        <w:t xml:space="preserve">7 (Семи) рабочих</w:t>
      </w:r>
      <w:r>
        <w:rPr>
          <w:rFonts w:ascii="Times New Roman" w:hAnsi="Times New Roman" w:cs="Times New Roman"/>
        </w:rPr>
        <w:t xml:space="preserve"> дней после подписания Заказчиком акта сдачи-приемки услуг и счета-фактуры на основании выставленного счета.</w:t>
      </w:r>
      <w:r/>
    </w:p>
    <w:p>
      <w:pPr>
        <w:numPr>
          <w:ilvl w:val="1"/>
          <w:numId w:val="4"/>
        </w:numPr>
        <w:ind w:left="0" w:firstLine="567"/>
        <w:jc w:val="both"/>
        <w:widowControl/>
        <w:tabs>
          <w:tab w:val="left" w:pos="0" w:leader="none"/>
          <w:tab w:val="clear" w:pos="36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составляет: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(с НДС/ без НДС)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i-IN"/>
        </w:rPr>
        <w:t xml:space="preserve">Цена контракта включает в себя общую стоимость услуг, все налоги, сборы и иные платежи, связанные с исполнением контракта.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Цена контракта является твердой и не может изменяться в ходе исполнения контракта, за исключением случаев, предусмотренных законодательством РФ.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Валютой для установления цены контракта и расчетов с Исполнителем является рубль Российской Федерации.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>
        <w:rPr>
          <w:rFonts w:ascii="Times New Roman" w:hAnsi="Times New Roman" w:cs="Times New Roman"/>
          <w:sz w:val="24"/>
          <w:szCs w:val="24"/>
        </w:rPr>
        <w:t xml:space="preserve">Цена контракта уменьшается на сумму, подлеж</w:t>
      </w:r>
      <w:r>
        <w:rPr>
          <w:rFonts w:ascii="Times New Roman" w:hAnsi="Times New Roman" w:cs="Times New Roman"/>
        </w:rPr>
        <w:t xml:space="preserve">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</w:t>
      </w:r>
      <w:r>
        <w:rPr>
          <w:rFonts w:ascii="Times New Roman" w:hAnsi="Times New Roman" w:cs="Times New Roman"/>
        </w:rPr>
        <w:t xml:space="preserve">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r>
        <w:rPr>
          <w:rFonts w:ascii="Times New Roman" w:hAnsi="Times New Roman" w:cs="Times New Roman"/>
        </w:rPr>
        <w:t xml:space="preserve"> бюджеты бюджетной системы Российской Федерации заказчиком.  </w:t>
      </w:r>
      <w:r/>
    </w:p>
    <w:p>
      <w:pPr>
        <w:ind w:firstLine="567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rPr>
          <w:rFonts w:ascii="Times New Roman" w:hAnsi="Times New Roman" w:cs="Times New Roman"/>
          <w:b/>
        </w:rPr>
        <w:outlineLvl w:val="1"/>
      </w:pPr>
      <w:r>
        <w:rPr>
          <w:rFonts w:ascii="Times New Roman" w:hAnsi="Times New Roman" w:cs="Times New Roman"/>
          <w:b/>
        </w:rPr>
        <w:t xml:space="preserve">4. ПОРЯДОК СДАЧИ-ПРИЕМКИ ОКАЗАННЫХ УСЛУГ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Приемка Заказчиком оказанных услуг включает в себя проверку по качеству, объему оказанных услуг требованиям, изложенным в настоящем контракте.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Приемка оказанных услуг осуществляется в соответствии с требованиями законодательства Российской Федерации. 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Для проверки результатов оказанных Исполнителем услуг, предусмотренных контрактом, в части их соответствия условиям контракта Заказчик обязан провести экспе</w:t>
      </w:r>
      <w:r>
        <w:rPr>
          <w:rFonts w:ascii="Times New Roman" w:hAnsi="Times New Roman" w:cs="Times New Roman"/>
        </w:rPr>
        <w:t xml:space="preserve">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Заказчик вправе не отказывать в приемке оказанной услуги в случае выявления несоответствия этой услуги условиям контракта, если выявленное несоответствие не препятствует приемке услуги и устранено Исполнителем.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Исполнитель в течение 5 дней с момента оказания услуг формирует акт сдачи-приемки услуг. 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 Не позднее 5 р</w:t>
      </w:r>
      <w:r>
        <w:rPr>
          <w:rFonts w:ascii="Times New Roman" w:hAnsi="Times New Roman" w:cs="Times New Roman"/>
        </w:rPr>
        <w:t xml:space="preserve">абочих дней, следующих за днем поступления документов  указанных в п. 4.3. контракта Заказчик осуществляет приемку оказанных услуг в части соответствия условиям контракта и на основании результатов экспертизы, проведенной в соответствии с п. 4.2 контракта.</w:t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5. ОТВЕТСТВЕННОСТЬ СТОРОН</w:t>
      </w:r>
      <w:r/>
    </w:p>
    <w:p>
      <w:pPr>
        <w:ind w:firstLine="567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 xml:space="preserve">5.1.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Ответственность Заказчика: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Исполнитель </w:t>
      </w:r>
      <w:r>
        <w:rPr>
          <w:rFonts w:ascii="Times New Roman" w:hAnsi="Times New Roman" w:cs="Times New Roman"/>
          <w:shd w:val="clear" w:color="auto" w:fill="ffffff"/>
        </w:rPr>
        <w:t xml:space="preserve">вправе потребовать уплаты неустоек (штрафов, пеней).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5.2.2. Пеня начисляется за каждый день просрочки исполнения обязательства, предусмотренного настоящим контрактом, начиная со дня, следующего после</w:t>
      </w:r>
      <w:r>
        <w:rPr>
          <w:rFonts w:ascii="Times New Roman" w:hAnsi="Times New Roman" w:cs="Times New Roman"/>
        </w:rPr>
        <w:t xml:space="preserve"> дня истечения установленного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5.2.3. </w:t>
      </w:r>
      <w:r>
        <w:rPr>
          <w:rFonts w:ascii="Times New Roman" w:hAnsi="Times New Roman" w:cs="Times New Roman"/>
        </w:rPr>
        <w:t xml:space="preserve">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Исполнитель вправе взыскать с Заказчика штраф в размере 1000 рублей 00 копеек</w:t>
      </w:r>
      <w:r>
        <w:rPr>
          <w:rStyle w:val="950"/>
          <w:rFonts w:ascii="Times New Roman" w:hAnsi="Times New Roman" w:cs="Times New Roman"/>
        </w:rPr>
        <w:footnoteReference w:id="2"/>
      </w:r>
      <w:r>
        <w:rPr>
          <w:rStyle w:val="950"/>
          <w:rFonts w:ascii="Times New Roman" w:hAnsi="Times New Roman" w:cs="Times New Roman"/>
        </w:rPr>
        <w:t xml:space="preserve">1</w:t>
      </w:r>
      <w:r>
        <w:rPr>
          <w:rFonts w:ascii="Times New Roman" w:hAnsi="Times New Roman" w:cs="Times New Roman"/>
        </w:rPr>
        <w:t xml:space="preserve">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Ответственность Исполнителя: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5.3.1. </w:t>
      </w:r>
      <w:r>
        <w:rPr>
          <w:rFonts w:ascii="Times New Roman" w:hAnsi="Times New Roman" w:eastAsia="Times New Roman CYR" w:cs="Times New Roman"/>
          <w:color w:val="000000"/>
        </w:rPr>
        <w:t xml:space="preserve">В случае просрочки исполнения Исполнителем обязательств (в том числе </w:t>
      </w:r>
      <w:r>
        <w:rPr>
          <w:rFonts w:ascii="Times New Roman" w:hAnsi="Times New Roman" w:eastAsia="Times New Roman CYR" w:cs="Times New Roman"/>
          <w:color w:val="000000"/>
        </w:rP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5.3.2. </w:t>
      </w:r>
      <w:r>
        <w:rPr>
          <w:rFonts w:ascii="Times New Roman" w:hAnsi="Times New Roman" w:cs="Times New Roman"/>
        </w:rPr>
        <w:t xml:space="preserve">Пеня начи</w:t>
      </w:r>
      <w:r>
        <w:rPr>
          <w:rFonts w:ascii="Times New Roman" w:hAnsi="Times New Roman" w:cs="Times New Roman"/>
        </w:rPr>
        <w:t xml:space="preserve">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</w:t>
      </w:r>
      <w:r>
        <w:rPr>
          <w:rFonts w:ascii="Times New Roman" w:hAnsi="Times New Roman" w:cs="Times New Roman"/>
        </w:rPr>
        <w:t xml:space="preserve">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</w:t>
      </w:r>
      <w:r>
        <w:rPr>
          <w:rFonts w:ascii="Times New Roman" w:hAnsi="Times New Roman" w:cs="Times New Roman"/>
        </w:rPr>
        <w:t xml:space="preserve">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rPr>
          <w:rFonts w:ascii="Times New Roman" w:hAnsi="Times New Roman" w:eastAsia="Calibri" w:cs="Times New Roman"/>
        </w:rPr>
      </w:pPr>
      <w:r>
        <w:rPr>
          <w:rFonts w:ascii="Times New Roman" w:hAnsi="Times New Roman" w:cs="Times New Roman"/>
        </w:rPr>
        <w:t xml:space="preserve">5.3.3. За каждый факт неисполнения или ненадлежащего исполнения Исполнителем обязательств, предусмотренных контрактом, за исключение</w:t>
      </w:r>
      <w:r>
        <w:rPr>
          <w:rFonts w:ascii="Times New Roman" w:hAnsi="Times New Roman" w:cs="Times New Roman"/>
        </w:rPr>
        <w:t xml:space="preserve">м просрочки исполнения обязательств (в том числе гарантийного обязательства), предусмотренных контрактом, Исполнитель уплачивает Заказчику штраф в размере 10% цены контракта (этапа) _____________ (_______________) рублей ____ копеек</w:t>
      </w:r>
      <w:r>
        <w:rPr>
          <w:rStyle w:val="950"/>
          <w:rFonts w:ascii="Times New Roman" w:hAnsi="Times New Roman" w:cs="Times New Roman"/>
        </w:rPr>
        <w:footnoteReference w:id="3"/>
      </w:r>
      <w:r>
        <w:rPr>
          <w:rStyle w:val="950"/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5.3.4. За каждый факт</w:t>
      </w:r>
      <w:r>
        <w:rPr>
          <w:rFonts w:ascii="Times New Roman" w:hAnsi="Times New Roman" w:cs="Times New Roman"/>
        </w:rPr>
        <w:t xml:space="preserve">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1000 рублей 00 копеек</w:t>
      </w:r>
      <w:r>
        <w:rPr>
          <w:rStyle w:val="950"/>
          <w:rFonts w:ascii="Times New Roman" w:hAnsi="Times New Roman" w:cs="Times New Roman"/>
        </w:rPr>
        <w:footnoteReference w:id="4"/>
      </w:r>
      <w:r>
        <w:rPr>
          <w:rStyle w:val="950"/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  <w:rPr>
          <w:rFonts w:ascii="Times New Roman" w:hAnsi="Times New Roman" w:eastAsia="Calibri" w:cs="Times New Roman"/>
        </w:rPr>
      </w:pPr>
      <w:r>
        <w:rPr>
          <w:rFonts w:ascii="Times New Roman" w:hAnsi="Times New Roman" w:cs="Times New Roman"/>
        </w:rPr>
        <w:t xml:space="preserve">5.5.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ind w:firstLine="56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5.6. В случае неисполнения или ненад</w:t>
      </w:r>
      <w:r>
        <w:rPr>
          <w:rFonts w:ascii="Times New Roman" w:hAnsi="Times New Roman" w:cs="Times New Roman"/>
          <w:lang w:eastAsia="ru-RU"/>
        </w:rPr>
        <w:t xml:space="preserve">лежащего исполнения Исполнителем обязательства (в том числе просрочки исполнения обязательства Исполнителем),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  <w:r/>
    </w:p>
    <w:p>
      <w:pPr>
        <w:ind w:firstLine="56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5.7. </w:t>
      </w:r>
      <w:r>
        <w:rPr>
          <w:rFonts w:ascii="Times New Roman" w:hAnsi="Times New Roman" w:cs="Times New Roman"/>
          <w:lang w:eastAsia="ru-RU"/>
        </w:rPr>
        <w:t xml:space="preserve">В случае невыполнения Исполнителем требования Заказчика устранить выявленные недостатки в течение указанного Заказчиком срока, Заказчик вправе обратиться в суд с иском о расторжении контракта и потребовать полного возмещения убытков и упущенную выгоду.</w:t>
      </w:r>
      <w:r/>
    </w:p>
    <w:p>
      <w:pPr>
        <w:ind w:firstLine="56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5.8. В случае если Заказчик понес убытки вследствие ненадлежащего исполнения Исполнителем своих обязательств по настоящему контракту, Исполнитель обязан возместить такие убытки Заказчику независимо от уплаты неустойки.</w:t>
      </w:r>
      <w:r/>
    </w:p>
    <w:p>
      <w:pPr>
        <w:ind w:firstLine="56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5.9. Уплата неустойки и возмещение убытков, связанных с ненадлежащим исполнением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  <w:r/>
    </w:p>
    <w:p>
      <w:pPr>
        <w:ind w:firstLine="56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5.10. В случае расторжения контракта в связи с ненадлежащим исполнением Исполнителем своих обязательств (в том числе по соглашению Сторон) последний в течение 5 (пяти) рабочих дней </w:t>
      </w:r>
      <w:r>
        <w:rPr>
          <w:rFonts w:ascii="Times New Roman" w:hAnsi="Times New Roman" w:cs="Times New Roman"/>
          <w:lang w:eastAsia="ru-RU"/>
        </w:rPr>
        <w:t xml:space="preserve">с даты расторжения</w:t>
      </w:r>
      <w:r>
        <w:rPr>
          <w:rFonts w:ascii="Times New Roman" w:hAnsi="Times New Roman" w:cs="Times New Roman"/>
          <w:lang w:eastAsia="ru-RU"/>
        </w:rPr>
        <w:t xml:space="preserve"> контракта или подписания соглашения о расторжении контракта уплачивает Заказчику неустойку, определенную в соответствии с п</w:t>
      </w:r>
      <w:r>
        <w:rPr>
          <w:rFonts w:ascii="Times New Roman" w:hAnsi="Times New Roman" w:cs="Times New Roman"/>
          <w:color w:val="000000"/>
          <w:lang w:eastAsia="ru-RU"/>
        </w:rPr>
        <w:t xml:space="preserve">. 5.3.</w:t>
      </w:r>
      <w:r>
        <w:rPr>
          <w:rFonts w:ascii="Times New Roman" w:hAnsi="Times New Roman" w:cs="Times New Roman"/>
          <w:lang w:eastAsia="ru-RU"/>
        </w:rPr>
        <w:t xml:space="preserve"> настоящего контракта.</w:t>
      </w:r>
      <w:r/>
    </w:p>
    <w:p>
      <w:pPr>
        <w:ind w:firstLine="56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5.11.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tabs>
          <w:tab w:val="left" w:pos="709" w:leader="none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 ОБСТОЯТЕЛЬСТВА НЕПРЕОДОЛИМОЙ СИЛЫ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r>
        <w:rPr>
          <w:rFonts w:ascii="Times New Roman" w:hAnsi="Times New Roman" w:cs="Times New Roman"/>
        </w:rPr>
        <w:t xml:space="preserve">Стороны освобождаются от ответственности за полн</w:t>
      </w:r>
      <w:r>
        <w:rPr>
          <w:rFonts w:ascii="Times New Roman" w:hAnsi="Times New Roman" w:cs="Times New Roman"/>
        </w:rPr>
        <w:t xml:space="preserve">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</w:t>
      </w:r>
      <w:r>
        <w:rPr>
          <w:rFonts w:ascii="Times New Roman" w:hAnsi="Times New Roman" w:cs="Times New Roman"/>
        </w:rPr>
        <w:t xml:space="preserve">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</w:t>
      </w:r>
      <w:r>
        <w:rPr>
          <w:rFonts w:ascii="Times New Roman" w:hAnsi="Times New Roman" w:cs="Times New Roman"/>
        </w:rPr>
        <w:t xml:space="preserve"> на исполнение Сторонами своих обязательств, а также которые Стороны были не в состоянии предвидеть и предотвратить.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При наступлении таких обстоятель</w:t>
      </w:r>
      <w:r>
        <w:rPr>
          <w:rFonts w:ascii="Times New Roman" w:hAnsi="Times New Roman" w:cs="Times New Roman"/>
        </w:rPr>
        <w:t xml:space="preserve">ств ср</w:t>
      </w:r>
      <w:r>
        <w:rPr>
          <w:rFonts w:ascii="Times New Roman" w:hAnsi="Times New Roman" w:cs="Times New Roman"/>
        </w:rPr>
        <w:t xml:space="preserve">ок исполнения обязательств по настоящему контракту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контракта в срок.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>
        <w:rPr>
          <w:rFonts w:ascii="Times New Roman" w:hAnsi="Times New Roman" w:cs="Times New Roman"/>
        </w:rPr>
        <w:t xml:space="preserve">Сторона, для которой надлежащее исполнение обязательств оказалось невозможным </w:t>
      </w:r>
      <w:r>
        <w:rPr>
          <w:rFonts w:ascii="Times New Roman" w:hAnsi="Times New Roman" w:cs="Times New Roman"/>
        </w:rPr>
        <w:t xml:space="preserve">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6.4. Если обстоятельства, указанные в </w:t>
      </w:r>
      <w:hyperlink r:id="rId10" w:tooltip="consultantplus://offline/main?base=MLAW;n=129338;fld=134;dst=100180" w:history="1">
        <w:r>
          <w:rPr>
            <w:rFonts w:ascii="Times New Roman" w:hAnsi="Times New Roman" w:cs="Times New Roman"/>
            <w:color w:val="000000"/>
          </w:rPr>
          <w:t xml:space="preserve">п. 6.1</w:t>
        </w:r>
      </w:hyperlink>
      <w:r>
        <w:rPr>
          <w:rFonts w:ascii="Times New Roman" w:hAnsi="Times New Roman" w:cs="Times New Roman"/>
          <w:color w:val="000000"/>
        </w:rPr>
        <w:t xml:space="preserve"> настоящего контракта, будут длиться более 2 (двух) месяцев </w:t>
      </w:r>
      <w:r>
        <w:rPr>
          <w:rFonts w:ascii="Times New Roman" w:hAnsi="Times New Roman" w:cs="Times New Roman"/>
          <w:color w:val="000000"/>
        </w:rPr>
        <w:t xml:space="preserve">с даты</w:t>
      </w:r>
      <w:r>
        <w:rPr>
          <w:rFonts w:ascii="Times New Roman" w:hAnsi="Times New Roman" w:cs="Times New Roman"/>
          <w:color w:val="000000"/>
        </w:rPr>
        <w:t xml:space="preserve"> соответствующего уведомления, каждая из Сторо</w:t>
      </w:r>
      <w:r>
        <w:rPr>
          <w:rFonts w:ascii="Times New Roman" w:hAnsi="Times New Roman" w:cs="Times New Roman"/>
        </w:rPr>
        <w:t xml:space="preserve">н вправе расторгнуть настоящий контракт без требования возмещения убытков, понесенных в связи с наступлением таких обстоятельств.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6.5. Не уведомлен</w:t>
      </w:r>
      <w:r>
        <w:rPr>
          <w:rFonts w:ascii="Times New Roman" w:hAnsi="Times New Roman" w:cs="Times New Roman"/>
        </w:rPr>
        <w:t xml:space="preserve">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  <w:r/>
    </w:p>
    <w:p>
      <w:pPr>
        <w:ind w:firstLine="567"/>
        <w:jc w:val="center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1020"/>
        <w:ind w:firstLine="567"/>
        <w:jc w:val="center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ГАРАНТИИ</w:t>
      </w:r>
      <w:r/>
    </w:p>
    <w:p>
      <w:pPr>
        <w:ind w:firstLine="567"/>
        <w:jc w:val="both"/>
        <w:tabs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Услуг. 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7.2. </w:t>
      </w:r>
      <w:r>
        <w:rPr>
          <w:rFonts w:ascii="Times New Roman" w:hAnsi="Times New Roman" w:cs="Times New Roman"/>
        </w:rPr>
        <w:t xml:space="preserve">Контроль за</w:t>
      </w:r>
      <w:r>
        <w:rPr>
          <w:rFonts w:ascii="Times New Roman" w:hAnsi="Times New Roman" w:cs="Times New Roman"/>
        </w:rPr>
        <w:t xml:space="preserve"> качеством Услуг производится одновременно с проведением контроля за соблюдением своевременности и сроков оказания Услуг по настоящему контракту. </w:t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tabs>
          <w:tab w:val="left" w:pos="709" w:leader="none"/>
          <w:tab w:val="left" w:pos="244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8. ПОРЯДОК УРЕГУЛИРОВАНИЯ СПОРОВ</w:t>
      </w:r>
      <w:r/>
    </w:p>
    <w:p>
      <w:pPr>
        <w:ind w:firstLine="567"/>
        <w:jc w:val="both"/>
        <w:tabs>
          <w:tab w:val="left" w:pos="42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В случае возникновения любых противоречий, претензий и разногласий, а также споров, связанных с исполнением настоящего контракта, Стороны </w:t>
      </w:r>
      <w:r>
        <w:rPr>
          <w:rFonts w:ascii="Times New Roman" w:hAnsi="Times New Roman" w:cs="Times New Roman"/>
        </w:rPr>
        <w:t xml:space="preserve">предпринимают усилия</w:t>
      </w:r>
      <w:r>
        <w:rPr>
          <w:rFonts w:ascii="Times New Roman" w:hAnsi="Times New Roman" w:cs="Times New Roman"/>
        </w:rPr>
        <w:t xml:space="preserve"> для урегулирования таких противоречий, претензий и разногласий в добровольном порядке.</w:t>
      </w:r>
      <w:r/>
    </w:p>
    <w:p>
      <w:pPr>
        <w:ind w:firstLine="567"/>
        <w:jc w:val="both"/>
        <w:tabs>
          <w:tab w:val="left" w:pos="42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В случае невыполнения Сторонами своих обязательств и не достижении взаимного согласия споры по настоящему контракту разрешаются в Арбитражном суде </w:t>
      </w:r>
      <w:r>
        <w:rPr>
          <w:rFonts w:ascii="Times New Roman" w:hAnsi="Times New Roman" w:cs="Times New Roman"/>
        </w:rPr>
        <w:t xml:space="preserve">г</w:t>
      </w:r>
      <w:r>
        <w:rPr>
          <w:rFonts w:ascii="Times New Roman" w:hAnsi="Times New Roman" w:cs="Times New Roman"/>
        </w:rPr>
        <w:t xml:space="preserve">. Санкт-Петербург Ленинградской области.</w:t>
      </w:r>
      <w:r/>
    </w:p>
    <w:p>
      <w:pPr>
        <w:contextualSpacing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contextualSpacing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9. АНТИКОРРУПЦИОННАЯ ОГОВОРКА</w:t>
      </w:r>
      <w:r/>
    </w:p>
    <w:p>
      <w:pPr>
        <w:contextualSpacing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9.1. </w:t>
      </w:r>
      <w:r>
        <w:rPr>
          <w:rFonts w:ascii="Times New Roman" w:hAnsi="Times New Roman" w:cs="Times New Roman"/>
          <w:color w:val="000000"/>
        </w:rPr>
        <w:t xml:space="preserve"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</w:t>
      </w:r>
      <w:r>
        <w:rPr>
          <w:rFonts w:ascii="Times New Roman" w:hAnsi="Times New Roman" w:cs="Times New Roman"/>
          <w:color w:val="000000"/>
        </w:rPr>
        <w:t xml:space="preserve"> иных ценностей, безвозмездное выполнение в их адрес (адрес их близких) работ,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</w:t>
      </w:r>
      <w:r>
        <w:rPr>
          <w:rFonts w:ascii="Times New Roman" w:hAnsi="Times New Roman" w:cs="Times New Roman"/>
          <w:color w:val="000000"/>
        </w:rPr>
        <w:t xml:space="preserve"> преимущества или с иной неправомерной целью.</w:t>
      </w:r>
      <w:r/>
    </w:p>
    <w:p>
      <w:pPr>
        <w:contextualSpacing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9.2. При исполнении своих обязательств по контракту Стороны, их аффилированные лица, работники или</w:t>
      </w:r>
      <w:r>
        <w:rPr>
          <w:rFonts w:ascii="Times New Roman" w:hAnsi="Times New Roman" w:cs="Times New Roman"/>
          <w:color w:val="000000"/>
        </w:rPr>
        <w:t xml:space="preserve">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/>
    </w:p>
    <w:p>
      <w:pPr>
        <w:contextualSpacing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9.3. В случае появления у Стороны информации, что произошло или может произойти нарушение каки</w:t>
      </w:r>
      <w:r>
        <w:rPr>
          <w:rFonts w:ascii="Times New Roman" w:hAnsi="Times New Roman" w:cs="Times New Roman"/>
          <w:color w:val="000000"/>
        </w:rPr>
        <w:t xml:space="preserve">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</w:t>
      </w:r>
      <w:r>
        <w:rPr>
          <w:rFonts w:ascii="Times New Roman" w:hAnsi="Times New Roman" w:cs="Times New Roman"/>
          <w:color w:val="000000"/>
        </w:rPr>
        <w:t xml:space="preserve">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  <w:r/>
    </w:p>
    <w:p>
      <w:pPr>
        <w:contextualSpacing/>
        <w:ind w:firstLine="567"/>
        <w:jc w:val="both"/>
        <w:tabs>
          <w:tab w:val="left" w:pos="42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9.4.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/>
    </w:p>
    <w:p>
      <w:pPr>
        <w:pStyle w:val="1025"/>
        <w:ind w:right="0" w:firstLine="567"/>
        <w:jc w:val="center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025"/>
        <w:ind w:right="0" w:firstLine="567"/>
        <w:jc w:val="center"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СРОК ДЕЙСТВИЯ, ПОРЯДОК ИЗМЕНЕНИЯ И РАСТОРЖЕНИЯ КОНТРАКТА</w:t>
      </w:r>
      <w:r/>
    </w:p>
    <w:p>
      <w:pPr>
        <w:pStyle w:val="1021"/>
        <w:ind w:left="0" w:firstLine="567"/>
        <w:spacing w:line="24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10.1. Настоящий контра</w:t>
      </w:r>
      <w:r>
        <w:rPr>
          <w:sz w:val="24"/>
          <w:szCs w:val="24"/>
        </w:rPr>
        <w:t xml:space="preserve">кт вст</w:t>
      </w:r>
      <w:r>
        <w:rPr>
          <w:sz w:val="24"/>
          <w:szCs w:val="24"/>
        </w:rPr>
        <w:t xml:space="preserve">упает в силу с момента его подписания обеими Сторонами и действует до 31 декабря 2026 года. В случае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если к моменту окончания срока действия Контракта, </w:t>
      </w:r>
      <w:r>
        <w:rPr>
          <w:sz w:val="24"/>
          <w:szCs w:val="24"/>
        </w:rPr>
        <w:t xml:space="preserve">обязательства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Контракту.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 Изменения и дополнения настоящего контракта во</w:t>
      </w:r>
      <w:r>
        <w:rPr>
          <w:rFonts w:ascii="Times New Roman" w:hAnsi="Times New Roman" w:cs="Times New Roman"/>
        </w:rPr>
        <w:t xml:space="preserve">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контракту, за исключением случаев изменения у </w:t>
      </w:r>
      <w:r>
        <w:rPr>
          <w:rFonts w:ascii="Times New Roman" w:hAnsi="Times New Roman" w:cs="Times New Roman"/>
        </w:rPr>
        <w:t xml:space="preserve">какой-либо</w:t>
      </w:r>
      <w:r>
        <w:rPr>
          <w:rFonts w:ascii="Times New Roman" w:hAnsi="Times New Roman" w:cs="Times New Roman"/>
        </w:rPr>
        <w:t xml:space="preserve"> из Сторон местонахождения, названия, банковских или дру</w:t>
      </w:r>
      <w:r>
        <w:rPr>
          <w:rFonts w:ascii="Times New Roman" w:hAnsi="Times New Roman" w:cs="Times New Roman"/>
        </w:rPr>
        <w:t xml:space="preserve">гих реквизитов. В таком случае достаточно в течение пяти дней с момента таких изменений, письменно уведомить об этом другую Сторону. Дополнительные соглашения к контракту являются его неотъемлемой частью и вступают в силу с момента их подписания Сторонами.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10.3. Настоящий контракт может быть расторгнут: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по соглашению Сторон,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судебном порядке,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в случае одностороннего отказа одной из Сторон от исполнения контракта в соответствии с действующим гражданским законодательством</w:t>
      </w:r>
      <w:r>
        <w:rPr>
          <w:rFonts w:ascii="Times New Roman" w:hAnsi="Times New Roman" w:cs="Times New Roman"/>
        </w:rPr>
        <w:t xml:space="preserve"> РФ.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10.4. Расторжение контракта по соглашению Сторон производится Сторонами путем подписания соответствующего соглашения о расторжении.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10.5. Расторжение настоящего Контракта в случае одностороннего отказа от исполнения одной из его Сторон осуществляется с соблюдением требований статьи 95 Федерального закона о контрактной системе.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10.6. Заказчик обязан принять решение об одностороннем отказе от исполнения Контракта в случаях, предусмотренных действующим законодательством.</w:t>
      </w:r>
      <w:r/>
    </w:p>
    <w:p>
      <w:pPr>
        <w:ind w:firstLine="567"/>
        <w:jc w:val="both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10.7.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законодательством.</w:t>
      </w:r>
      <w:r/>
    </w:p>
    <w:p>
      <w:pPr>
        <w:ind w:firstLine="567"/>
        <w:jc w:val="center"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tabs>
          <w:tab w:val="left" w:pos="709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9160" w:leader="none"/>
          <w:tab w:val="left" w:pos="93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11. ПРОЧИЕ УСЛОВИЯ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11.1. Все Приложения к контракту являются его неотъемлемыми частями.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11.2. </w:t>
      </w:r>
      <w:r>
        <w:rPr>
          <w:rFonts w:ascii="Times New Roman" w:hAnsi="Times New Roman" w:cs="Times New Roman"/>
        </w:rPr>
        <w:t xml:space="preserve">Все уведомления Сторон, связанные с исполнением настоящего контракта, направляются в письменной форме по почте заказным письмом по фактическому адресу Стороны, ук</w:t>
      </w:r>
      <w:r>
        <w:rPr>
          <w:rFonts w:ascii="Times New Roman" w:hAnsi="Times New Roman" w:cs="Times New Roman"/>
        </w:rPr>
        <w:t xml:space="preserve">азанному в настоящем контракте,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</w:t>
      </w:r>
      <w:r>
        <w:rPr>
          <w:rFonts w:ascii="Times New Roman" w:hAnsi="Times New Roman" w:cs="Times New Roman"/>
        </w:rPr>
        <w:t xml:space="preserve"> В случае направления уведомлений с использованием по</w:t>
      </w:r>
      <w:r>
        <w:rPr>
          <w:rFonts w:ascii="Times New Roman" w:hAnsi="Times New Roman" w:cs="Times New Roman"/>
        </w:rPr>
        <w:t xml:space="preserve">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11.3. Во всем, что не предусмотрено настоящим контрактом, Стороны руководствуются действующим законодательством Российской Федерации.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11.4. Приложения к настоящему контракту:</w:t>
      </w:r>
      <w:r/>
    </w:p>
    <w:p>
      <w:pPr>
        <w:ind w:firstLine="567"/>
        <w:jc w:val="both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11.4.1. Приложение №1 — Техническое задание;</w:t>
      </w:r>
      <w:r/>
    </w:p>
    <w:p>
      <w:pPr>
        <w:ind w:firstLine="567"/>
        <w:jc w:val="both"/>
        <w:tabs>
          <w:tab w:val="left" w:pos="709" w:leader="none"/>
        </w:tabs>
        <w:rPr>
          <w:rStyle w:val="1014"/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 xml:space="preserve">11.4.2. Приложение №2 — </w:t>
      </w:r>
      <w:r>
        <w:rPr>
          <w:rStyle w:val="1014"/>
          <w:rFonts w:ascii="Times New Roman" w:hAnsi="Times New Roman"/>
          <w:color w:val="000000"/>
        </w:rPr>
        <w:t xml:space="preserve">График прохождения диспансеризации муниципальными служащими.</w:t>
      </w:r>
      <w:r/>
    </w:p>
    <w:p>
      <w:pPr>
        <w:pStyle w:val="1018"/>
        <w:ind w:firstLine="567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11.5. </w:t>
      </w:r>
      <w:r>
        <w:rPr>
          <w:rStyle w:val="1014"/>
          <w:rFonts w:ascii="Times New Roman" w:hAnsi="Times New Roman"/>
          <w:color w:val="000000"/>
          <w:sz w:val="24"/>
          <w:szCs w:val="24"/>
        </w:rPr>
        <w:t xml:space="preserve">Услуги по проведению диспансеризации муниципальных служащих администрации Сланцевского муниципального района должны оказываться врачами-специалистами м</w:t>
      </w:r>
      <w:r>
        <w:rPr>
          <w:rStyle w:val="1014"/>
          <w:rFonts w:ascii="Times New Roman" w:hAnsi="Times New Roman"/>
          <w:color w:val="000000"/>
          <w:sz w:val="24"/>
          <w:szCs w:val="24"/>
        </w:rPr>
        <w:t xml:space="preserve">едицинского учреждения, с использованием лабораторных и функциональных 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1018"/>
        <w:ind w:firstLine="567"/>
        <w:spacing w:before="0"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11.6.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Настоящий Контракт составлен в двух экз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Исполнителя и Заказчика электронными цифровыми подписями уполномоченных лиц.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1025"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1023"/>
          <w:rFonts w:ascii="Times New Roman" w:hAnsi="Times New Roman" w:cs="Times New Roman"/>
          <w:b/>
          <w:sz w:val="24"/>
          <w:szCs w:val="24"/>
        </w:rPr>
        <w:t xml:space="preserve">12.</w:t>
      </w:r>
      <w:r>
        <w:rPr>
          <w:rStyle w:val="1023"/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Style w:val="1023"/>
          <w:rFonts w:ascii="Times New Roman" w:hAnsi="Times New Roman" w:cs="Times New Roman"/>
          <w:b/>
          <w:sz w:val="24"/>
          <w:szCs w:val="24"/>
        </w:rPr>
        <w:t xml:space="preserve">МЕСТОНАХОЖДЕНИЕ И БАНКОВСКИЕ РЕКВИЗИТЫ СТОРОН</w:t>
      </w:r>
      <w:r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33"/>
        <w:gridCol w:w="5607"/>
      </w:tblGrid>
      <w:tr>
        <w:trPr>
          <w:cantSplit/>
          <w:jc w:val="center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3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Заказчик:</w:t>
            </w:r>
            <w:r/>
          </w:p>
          <w:p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Администрация муниципального образования Сланцевский муниципальный район Ленинградской области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ИНН 4713008137    КПП 470701001                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Комитет финансов (администрация  Сланцевского муниципального района, </w:t>
            </w:r>
            <w:r>
              <w:rPr>
                <w:rFonts w:ascii="Times New Roman" w:hAnsi="Times New Roman" w:cs="Times New Roman"/>
                <w:color w:val="000000"/>
              </w:rPr>
              <w:t xml:space="preserve">л</w:t>
            </w:r>
            <w:r>
              <w:rPr>
                <w:rFonts w:ascii="Times New Roman" w:hAnsi="Times New Roman" w:cs="Times New Roman"/>
                <w:color w:val="000000"/>
              </w:rPr>
              <w:t xml:space="preserve">/с 401000000025)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КС 03231643416420004500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ОКЦ №1 СЗГУ Банка России//УФК по Ленинградской области </w:t>
            </w:r>
            <w:r>
              <w:rPr>
                <w:rFonts w:ascii="Times New Roman" w:hAnsi="Times New Roman" w:cs="Times New Roman"/>
                <w:color w:val="000000"/>
              </w:rPr>
              <w:t xml:space="preserve">г</w:t>
            </w:r>
            <w:r>
              <w:rPr>
                <w:rFonts w:ascii="Times New Roman" w:hAnsi="Times New Roman" w:cs="Times New Roman"/>
                <w:color w:val="000000"/>
              </w:rPr>
              <w:t xml:space="preserve">. Санкт-Петербург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ЕКС 40102810745370000098 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БИК 044030098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ОКПО 43497407   ОКВЭД   84.11.3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ОКТМО – 41 642 000                                                                                                                                                        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ОГРН 1054700454940 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Контактный телефон – 8(81374) 2-13-64</w:t>
            </w:r>
            <w:r/>
          </w:p>
          <w:p>
            <w:pPr>
              <w:jc w:val="both"/>
              <w:rPr>
                <w:rStyle w:val="947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Эл</w:t>
            </w:r>
            <w:r>
              <w:rPr>
                <w:rFonts w:ascii="Times New Roman" w:hAnsi="Times New Roman" w:cs="Times New Roman"/>
                <w:color w:val="00000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п</w:t>
            </w:r>
            <w:r>
              <w:rPr>
                <w:rFonts w:ascii="Times New Roman" w:hAnsi="Times New Roman" w:cs="Times New Roman"/>
                <w:color w:val="000000"/>
              </w:rPr>
              <w:t xml:space="preserve">очта: </w:t>
            </w:r>
            <w:hyperlink r:id="rId11" w:tooltip="mailto:bka@slanmo.ru" w:history="1">
              <w:r>
                <w:rPr>
                  <w:rStyle w:val="947"/>
                  <w:rFonts w:ascii="Times New Roman" w:hAnsi="Times New Roman" w:cs="Times New Roman"/>
                </w:rPr>
                <w:t xml:space="preserve">bka</w:t>
              </w:r>
              <w:r>
                <w:rPr>
                  <w:rStyle w:val="947"/>
                  <w:rFonts w:ascii="Times New Roman" w:hAnsi="Times New Roman" w:cs="Times New Roman"/>
                  <w:lang w:val="ru-RU"/>
                </w:rPr>
                <w:t xml:space="preserve">@</w:t>
              </w:r>
              <w:r>
                <w:rPr>
                  <w:rStyle w:val="947"/>
                  <w:rFonts w:ascii="Times New Roman" w:hAnsi="Times New Roman" w:cs="Times New Roman"/>
                </w:rPr>
                <w:t xml:space="preserve">slanmo</w:t>
              </w:r>
              <w:r>
                <w:rPr>
                  <w:rStyle w:val="947"/>
                  <w:rFonts w:ascii="Times New Roman" w:hAnsi="Times New Roman" w:cs="Times New Roman"/>
                  <w:lang w:val="ru-RU"/>
                </w:rPr>
                <w:t xml:space="preserve">.</w:t>
              </w:r>
              <w:r>
                <w:rPr>
                  <w:rStyle w:val="947"/>
                  <w:rFonts w:ascii="Times New Roman" w:hAnsi="Times New Roman" w:cs="Times New Roman"/>
                </w:rPr>
                <w:t xml:space="preserve">ru</w:t>
              </w:r>
            </w:hyperlink>
            <w:r>
              <w:t xml:space="preserve">, </w:t>
            </w:r>
            <w:hyperlink r:id="rId12" w:tooltip="http://kadry@slanmo.ru" w:history="1">
              <w:r>
                <w:rPr>
                  <w:rStyle w:val="947"/>
                </w:rPr>
                <w:t xml:space="preserve">kadry</w:t>
              </w:r>
              <w:r>
                <w:rPr>
                  <w:rStyle w:val="947"/>
                  <w:lang w:val="ru-RU"/>
                </w:rPr>
                <w:t xml:space="preserve">@</w:t>
              </w:r>
              <w:r>
                <w:rPr>
                  <w:rStyle w:val="947"/>
                </w:rPr>
                <w:t xml:space="preserve">slanmo</w:t>
              </w:r>
              <w:r>
                <w:rPr>
                  <w:rStyle w:val="947"/>
                  <w:lang w:val="ru-RU"/>
                </w:rPr>
                <w:t xml:space="preserve">.</w:t>
              </w:r>
              <w:r>
                <w:rPr>
                  <w:rStyle w:val="947"/>
                </w:rPr>
                <w:t xml:space="preserve">ru</w:t>
              </w:r>
            </w:hyperlink>
            <w:r/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pStyle w:val="1006"/>
              <w:ind w:left="0"/>
              <w:jc w:val="both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4"/>
                <w:lang w:eastAsia="en-US"/>
              </w:rPr>
              <w:t xml:space="preserve">Заказчик: </w:t>
            </w:r>
            <w:r/>
          </w:p>
          <w:p>
            <w:pPr>
              <w:pStyle w:val="1006"/>
              <w:ind w:left="0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Глава администрации Сланцевского муниципального образования</w:t>
            </w:r>
            <w:r/>
          </w:p>
          <w:p>
            <w:pPr>
              <w:pStyle w:val="1006"/>
              <w:ind w:left="0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/>
          </w:p>
          <w:p>
            <w:pPr>
              <w:pStyle w:val="1006"/>
              <w:ind w:left="0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/>
          </w:p>
          <w:p>
            <w:pPr>
              <w:pStyle w:val="1006"/>
              <w:ind w:left="0"/>
              <w:spacing w:after="0"/>
              <w:rPr>
                <w:rFonts w:ascii="Times New Roman" w:hAnsi="Times New Roman" w:cs="Times New Roman"/>
                <w:color w:val="000000"/>
                <w:highlight w:val="none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______________________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Чистова М.Б.</w:t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Исполнитель:</w:t>
            </w:r>
            <w:r/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Исполнитель:</w:t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  <w:highlight w:val="none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______________________ ___________</w:t>
            </w:r>
            <w:r/>
          </w:p>
        </w:tc>
      </w:tr>
    </w:tbl>
    <w:p>
      <w:pPr>
        <w:sectPr>
          <w:footnotePr/>
          <w:endnotePr/>
          <w:type w:val="nextPage"/>
          <w:pgSz w:w="12240" w:h="15840" w:orient="portrait"/>
          <w:pgMar w:top="709" w:right="901" w:bottom="567" w:left="1135" w:header="720" w:footer="720" w:gutter="0"/>
          <w:cols w:num="1" w:sep="0" w:space="720" w:equalWidth="1"/>
          <w:docGrid w:linePitch="360"/>
        </w:sectPr>
      </w:pPr>
      <w:r/>
      <w:r/>
    </w:p>
    <w:p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Приложение №1</w:t>
      </w:r>
      <w:r/>
    </w:p>
    <w:p>
      <w:pPr>
        <w:jc w:val="right"/>
        <w:rPr>
          <w:rFonts w:ascii="Times New Roman" w:hAnsi="Times New Roman" w:cs="Times New Roman"/>
          <w:color w:val="000000"/>
          <w:lang w:eastAsia="he-IL" w:bidi="he-IL"/>
        </w:rPr>
      </w:pPr>
      <w:r>
        <w:rPr>
          <w:rFonts w:ascii="Times New Roman" w:hAnsi="Times New Roman" w:cs="Times New Roman"/>
          <w:color w:val="000000"/>
        </w:rPr>
        <w:t xml:space="preserve">к муниципальному контракту № _____________</w:t>
      </w:r>
      <w:r/>
    </w:p>
    <w:p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lang w:eastAsia="he-IL" w:bidi="he-IL"/>
        </w:rPr>
        <w:t xml:space="preserve">от _______________ 2026 года</w:t>
      </w:r>
      <w:r/>
    </w:p>
    <w:p>
      <w:pPr>
        <w:pStyle w:val="786"/>
        <w:numPr>
          <w:ilvl w:val="0"/>
          <w:numId w:val="0"/>
        </w:numPr>
        <w:rPr>
          <w:rFonts w:ascii="Times New Roman" w:hAnsi="Times New Roman" w:cs="Times New Roman"/>
          <w:b w:val="0"/>
          <w:i/>
          <w:color w:val="000000"/>
          <w:szCs w:val="24"/>
        </w:rPr>
      </w:pPr>
      <w:r>
        <w:rPr>
          <w:rFonts w:ascii="Times New Roman" w:hAnsi="Times New Roman" w:cs="Times New Roman"/>
          <w:b w:val="0"/>
          <w:i/>
          <w:color w:val="000000"/>
          <w:szCs w:val="24"/>
        </w:rPr>
      </w:r>
      <w:r/>
    </w:p>
    <w:p>
      <w:pPr>
        <w:pStyle w:val="786"/>
        <w:numPr>
          <w:ilvl w:val="0"/>
          <w:numId w:val="0"/>
        </w:numPr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ТЕХНИЧЕСКОЕ ЗАДАНИЕ</w:t>
      </w:r>
      <w:r/>
    </w:p>
    <w:p>
      <w:pPr>
        <w:rPr>
          <w:lang w:bidi="ar-SA"/>
        </w:rPr>
      </w:pPr>
      <w:r>
        <w:rPr>
          <w:lang w:bidi="ar-SA"/>
        </w:rPr>
      </w:r>
      <w:r/>
    </w:p>
    <w:p>
      <w:pPr>
        <w:pStyle w:val="806"/>
        <w:ind w:left="0" w:firstLine="56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eastAsia="Times New Roman" w:cs="Times New Roman"/>
          <w:b/>
          <w:color w:val="000000" w:themeColor="text1"/>
        </w:rPr>
        <w:t xml:space="preserve">Наименование объекта закупки: </w:t>
      </w:r>
      <w:r>
        <w:rPr>
          <w:rFonts w:ascii="Times New Roman" w:hAnsi="Times New Roman" w:eastAsia="Times New Roman" w:cs="Times New Roman"/>
          <w:color w:val="000000" w:themeColor="text1"/>
        </w:rPr>
        <w:t xml:space="preserve">Оказание услуг по организации проведения диспансеризации муниципальных служащих администрации Сланцевского муниципального района.</w:t>
      </w:r>
      <w:r/>
    </w:p>
    <w:tbl>
      <w:tblPr>
        <w:tblStyle w:val="821"/>
        <w:tblW w:w="10346" w:type="dxa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3685"/>
        <w:gridCol w:w="1417"/>
        <w:gridCol w:w="992"/>
        <w:gridCol w:w="1559"/>
        <w:gridCol w:w="1276"/>
      </w:tblGrid>
      <w:tr>
        <w:trPr>
          <w:trHeight w:val="696"/>
        </w:trPr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0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Код ОКПД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2</w:t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0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Наименование услуги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0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Единица измерения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0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Количество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0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Цена за единицу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0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Сумма</w:t>
            </w:r>
            <w:r/>
          </w:p>
        </w:tc>
      </w:tr>
      <w:tr>
        <w:trPr/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86.90.19.190</w:t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Оказание услуг по организации проведения диспансеризации муниципальных служащих администрации Сланцевского муниципального района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усл. ед.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 xml:space="preserve">1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r>
      <w:r/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color w:val="000000" w:themeColor="text1"/>
          <w:shd w:val="clear" w:color="auto" w:fill="ffffff"/>
        </w:rPr>
        <w:tab/>
        <w:t xml:space="preserve">ИТОГО: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(с НДС/ без НДС)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</w:t>
      </w:r>
      <w:r/>
      <w:r>
        <w:rPr>
          <w:rFonts w:ascii="Times New Roman" w:hAnsi="Times New Roman" w:eastAsia="Times New Roman" w:cs="Times New Roman"/>
          <w:b/>
          <w:color w:val="000000" w:themeColor="text1"/>
          <w:shd w:val="clear" w:color="auto" w:fill="ffffff"/>
        </w:rPr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color w:val="000000" w:themeColor="text1"/>
          <w:shd w:val="clear" w:color="auto" w:fill="ffffff"/>
        </w:rPr>
        <w:t xml:space="preserve">1. Организационно-технические характеристики оказываемых услуг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hd w:val="clear" w:color="auto" w:fill="ffffff"/>
          <w:lang w:bidi="ar-SA"/>
        </w:rPr>
        <w:t xml:space="preserve">1.1. </w:t>
      </w:r>
      <w:r>
        <w:rPr>
          <w:rFonts w:ascii="Times New Roman" w:hAnsi="Times New Roman" w:eastAsia="Times New Roman" w:cs="Times New Roman"/>
          <w:color w:val="000000" w:themeColor="text1"/>
          <w:lang w:bidi="ar-SA"/>
        </w:rPr>
        <w:t xml:space="preserve">Диспансеризация муниципальных служащих должна осуществляться отдельно от других посетителей медицинского учреждения (не в рамках общей очереди).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hd w:val="clear" w:color="auto" w:fill="ffffff"/>
          <w:lang w:bidi="ar-SA"/>
        </w:rPr>
        <w:t xml:space="preserve">Диспансеризация муниципальных служащих проводится в служебное время в соответствии с Графиком прохождения диспансеризации муниципальными служащими, утвержденным Заказчиком.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Гр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афик прохождения диспансеризации муниципальными служащими должен быть составлен таким образом, чтобы обеспечить прохождение диспансеризации на базе медицинского учреждения одним муниципальным служащим не более чем за одно посещение медицинского учреждения.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Заказчик составляет поименный список муниципальных служащих и направляет его в течени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 10-ти рабочих дней с момента заключения контракта в медицинское учреждение.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Медицинское учреждение на основании поименного списка муниципальных служащих, в течение 10 рабочих дней с момента заключения контракта, совместно с Заказчиком утверждает График прохождения диспансеризации муниципальными служащими.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1.2. При проведении диспансеризации необходимо руководствоваться действующими на территории Российской Федерации нормами, нормативами, и другими документами, принятыми для данного вида услуг.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1.3. 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Исполнитель должен 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оказывать услуги в порядке, определенном приказом Министерства здравоохранения от 14 апреля 2025 г. N 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организации».</w:t>
      </w:r>
      <w:r/>
    </w:p>
    <w:p>
      <w:pPr>
        <w:ind w:firstLine="567"/>
        <w:jc w:val="both"/>
        <w:shd w:val="clear" w:color="auto" w:fill="ffffff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1.4. Медицинская документация на муниципальных служащих, прошедших диспансеризацию в полном объеме должна заполняться по формам, установленным Министерством здравоохранения.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1.5. </w:t>
      </w:r>
      <w:r>
        <w:rPr>
          <w:rFonts w:ascii="Times New Roman" w:hAnsi="Times New Roman" w:eastAsia="Times New Roman" w:cs="Times New Roman"/>
        </w:rPr>
        <w:t xml:space="preserve">Медицинское учреждение должно иметь лицензию на осуществление медицинской деятельности, включая работы (услуги) при осуществлении амбулаторно-поликлинической медицинской помощи по специальностям: «</w:t>
      </w:r>
      <w:r>
        <w:rPr>
          <w:rFonts w:ascii="Times New Roman" w:hAnsi="Times New Roman" w:eastAsia="Times New Roman" w:cs="Times New Roman"/>
        </w:rPr>
        <w:t xml:space="preserve">терапия», «акушерство и гинекология», «неврология», «урология», «хирургия», «офтальмология», «отоларингология», «эндокринология», «психиатрия», «психиатрия-наркология», «рентгенология», «ультразвуковая диагностика», «клиническая лабораторная диагностика». 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 случае отсутствия в медицинском учреж</w:t>
      </w:r>
      <w:r>
        <w:rPr>
          <w:rFonts w:ascii="Times New Roman" w:hAnsi="Times New Roman" w:eastAsia="Times New Roman" w:cs="Times New Roman"/>
        </w:rPr>
        <w:t xml:space="preserve">дении, осуществляющем диспансеризацию муниципальных служащих, лицензии на медицинскую деятельность по отдельным видам работ (услуг), необходимых для проведения диспансеризации в полном объеме, указанным медицинским учреждением заключаются договоры с медици</w:t>
      </w:r>
      <w:r>
        <w:rPr>
          <w:rFonts w:ascii="Times New Roman" w:hAnsi="Times New Roman" w:eastAsia="Times New Roman" w:cs="Times New Roman"/>
        </w:rPr>
        <w:t xml:space="preserve">нскими организациями, имеющими лицензии на соответствующие виды деятельности, о привлечении медицинских работников этих организаций. Привлеченные медицинские работники оказывают услуги по диспансеризации на территории Медицинского учреждения (исполнителя).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1.6. Услуги оказываются </w:t>
      </w:r>
      <w:r>
        <w:rPr>
          <w:rFonts w:ascii="Times New Roman" w:hAnsi="Times New Roman" w:eastAsia="Times New Roman" w:cs="Times New Roman"/>
        </w:rPr>
        <w:t xml:space="preserve">с соблюдением экологических, санитарно-эпидемиологических и гигиенических требований, правил техники безопасности и индивидуальной защиты собственного персонала. Оказываемые услуги не должны причинить вред жизни и здоровью муниципальных служащих заказчика.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1.7. </w:t>
      </w:r>
      <w:r>
        <w:rPr>
          <w:rFonts w:ascii="Times New Roman" w:hAnsi="Times New Roman" w:eastAsia="Times New Roman" w:cs="Times New Roman"/>
          <w:b/>
        </w:rPr>
        <w:t xml:space="preserve">Место оказания услуг: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Style w:val="1014"/>
          <w:rFonts w:ascii="Times New Roman" w:hAnsi="Times New Roman" w:eastAsia="Times New Roman"/>
        </w:rPr>
        <w:t xml:space="preserve">Услуги </w:t>
      </w:r>
      <w:r>
        <w:rPr>
          <w:rFonts w:ascii="Times New Roman" w:hAnsi="Times New Roman" w:eastAsia="Times New Roman" w:cs="Times New Roman"/>
          <w:lang w:eastAsia="ru-RU"/>
        </w:rPr>
        <w:t xml:space="preserve">по организации проведения диспансеризации муниципальных служащих администрации Сланцевского муниципального района </w:t>
      </w:r>
      <w:r>
        <w:rPr>
          <w:rStyle w:val="1014"/>
          <w:rFonts w:ascii="Times New Roman" w:hAnsi="Times New Roman" w:eastAsia="Times New Roman"/>
        </w:rPr>
        <w:t xml:space="preserve">должны оказываться врачами-специалистами медицинского учреждения </w:t>
      </w:r>
      <w:r>
        <w:rPr>
          <w:rFonts w:ascii="Times New Roman" w:hAnsi="Times New Roman" w:eastAsia="Times New Roman" w:cs="Times New Roman"/>
          <w:lang w:eastAsia="hi-IN"/>
        </w:rPr>
        <w:t xml:space="preserve">по месту нахождения Исполнителя в границах Сланцевского городского поселения на базе учреждения в рабочие дни с 9-00 часов до 16-00 часов.</w:t>
      </w:r>
      <w:r/>
    </w:p>
    <w:p>
      <w:pPr>
        <w:ind w:firstLine="567"/>
        <w:jc w:val="both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1.8. </w:t>
      </w:r>
      <w:r>
        <w:rPr>
          <w:rFonts w:ascii="Times New Roman" w:hAnsi="Times New Roman" w:eastAsia="Times New Roman" w:cs="Times New Roman"/>
          <w:b/>
        </w:rPr>
        <w:t xml:space="preserve">Сроки оказания услуг: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lang w:eastAsia="hi-IN"/>
        </w:rPr>
        <w:t xml:space="preserve">с момента заключения контракта по 30 ноября 2026 года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lang w:eastAsia="hi-IN"/>
        </w:rPr>
        <w:t xml:space="preserve">согласно Графику прохождения диспансеризации муниципальными служащими </w:t>
      </w:r>
      <w:r>
        <w:rPr>
          <w:rFonts w:ascii="Times New Roman" w:hAnsi="Times New Roman" w:eastAsia="Times New Roman" w:cs="Times New Roman"/>
        </w:rPr>
        <w:t xml:space="preserve">(с учетом выдачи заключений). 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1.9. Диспансеризация всех муниципальных служащих согласно поименному списку, предоставляемому заказчиком в течени</w:t>
      </w:r>
      <w:r>
        <w:rPr>
          <w:rFonts w:ascii="Times New Roman" w:hAnsi="Times New Roman" w:eastAsia="Times New Roman" w:cs="Times New Roman"/>
        </w:rPr>
        <w:t xml:space="preserve">и</w:t>
      </w:r>
      <w:r>
        <w:rPr>
          <w:rFonts w:ascii="Times New Roman" w:hAnsi="Times New Roman" w:eastAsia="Times New Roman" w:cs="Times New Roman"/>
        </w:rPr>
        <w:t xml:space="preserve"> 10-ти рабочих дней с момента заключения муниципального контракта, должна быть проведена до 30 ноября 2026 года.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1.10. Медицинское учреждение после подписания контракта предоставляет заказчику на согласование календарный план проведения диспансеризации. После этого медицинское учреждение совместно с заказчиком утверждает график прохождения диспансеризации.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  <w:t xml:space="preserve">1.11. Медицинскому учреждению при составлении календарного плана проведения диспансеризации необходимо руководствоваться численностью </w:t>
      </w:r>
      <w:r>
        <w:rPr>
          <w:rFonts w:ascii="Times New Roman" w:hAnsi="Times New Roman" w:eastAsia="Times New Roman" w:cs="Times New Roman"/>
          <w:b/>
        </w:rPr>
        <w:t xml:space="preserve">не более 15</w:t>
      </w:r>
      <w:r>
        <w:rPr>
          <w:rFonts w:ascii="Times New Roman" w:hAnsi="Times New Roman" w:eastAsia="Times New Roman" w:cs="Times New Roman"/>
        </w:rPr>
        <w:t xml:space="preserve"> муниципальных служащих в день. Диспансеризация муниципальных служащих должна осуществляться отдельно от других посетителей медицинского учреждения (не в рамках общей очереди).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</w:rPr>
        <w:t xml:space="preserve">2. </w:t>
      </w:r>
      <w:r>
        <w:rPr>
          <w:rFonts w:ascii="Times New Roman" w:hAnsi="Times New Roman" w:eastAsia="Times New Roman" w:cs="Times New Roman"/>
          <w:b/>
        </w:rPr>
        <w:t xml:space="preserve">Документы, которые оформляет медицинское учреждение на муниципальных служащих: </w:t>
      </w:r>
      <w:r>
        <w:rPr>
          <w:rFonts w:ascii="Times New Roman" w:hAnsi="Times New Roman" w:eastAsia="Times New Roman" w:cs="Times New Roman"/>
        </w:rPr>
        <w:t xml:space="preserve">на муниципального служащего, явившегося для прохождения диспансеризации, в регистратуре медицинского учреждения подбирается (или заполняется) медицинская карта пациента, получающего медицинскую помощь в амбулаторных условиях (далее - медицинская</w:t>
      </w:r>
      <w:r>
        <w:rPr>
          <w:rFonts w:ascii="Times New Roman" w:hAnsi="Times New Roman" w:eastAsia="Times New Roman" w:cs="Times New Roman"/>
        </w:rPr>
        <w:t xml:space="preserve"> карта), которая передается в отделение (кабинет) медицинской профилактики или иное структурное подразделение медицинского учреждения, на которое возложены функции по организации проведения диспансеризации муниципальных служащих (далее - кабинет (отделение</w:t>
      </w:r>
      <w:r>
        <w:rPr>
          <w:rFonts w:ascii="Times New Roman" w:hAnsi="Times New Roman" w:eastAsia="Times New Roman" w:cs="Times New Roman"/>
        </w:rPr>
        <w:t xml:space="preserve">) медицинской профилактики).</w:t>
      </w:r>
      <w:r/>
    </w:p>
    <w:p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Врачи-специалисты, принимающие участие в проведении диспансеризации муниципальных служащих, заносят результаты проведенных ими в рамках диспансеризации обследований в медицинскую карту муниципального служащего.</w:t>
      </w:r>
      <w:r/>
    </w:p>
    <w:p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Результаты про</w:t>
      </w:r>
      <w:r>
        <w:rPr>
          <w:rFonts w:ascii="Times New Roman" w:hAnsi="Times New Roman" w:eastAsia="Times New Roman" w:cs="Times New Roman"/>
        </w:rPr>
        <w:t xml:space="preserve">веденных лабораторных и функциональных исследований и результаты обследований врачей-специалистов обобщаются в кабинете (отделении) медицинской профилактики и передаются врачу-терапевту, ответственному за проведение диспансеризации (далее - врач-терапевт).</w:t>
      </w:r>
      <w:r/>
    </w:p>
    <w:p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 случае выявления у муниципального служащего признаков заболевания врач-терапевт направляет его на дополнительную консультацию к врачам-специалистам и дополнительные обследования.</w:t>
      </w:r>
      <w:r/>
    </w:p>
    <w:p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Дополнительные консультации, дополнительные обследования и лечение в амбулаторно-поликлинических и стационарных условиях не входят в объем диспансеризации.</w:t>
      </w:r>
      <w:r/>
    </w:p>
    <w:p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 случае отсутствия в медицинском учреждении, проводящем диспан</w:t>
      </w:r>
      <w:r>
        <w:rPr>
          <w:rFonts w:ascii="Times New Roman" w:hAnsi="Times New Roman" w:eastAsia="Times New Roman" w:cs="Times New Roman"/>
        </w:rPr>
        <w:t xml:space="preserve">серизацию муниципальных служащих, врачей-специалистов, лабораторного и диагностического оборудования, необходимого для проведения дополнительных консультаций и обследований, врач-терапевт направляет муниципального служащего в другие медицинские учреждения.</w:t>
      </w:r>
      <w:r/>
    </w:p>
    <w:p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После обследования муниципального служащего, проведенного в соответствии с установленным настоящим Поря</w:t>
      </w:r>
      <w:r>
        <w:rPr>
          <w:rFonts w:ascii="Times New Roman" w:hAnsi="Times New Roman" w:eastAsia="Times New Roman" w:cs="Times New Roman"/>
        </w:rPr>
        <w:t xml:space="preserve">дком объемом диспансеризации, врач-терапевт с учетом заключений врачей-специалистов, принимающих участие в проведении диспансеризации, и результатов лабораторных и функциональных исследований определяет гражданину соответствующую группу состояния здоровья: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1) I группа здоровья - муниципальные служащие, у которых не установлены хронические неинфекционные заболевания, отсутствуют факторы риска развития таких заболеваний или имеются факторы риска при низком или среднем абсолютном суммарном </w:t>
      </w:r>
      <w:r>
        <w:rPr>
          <w:rFonts w:ascii="Times New Roman" w:hAnsi="Times New Roman" w:eastAsia="Times New Roman" w:cs="Times New Roman"/>
        </w:rPr>
        <w:t xml:space="preserve">сердечно-сосудистом</w:t>
      </w:r>
      <w:r>
        <w:rPr>
          <w:rFonts w:ascii="Times New Roman" w:hAnsi="Times New Roman" w:eastAsia="Times New Roman" w:cs="Times New Roman"/>
        </w:rPr>
        <w:t xml:space="preserve"> риске и которые не нуждаются в диспансерном наблюдении по поводу других заболеваний (состояний).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Таким муниципальным служащим в рамках диспансеризации проводится краткое профилактическое консультирование;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2) II группа здоровья - муниципальные служащие, у которых не установлены хронические неинфекционные заболевания, но имеются факторы риска развития таких заболеваний, как ожирение по индексу массы тела 30 кг/м</w:t>
      </w:r>
      <w:r>
        <w:rPr>
          <w:rFonts w:ascii="Times New Roman" w:hAnsi="Times New Roman" w:eastAsia="Times New Roman" w:cs="Times New Roman"/>
        </w:rPr>
        <w:t xml:space="preserve">2</w:t>
      </w:r>
      <w:r>
        <w:rPr>
          <w:rFonts w:ascii="Times New Roman" w:hAnsi="Times New Roman" w:eastAsia="Times New Roman" w:cs="Times New Roman"/>
        </w:rPr>
        <w:t xml:space="preserve"> и более, уровень общего холестерина более 8 ммоль/л, интенсивное курение по индексу курящего более 20, или высокий или очень высокий абсолютный суммарный сердечно-сосудистый риск, и которые не нуждаются в диспансерном </w:t>
      </w:r>
      <w:r>
        <w:rPr>
          <w:rFonts w:ascii="Times New Roman" w:hAnsi="Times New Roman" w:eastAsia="Times New Roman" w:cs="Times New Roman"/>
        </w:rPr>
        <w:t xml:space="preserve">наблюдении</w:t>
      </w:r>
      <w:r>
        <w:rPr>
          <w:rFonts w:ascii="Times New Roman" w:hAnsi="Times New Roman" w:eastAsia="Times New Roman" w:cs="Times New Roman"/>
        </w:rPr>
        <w:t xml:space="preserve"> по поводу других заболеваний (состояний).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Таким муниципальным служащим в рамках диспансеризации проводится углубленное профилактическое консультирование;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3) III</w:t>
      </w:r>
      <w:r>
        <w:rPr>
          <w:rFonts w:ascii="Times New Roman" w:hAnsi="Times New Roman" w:eastAsia="Times New Roman" w:cs="Times New Roman"/>
        </w:rPr>
        <w:t xml:space="preserve">а</w:t>
      </w:r>
      <w:r>
        <w:rPr>
          <w:rFonts w:ascii="Times New Roman" w:hAnsi="Times New Roman" w:eastAsia="Times New Roman" w:cs="Times New Roman"/>
        </w:rPr>
        <w:t xml:space="preserve"> группа здоровья - муниципальные служащие, имеющие хронические неинфекционные заболевания, требую</w:t>
      </w:r>
      <w:r>
        <w:rPr>
          <w:rFonts w:ascii="Times New Roman" w:hAnsi="Times New Roman" w:eastAsia="Times New Roman" w:cs="Times New Roman"/>
        </w:rPr>
        <w:t xml:space="preserve">щие установления диспансерного наблюдения или оказания специализированной, в том числе высокотехнологичной, медицинской помощи, а также муниципальные служащие с подозрением на наличие этих заболеваний (состояний), нуждающиеся в дополнительном обследовании;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4) III</w:t>
      </w:r>
      <w:r>
        <w:rPr>
          <w:rFonts w:ascii="Times New Roman" w:hAnsi="Times New Roman" w:eastAsia="Times New Roman" w:cs="Times New Roman"/>
        </w:rPr>
        <w:t xml:space="preserve">б</w:t>
      </w:r>
      <w:r>
        <w:rPr>
          <w:rFonts w:ascii="Times New Roman" w:hAnsi="Times New Roman" w:eastAsia="Times New Roman" w:cs="Times New Roman"/>
        </w:rPr>
        <w:t xml:space="preserve"> группа здоровья - муниципальные служащие, не имеющие хронических неинфекционных заболеваний, но требующие установлени</w:t>
      </w:r>
      <w:r>
        <w:rPr>
          <w:rFonts w:ascii="Times New Roman" w:hAnsi="Times New Roman" w:eastAsia="Times New Roman" w:cs="Times New Roman"/>
        </w:rPr>
        <w:t xml:space="preserve">я диспансерного наблюдения или оказания специализированной, в том числе высокотехнологичной, медицинской помощи по поводу иных заболеваний, а также муниципальные служащие с подозрением на наличие этих заболеваний, нуждающиеся в дополнительном обследовании.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Медицинская организация по результатам прохождения дис</w:t>
      </w:r>
      <w:r>
        <w:rPr>
          <w:rFonts w:ascii="Times New Roman" w:hAnsi="Times New Roman" w:eastAsia="Times New Roman" w:cs="Times New Roman"/>
        </w:rPr>
        <w:t xml:space="preserve">пансеризации выдает муниципальному служащему заключение на бумажном носителе и (или) в форме электронного документа в соответствии с пунктом 3 статьи 78 Федерального закона № 323-ФЗ «Об основах охраны здоровья граждан в Российской Федерации» от 21.11.2011.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 случае</w:t>
      </w:r>
      <w:r>
        <w:rPr>
          <w:rFonts w:ascii="Times New Roman" w:hAnsi="Times New Roman" w:eastAsia="Times New Roman" w:cs="Times New Roman"/>
        </w:rPr>
        <w:t xml:space="preserve">,</w:t>
      </w:r>
      <w:r>
        <w:rPr>
          <w:rFonts w:ascii="Times New Roman" w:hAnsi="Times New Roman" w:eastAsia="Times New Roman" w:cs="Times New Roman"/>
        </w:rPr>
        <w:t xml:space="preserve"> если муниципальному служащему по результатам диспансеризаци</w:t>
      </w:r>
      <w:r>
        <w:rPr>
          <w:rFonts w:ascii="Times New Roman" w:hAnsi="Times New Roman" w:eastAsia="Times New Roman" w:cs="Times New Roman"/>
        </w:rPr>
        <w:t xml:space="preserve">и выдано заключение о наличии у него заболевания, препятствующего поступлению на муниципальную службу или ее прохождению, медицинская организация, выдавшая такое заключение, направляет его копию представителю органа в 10-дневный срок со дня его оформления.</w:t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Заключение, в</w:t>
      </w:r>
      <w:r>
        <w:rPr>
          <w:rFonts w:ascii="Times New Roman" w:hAnsi="Times New Roman" w:eastAsia="Times New Roman" w:cs="Times New Roman"/>
        </w:rPr>
        <w:t xml:space="preserve">ыданное муниципальному служащему по результатам диспансеризации, действительно до проведения следующей диспансеризации в случае продолжения прохождения муниципальной службы либо в течение 1 года со дня его выдачи в случае увольнения с муниципальной службы.</w:t>
      </w:r>
      <w:r/>
    </w:p>
    <w:p>
      <w:pPr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/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</w:rPr>
        <w:t xml:space="preserve">3. Дополнительные условия:</w:t>
      </w:r>
      <w:r/>
    </w:p>
    <w:p>
      <w:pPr>
        <w:ind w:firstLine="567"/>
        <w:jc w:val="both"/>
        <w:widowControl/>
        <w:tabs>
          <w:tab w:val="left" w:pos="-5400" w:leader="none"/>
          <w:tab w:val="left" w:pos="126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3.1. Медицинское учреждение назначает работника, ответственного за осуществление взаимодействия между медицинским учреждением и заказчиком.</w:t>
      </w:r>
      <w:r/>
    </w:p>
    <w:p>
      <w:pPr>
        <w:ind w:firstLine="567"/>
        <w:jc w:val="both"/>
        <w:widowControl/>
        <w:tabs>
          <w:tab w:val="left" w:pos="-3240" w:leader="none"/>
          <w:tab w:val="left" w:pos="126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3.2. Медицинское учреждение предоставляет заказчику информ</w:t>
      </w:r>
      <w:r>
        <w:rPr>
          <w:rFonts w:ascii="Times New Roman" w:hAnsi="Times New Roman" w:eastAsia="Times New Roman" w:cs="Times New Roman"/>
        </w:rPr>
        <w:t xml:space="preserve">ацию о времени приема врачами-специалистами и проведения диагностических исследований. В случае внесения изменений в график работы врачей-специалистов, проведения диагностических исследований медицинское учреждение оперативно информирует об этом заказчика.</w:t>
      </w:r>
      <w:r/>
    </w:p>
    <w:p>
      <w:pPr>
        <w:ind w:firstLine="567"/>
        <w:jc w:val="both"/>
        <w:widowControl/>
        <w:tabs>
          <w:tab w:val="left" w:pos="-3240" w:leader="none"/>
          <w:tab w:val="left" w:pos="126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3.3. Сбор анализов для проведения диагностических исследований должен производиться в отдельном кабинете, а не в общей очереди.</w:t>
      </w:r>
      <w:r/>
    </w:p>
    <w:p>
      <w:pPr>
        <w:ind w:firstLine="567"/>
        <w:jc w:val="center"/>
        <w:shd w:val="clear" w:color="auto" w:fill="ffffff"/>
        <w:rPr>
          <w:rFonts w:ascii="Times New Roman" w:hAnsi="Times New Roman" w:cs="Times New Roman"/>
          <w:b/>
          <w:color w:val="000000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u w:val="single"/>
          <w:shd w:val="clear" w:color="auto" w:fill="ffffff"/>
        </w:rPr>
      </w:r>
      <w:r/>
    </w:p>
    <w:p>
      <w:pPr>
        <w:ind w:firstLine="567"/>
        <w:jc w:val="both"/>
        <w:shd w:val="clear" w:color="auto" w:fill="ffffff"/>
        <w:widowControl/>
        <w:tabs>
          <w:tab w:val="left" w:pos="993" w:leader="none"/>
        </w:tabs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color w:val="000000"/>
          <w:shd w:val="clear" w:color="auto" w:fill="ffffff"/>
          <w:lang w:bidi="ar-SA"/>
        </w:rPr>
        <w:t xml:space="preserve">4. Требования к объему предоставления гарантий качества услуг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4.1. Исполнитель гарантирует: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- соответствие услуг требованиям законодательства Российской Федерации, а также соответствующих нормативных документов, регламентирующих осуществление медицинской деятельности;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- соответствие услуг требованиям действующих нормативных актов и ведомственных приказов, регламентирующих порядок, объем и качество проведения осмотров и диспансеризации муниципальных служащих администрации Сланцевского муниципального района;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- соответствие медицинской аппаратуры, оборудования, материально-технических средств, медикаментов, дезинфицирующих средств, необходимых для проведения мероприятий по оказанию услуг, требованиям инструкций фирм-изготовителей;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- соблюдение применяемых методов, методик, медицинских технологий, разрешенных к медицинскому применению; 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- оказание услуг с соблюдением экологических и гигиенических норм, правил техники безопасности и индивидуальной защиты собственного персонала. Оказываемые услуги не должны нанести </w:t>
      </w:r>
      <w:r>
        <w:rPr>
          <w:rFonts w:ascii="Times New Roman" w:hAnsi="Times New Roman" w:eastAsia="Times New Roman" w:cs="Times New Roman"/>
          <w:shd w:val="clear" w:color="auto" w:fill="ffffff"/>
          <w:lang w:bidi="ar-SA"/>
        </w:rPr>
        <w:t xml:space="preserve">вред жизни и здоровью сотрудникам Заказчика. 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eastAsia="Times New Roman" w:cs="Times New Roman"/>
          <w:shd w:val="clear" w:color="auto" w:fill="ffffff"/>
          <w:lang w:bidi="ar-SA"/>
        </w:rPr>
        <w:t xml:space="preserve">Услуги по проведению диспансеризации муниципал</w:t>
      </w:r>
      <w:r>
        <w:rPr>
          <w:rFonts w:ascii="Times New Roman" w:hAnsi="Times New Roman" w:eastAsia="Times New Roman" w:cs="Times New Roman"/>
          <w:shd w:val="clear" w:color="auto" w:fill="ffffff"/>
          <w:lang w:bidi="ar-SA"/>
        </w:rPr>
        <w:t xml:space="preserve">ьных служащих администрации Сланцевского муниципального района должны оказываться врачами-специалистами медицинского учреждения, находящимся на территории Сланцевского района на расстоянии не далее двух километров от места работы муниципального служащего. 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eastAsia="Times New Roman" w:cs="Times New Roman"/>
        </w:rPr>
        <w:t xml:space="preserve">Диспансеризация муниципальных служащих должна осуществляться отдельно от других посетителей медицинского учреждения (не в рамках общей очереди).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eastAsia="Times New Roman" w:cs="Times New Roman"/>
          <w:shd w:val="clear" w:color="auto" w:fill="ffffff"/>
          <w:lang w:bidi="ar-SA"/>
        </w:rPr>
        <w:t xml:space="preserve">4.2. Исполнитель обеспечивает конфиденциальность следующей информации:</w:t>
      </w:r>
      <w:r/>
    </w:p>
    <w:p>
      <w:pPr>
        <w:ind w:firstLine="567"/>
        <w:jc w:val="both"/>
        <w:shd w:val="clear" w:color="auto" w:fill="ffffff"/>
        <w:widowControl/>
        <w:tabs>
          <w:tab w:val="left" w:pos="567" w:leader="none"/>
        </w:tabs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shd w:val="clear" w:color="auto" w:fill="ffffff"/>
          <w:lang w:bidi="ar-SA"/>
        </w:rPr>
        <w:t xml:space="preserve">- сведения о заболеваниях муниципальных служащих и работников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 администрации Сланцевского муниципального района, а также о конкретных случаях их обращения за медицинской помощью;</w:t>
      </w:r>
      <w:r/>
    </w:p>
    <w:p>
      <w:pPr>
        <w:ind w:firstLine="567"/>
        <w:jc w:val="both"/>
        <w:shd w:val="clear" w:color="auto" w:fill="ffffff"/>
        <w:widowControl/>
        <w:tabs>
          <w:tab w:val="left" w:pos="567" w:leader="none"/>
        </w:tabs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- персональных данных муниципальных служащих и работников администрации Сланцевского муниципального района и безопасность персональных данных при их обработке.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Исполнитель при обработке персональных данных принимает все необходимые меры для защиты персональных данных от неправомерного или случайного доступа к ним.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Передача конфиденциальной информации иным лицам или иное разглашение этой информации может осуществляться только с письменного согласия Заказчика и конкретного муниципального служащего администрации Сланцевского муниципального района.</w:t>
      </w:r>
      <w:r/>
    </w:p>
    <w:p>
      <w:pPr>
        <w:ind w:firstLine="567"/>
        <w:jc w:val="both"/>
        <w:shd w:val="clear" w:color="auto" w:fill="ffffff"/>
        <w:widowControl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При проведении осмотра Исполнитель обеспечивает всеми необходимыми расходными материалами и средствами личной гигиены всех сотрудников Заказчика, подлежащих прохождению диспансеризации.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4.3. Требования в отношении процессов и методов оказания услуг в соответствии с требованиями технических регламентов, стандартов, норм, правил и нормативов: </w:t>
      </w:r>
      <w:r>
        <w:rPr>
          <w:rFonts w:ascii="Times New Roman" w:hAnsi="Times New Roman" w:eastAsia="Times New Roman" w:cs="Times New Roman"/>
        </w:rPr>
        <w:t xml:space="preserve">Исполнитель должен оказывать услуги в порядке, определенном приказом Министерства здравоохранения 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от 14 апреля 2025 года № 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</w:t>
      </w:r>
      <w:r>
        <w:rPr>
          <w:rFonts w:ascii="Times New Roman" w:hAnsi="Times New Roman" w:eastAsia="Times New Roman" w:cs="Times New Roman"/>
          <w:color w:val="000000"/>
          <w:shd w:val="clear" w:color="auto" w:fill="ffffff"/>
          <w:lang w:bidi="ar-SA"/>
        </w:rPr>
        <w:t xml:space="preserve">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</w:t>
      </w:r>
      <w:r/>
    </w:p>
    <w:p>
      <w:pPr>
        <w:ind w:left="-54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/>
    </w:p>
    <w:tbl>
      <w:tblPr>
        <w:tblW w:w="10740" w:type="dxa"/>
        <w:tblLayout w:type="fixed"/>
        <w:tblLook w:val="04A0" w:firstRow="1" w:lastRow="0" w:firstColumn="1" w:lastColumn="0" w:noHBand="0" w:noVBand="1"/>
      </w:tblPr>
      <w:tblGrid>
        <w:gridCol w:w="5133"/>
        <w:gridCol w:w="5607"/>
      </w:tblGrid>
      <w:tr>
        <w:trPr>
          <w:cantSplit/>
        </w:trPr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33" w:type="dxa"/>
            <w:textDirection w:val="lrTb"/>
            <w:noWrap w:val="false"/>
          </w:tcPr>
          <w:p>
            <w:pPr>
              <w:pStyle w:val="1006"/>
              <w:ind w:left="0"/>
              <w:jc w:val="both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4"/>
                <w:lang w:eastAsia="en-US"/>
              </w:rPr>
              <w:t xml:space="preserve">Заказчик:</w:t>
            </w:r>
            <w:r/>
          </w:p>
          <w:p>
            <w:pPr>
              <w:pStyle w:val="1006"/>
              <w:ind w:left="0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Глава администрации Сланцевского муниципального образования</w:t>
            </w:r>
            <w:r/>
          </w:p>
          <w:p>
            <w:pPr>
              <w:pStyle w:val="1006"/>
              <w:ind w:left="0"/>
              <w:spacing w:after="0" w:line="27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/>
          </w:p>
          <w:p>
            <w:pPr>
              <w:pStyle w:val="1006"/>
              <w:ind w:left="0"/>
              <w:spacing w:after="0" w:line="276" w:lineRule="auto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______________________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Чистова М.Б.</w:t>
            </w:r>
            <w:r/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Исполнитель:</w:t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______________________ ___________</w:t>
            </w:r>
            <w:r/>
          </w:p>
          <w:p>
            <w:pPr>
              <w:pStyle w:val="1006"/>
              <w:ind w:left="0"/>
              <w:spacing w:after="0" w:line="27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/>
          </w:p>
        </w:tc>
      </w:tr>
    </w:tbl>
    <w:p>
      <w:pPr>
        <w:rPr>
          <w:rFonts w:ascii="Times New Roman" w:hAnsi="Times New Roman" w:cs="Times New Roman"/>
          <w:color w:val="000000"/>
        </w:rPr>
        <w:sectPr>
          <w:footnotePr/>
          <w:endnotePr/>
          <w:type w:val="nextPage"/>
          <w:pgSz w:w="11906" w:h="16838" w:orient="portrait"/>
          <w:pgMar w:top="567" w:right="567" w:bottom="426" w:left="993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000000"/>
        </w:rPr>
      </w:r>
      <w:r/>
    </w:p>
    <w:p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Приложение №2</w:t>
      </w:r>
      <w:r/>
    </w:p>
    <w:p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 муниципальному контракту № _____________</w:t>
      </w:r>
      <w:r/>
    </w:p>
    <w:p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lang w:eastAsia="he-IL" w:bidi="he-IL"/>
        </w:rPr>
        <w:t xml:space="preserve">от _______________ 2026 года</w:t>
      </w:r>
      <w:r/>
    </w:p>
    <w:p>
      <w:pPr>
        <w:ind w:left="-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left="-540"/>
        <w:jc w:val="center"/>
        <w:rPr>
          <w:rStyle w:val="1014"/>
          <w:rFonts w:ascii="Times New Roman" w:hAnsi="Times New Roman"/>
          <w:b/>
        </w:rPr>
      </w:pPr>
      <w:r>
        <w:rPr>
          <w:rStyle w:val="1014"/>
          <w:rFonts w:ascii="Times New Roman" w:hAnsi="Times New Roman"/>
          <w:b/>
        </w:rPr>
        <w:t xml:space="preserve">ГРАФИК</w:t>
      </w:r>
      <w:r/>
    </w:p>
    <w:p>
      <w:pPr>
        <w:ind w:left="-540"/>
        <w:jc w:val="center"/>
        <w:rPr>
          <w:rFonts w:ascii="Times New Roman" w:hAnsi="Times New Roman" w:cs="Times New Roman"/>
          <w:b/>
        </w:rPr>
      </w:pPr>
      <w:r>
        <w:rPr>
          <w:rStyle w:val="1014"/>
          <w:rFonts w:ascii="Times New Roman" w:hAnsi="Times New Roman"/>
          <w:b/>
        </w:rPr>
        <w:t xml:space="preserve">прохождения диспансеризации муниципальными служащими</w:t>
      </w:r>
      <w:r/>
    </w:p>
    <w:p>
      <w:pPr>
        <w:jc w:val="center"/>
        <w:tabs>
          <w:tab w:val="left" w:pos="9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tbl>
      <w:tblPr>
        <w:tblW w:w="11058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60"/>
        <w:gridCol w:w="1559"/>
        <w:gridCol w:w="1701"/>
        <w:gridCol w:w="1559"/>
        <w:gridCol w:w="1559"/>
        <w:gridCol w:w="1560"/>
      </w:tblGrid>
      <w:tr>
        <w:trPr>
          <w:trHeight w:val="1067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Общее количество сотрудников, человек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женщин</w:t>
            </w:r>
            <w:r/>
          </w:p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(до 40 лет), человек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женщин</w:t>
            </w:r>
            <w:r/>
          </w:p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(после 40 лет), человек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</w:t>
            </w:r>
            <w:r/>
          </w:p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мужчин </w:t>
            </w:r>
            <w:r/>
          </w:p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(до 40 лет),</w:t>
            </w:r>
            <w:r/>
          </w:p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человек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мужчин </w:t>
            </w:r>
            <w:r/>
          </w:p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(после 40 лет), человек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сотрудников </w:t>
            </w:r>
            <w:r/>
          </w:p>
          <w:p>
            <w:pPr>
              <w:jc w:val="center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(от 45 лет и старше), человек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Срок прохождения диспансеризации</w:t>
            </w:r>
            <w:r/>
          </w:p>
        </w:tc>
      </w:tr>
      <w:tr>
        <w:trPr>
          <w:trHeight w:val="2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14" w:leader="none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32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</w:tc>
      </w:tr>
    </w:tbl>
    <w:p>
      <w:pPr>
        <w:ind w:left="-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ind w:firstLine="567"/>
        <w:tabs>
          <w:tab w:val="left" w:pos="91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– мужчин</w:t>
      </w:r>
      <w:r/>
    </w:p>
    <w:p>
      <w:pPr>
        <w:ind w:firstLine="567"/>
        <w:tabs>
          <w:tab w:val="left" w:pos="91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 – женщин</w:t>
      </w:r>
      <w:r/>
    </w:p>
    <w:p>
      <w:pPr>
        <w:ind w:firstLine="567"/>
        <w:tabs>
          <w:tab w:val="left" w:pos="91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tbl>
      <w:tblPr>
        <w:tblW w:w="10740" w:type="dxa"/>
        <w:tblLayout w:type="fixed"/>
        <w:tblLook w:val="04A0" w:firstRow="1" w:lastRow="0" w:firstColumn="1" w:lastColumn="0" w:noHBand="0" w:noVBand="1"/>
      </w:tblPr>
      <w:tblGrid>
        <w:gridCol w:w="5133"/>
        <w:gridCol w:w="5607"/>
      </w:tblGrid>
      <w:tr>
        <w:trPr>
          <w:cantSplit/>
        </w:trPr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33" w:type="dxa"/>
            <w:textDirection w:val="lrTb"/>
            <w:noWrap w:val="false"/>
          </w:tcPr>
          <w:p>
            <w:pPr>
              <w:pStyle w:val="1006"/>
              <w:ind w:left="0"/>
              <w:jc w:val="both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4"/>
                <w:lang w:eastAsia="en-US"/>
              </w:rPr>
              <w:t xml:space="preserve">Заказчик: </w:t>
            </w:r>
            <w:r/>
          </w:p>
          <w:p>
            <w:pPr>
              <w:pStyle w:val="1006"/>
              <w:ind w:left="0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Глава администрации Сланцевского муниципального образования</w:t>
            </w:r>
            <w:r/>
          </w:p>
          <w:p>
            <w:pPr>
              <w:pStyle w:val="1006"/>
              <w:ind w:left="0"/>
              <w:spacing w:after="0" w:line="27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/>
          </w:p>
          <w:p>
            <w:pPr>
              <w:pStyle w:val="1006"/>
              <w:ind w:left="0"/>
              <w:spacing w:after="0" w:line="276" w:lineRule="auto"/>
              <w:rPr>
                <w:rFonts w:ascii="Times New Roman" w:hAnsi="Times New Roman" w:cs="Times New Roman"/>
                <w:color w:val="000000"/>
                <w:highlight w:val="none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______________________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Чистова М.Б.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  <w:r>
              <w:rPr>
                <w:rFonts w:ascii="Times New Roman" w:hAnsi="Times New Roman" w:cs="Times New Roman"/>
                <w:color w:val="000000"/>
                <w:highlight w:val="none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Исполнитель:</w:t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/>
          </w:p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______________________  __________</w:t>
            </w:r>
            <w:r/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pStyle w:val="1002"/>
              <w:ind w:left="0" w:right="0" w:firstLine="0"/>
              <w:widowControl w:val="off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</w:tbl>
    <w:p>
      <w:pPr>
        <w:ind w:left="-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r/>
      <w:r/>
    </w:p>
    <w:sectPr>
      <w:footnotePr/>
      <w:endnotePr/>
      <w:type w:val="nextPage"/>
      <w:pgSz w:w="11906" w:h="16838" w:orient="portrait"/>
      <w:pgMar w:top="567" w:right="567" w:bottom="425" w:left="992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imSun">
    <w:panose1 w:val="02010600030101010101"/>
  </w:font>
  <w:font w:name="font">
    <w:panose1 w:val="02000603000000000000"/>
  </w:font>
  <w:font w:name="Tahoma">
    <w:panose1 w:val="020B0604030504040204"/>
  </w:font>
  <w:font w:name="Liberation Sans">
    <w:panose1 w:val="020B060402020202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Lucida Sans Unicode">
    <w:panose1 w:val="020B0602030504020204"/>
  </w:font>
  <w:font w:name="Courier New">
    <w:panose1 w:val="02070309020205020404"/>
  </w:font>
  <w:font w:name="Mangal">
    <w:panose1 w:val="02040503050406030204"/>
  </w:font>
  <w:font w:name="Roboto">
    <w:panose1 w:val="02000000000000000000"/>
  </w:font>
  <w:font w:name="Liberation Serif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rStyle w:val="1026"/>
          <w:sz w:val="16"/>
          <w:szCs w:val="16"/>
        </w:rPr>
        <w:t xml:space="preserve">1</w:t>
      </w:r>
      <w:r>
        <w:rPr>
          <w:sz w:val="16"/>
          <w:szCs w:val="16"/>
        </w:rPr>
        <w:tab/>
      </w: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а) 1000 рублей, если цена контракта не превышает 3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г) 100000 рублей, если цена контракта превышает 100 млн. рублей.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rStyle w:val="1026"/>
          <w:sz w:val="16"/>
          <w:szCs w:val="16"/>
        </w:rPr>
        <w:t xml:space="preserve">2</w:t>
      </w:r>
      <w:r>
        <w:rPr>
          <w:sz w:val="16"/>
          <w:szCs w:val="16"/>
        </w:rPr>
        <w:tab/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а) 10 процентов цены контракта (этапа) в случае, если цена контракта (этапа) не превышает 3 млн. рублей;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б) 5 процентов цены контракта (этапа) в случае, если цена контракта (этапа) составляет от 3 млн. рублей до 50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в) 1 процент цены контракта (этапа) в случае, если цена контракта (этапа) составляет от 50 млн. рублей до 100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г) 0,5 процента цены контракта (этапа) в случае, если цена контракта (этапа) составляет от 100 млн. рублей до 500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д) 0,4 процента цены контракта (этапа) в случае, если цена контракта (этапа) составляет от 500 млн. рублей до 1 млрд.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е) 0,3 процента цены контракта (этапа) в случае, если цена контракта (этапа) составляет от 1 млрд. рублей до 2 млрд.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ж) 0,25 процента цены контракта (этапа) в случае, если цена контракта (этапа) составляет от 2 млрд. рублей до 5 млрд.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з) 0,2 процента цены контракта (этапа) в случае, если цена контракта (этапа) составляет от 5 млрд. рублей до 10 млрд.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и) 0,1 процента цены контракта (этапа) в случае, если цена контракта (этапа) превышает 10 млрд. рублей.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случае  если контракт заключается по результатам определения Исполнителя в соответствии с пунктом 1 части 1 статьи 30 Федера</w:t>
      </w:r>
      <w:r>
        <w:rPr>
          <w:sz w:val="16"/>
          <w:szCs w:val="16"/>
        </w:rPr>
        <w:t xml:space="preserve">льного закона "О контрактной системе в сфере закупок товаров, работ, услуг для обеспечения государственных и муниципальных нужд", размер штрафа устанавливается в размере 1 процента цены контракта (этапа), но не более 5 тыс. рублей и не менее 1 тыс. рублей.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rStyle w:val="1026"/>
          <w:sz w:val="16"/>
          <w:szCs w:val="16"/>
        </w:rPr>
        <w:t xml:space="preserve">3</w:t>
      </w:r>
      <w:r>
        <w:rPr>
          <w:sz w:val="16"/>
          <w:szCs w:val="16"/>
        </w:rPr>
        <w:tab/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а) 1000 рублей, если цена контракта не превышает 3 млн. рублей;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27"/>
        <w:ind w:left="0" w:firstLine="284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г) 100000 рублей, если цена контракта превышает 100 млн. рублей.</w:t>
      </w:r>
      <w:r/>
    </w:p>
  </w:footnote>
  <w:footnote w:id="3">
    <w:p>
      <w:pPr>
        <w:pStyle w:val="1027"/>
        <w:ind w:left="0" w:firstLine="0"/>
        <w:widowControl w:val="off"/>
        <w:rPr>
          <w:sz w:val="16"/>
          <w:szCs w:val="16"/>
        </w:rPr>
        <w:suppressLineNumbers w:val="0"/>
      </w:pPr>
      <w:r>
        <w:rPr>
          <w:sz w:val="16"/>
          <w:szCs w:val="16"/>
        </w:rPr>
      </w:r>
      <w:r/>
    </w:p>
  </w:footnote>
  <w:footnote w:id="4">
    <w:p>
      <w:pPr>
        <w:pStyle w:val="1027"/>
        <w:ind w:left="0" w:firstLine="0"/>
        <w:widowControl w:val="off"/>
        <w:rPr>
          <w:sz w:val="16"/>
          <w:szCs w:val="16"/>
        </w:rPr>
        <w:suppressLineNumbers w:val="0"/>
      </w:pPr>
      <w:r>
        <w:rPr>
          <w:sz w:val="16"/>
          <w:szCs w:val="16"/>
        </w:rPr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786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</w:lvl>
    <w:lvl w:ilvl="1">
      <w:start w:val="2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  <w:rPr>
        <w:sz w:val="24"/>
        <w:szCs w:val="24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num" w:pos="180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i w:val="0"/>
        <w:iCs w:val="0"/>
        <w:color w:val="000000"/>
        <w:sz w:val="24"/>
        <w:szCs w:val="24"/>
        <w:shd w:val="clear" w:color="auto" w:fill="ffffff"/>
        <w:lang w:bidi="hi-IN"/>
      </w:r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6" w:default="1">
    <w:name w:val="Normal"/>
    <w:qFormat/>
    <w:pPr>
      <w:widowControl w:val="off"/>
    </w:pPr>
    <w:rPr>
      <w:rFonts w:ascii="Liberation Serif" w:hAnsi="Liberation Serif" w:eastAsia="Lucida Sans Unicode" w:cs="Mangal"/>
      <w:sz w:val="24"/>
      <w:szCs w:val="24"/>
      <w:lang w:eastAsia="zh-CN" w:bidi="hi-IN"/>
    </w:rPr>
  </w:style>
  <w:style w:type="character" w:styleId="777" w:default="1">
    <w:name w:val="Default Paragraph Font"/>
    <w:uiPriority w:val="1"/>
    <w:semiHidden/>
    <w:unhideWhenUsed/>
  </w:style>
  <w:style w:type="table" w:styleId="77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9" w:default="1">
    <w:name w:val="No List"/>
    <w:uiPriority w:val="99"/>
    <w:semiHidden/>
    <w:unhideWhenUsed/>
  </w:style>
  <w:style w:type="character" w:styleId="780" w:customStyle="1">
    <w:name w:val="Title Char"/>
    <w:basedOn w:val="777"/>
    <w:link w:val="807"/>
    <w:uiPriority w:val="10"/>
    <w:rPr>
      <w:sz w:val="48"/>
      <w:szCs w:val="48"/>
    </w:rPr>
  </w:style>
  <w:style w:type="character" w:styleId="781" w:customStyle="1">
    <w:name w:val="Subtitle Char"/>
    <w:basedOn w:val="777"/>
    <w:link w:val="809"/>
    <w:uiPriority w:val="11"/>
    <w:rPr>
      <w:sz w:val="24"/>
      <w:szCs w:val="24"/>
    </w:rPr>
  </w:style>
  <w:style w:type="character" w:styleId="782" w:customStyle="1">
    <w:name w:val="Quote Char"/>
    <w:link w:val="811"/>
    <w:uiPriority w:val="29"/>
    <w:rPr>
      <w:i/>
    </w:rPr>
  </w:style>
  <w:style w:type="character" w:styleId="783" w:customStyle="1">
    <w:name w:val="Intense Quote Char"/>
    <w:link w:val="813"/>
    <w:uiPriority w:val="30"/>
    <w:rPr>
      <w:i/>
    </w:rPr>
  </w:style>
  <w:style w:type="character" w:styleId="784" w:customStyle="1">
    <w:name w:val="Footnote Text Char"/>
    <w:link w:val="948"/>
    <w:uiPriority w:val="99"/>
    <w:rPr>
      <w:sz w:val="18"/>
    </w:rPr>
  </w:style>
  <w:style w:type="character" w:styleId="785" w:customStyle="1">
    <w:name w:val="Endnote Text Char"/>
    <w:link w:val="951"/>
    <w:uiPriority w:val="99"/>
    <w:rPr>
      <w:sz w:val="20"/>
    </w:rPr>
  </w:style>
  <w:style w:type="paragraph" w:styleId="786" w:customStyle="1">
    <w:name w:val="Heading 1"/>
    <w:basedOn w:val="776"/>
    <w:next w:val="776"/>
    <w:link w:val="1013"/>
    <w:qFormat/>
    <w:pPr>
      <w:numPr>
        <w:numId w:val="1"/>
      </w:numPr>
      <w:jc w:val="center"/>
      <w:keepNext/>
      <w:widowControl/>
      <w:outlineLvl w:val="0"/>
    </w:pPr>
    <w:rPr>
      <w:rFonts w:ascii="Courier New" w:hAnsi="Courier New" w:eastAsia="Times New Roman" w:cs="Courier New"/>
      <w:b/>
      <w:szCs w:val="20"/>
      <w:lang w:bidi="ar-SA"/>
    </w:rPr>
  </w:style>
  <w:style w:type="paragraph" w:styleId="787" w:customStyle="1">
    <w:name w:val="Heading 3"/>
    <w:basedOn w:val="776"/>
    <w:next w:val="776"/>
    <w:link w:val="1022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3"/>
    </w:rPr>
  </w:style>
  <w:style w:type="paragraph" w:styleId="788" w:customStyle="1">
    <w:name w:val="Heading 1"/>
    <w:basedOn w:val="776"/>
    <w:next w:val="776"/>
    <w:link w:val="7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Times New Roman"/>
      <w:sz w:val="40"/>
      <w:szCs w:val="40"/>
      <w:lang w:bidi="ar-SA"/>
    </w:rPr>
  </w:style>
  <w:style w:type="character" w:styleId="789" w:customStyle="1">
    <w:name w:val="Heading 1 Char"/>
    <w:link w:val="788"/>
    <w:uiPriority w:val="9"/>
    <w:rPr>
      <w:rFonts w:ascii="Arial" w:hAnsi="Arial" w:eastAsia="Arial" w:cs="Arial"/>
      <w:sz w:val="40"/>
      <w:szCs w:val="40"/>
    </w:rPr>
  </w:style>
  <w:style w:type="paragraph" w:styleId="790" w:customStyle="1">
    <w:name w:val="Heading 2"/>
    <w:basedOn w:val="776"/>
    <w:next w:val="776"/>
    <w:link w:val="7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Times New Roman"/>
      <w:sz w:val="34"/>
      <w:szCs w:val="20"/>
      <w:lang w:bidi="ar-SA"/>
    </w:rPr>
  </w:style>
  <w:style w:type="character" w:styleId="791" w:customStyle="1">
    <w:name w:val="Heading 2 Char"/>
    <w:link w:val="790"/>
    <w:uiPriority w:val="9"/>
    <w:rPr>
      <w:rFonts w:ascii="Arial" w:hAnsi="Arial" w:eastAsia="Arial" w:cs="Arial"/>
      <w:sz w:val="34"/>
    </w:rPr>
  </w:style>
  <w:style w:type="paragraph" w:styleId="792" w:customStyle="1">
    <w:name w:val="Heading 3"/>
    <w:basedOn w:val="776"/>
    <w:next w:val="776"/>
    <w:link w:val="7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Times New Roman"/>
      <w:sz w:val="30"/>
      <w:szCs w:val="30"/>
      <w:lang w:bidi="ar-SA"/>
    </w:rPr>
  </w:style>
  <w:style w:type="character" w:styleId="793" w:customStyle="1">
    <w:name w:val="Heading 3 Char"/>
    <w:link w:val="792"/>
    <w:uiPriority w:val="9"/>
    <w:rPr>
      <w:rFonts w:ascii="Arial" w:hAnsi="Arial" w:eastAsia="Arial" w:cs="Arial"/>
      <w:sz w:val="30"/>
      <w:szCs w:val="30"/>
    </w:rPr>
  </w:style>
  <w:style w:type="paragraph" w:styleId="794" w:customStyle="1">
    <w:name w:val="Heading 4"/>
    <w:basedOn w:val="776"/>
    <w:next w:val="776"/>
    <w:link w:val="7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Times New Roman"/>
      <w:b/>
      <w:bCs/>
      <w:sz w:val="26"/>
      <w:szCs w:val="26"/>
      <w:lang w:bidi="ar-SA"/>
    </w:rPr>
  </w:style>
  <w:style w:type="character" w:styleId="795" w:customStyle="1">
    <w:name w:val="Heading 4 Char"/>
    <w:link w:val="794"/>
    <w:uiPriority w:val="9"/>
    <w:rPr>
      <w:rFonts w:ascii="Arial" w:hAnsi="Arial" w:eastAsia="Arial" w:cs="Arial"/>
      <w:b/>
      <w:bCs/>
      <w:sz w:val="26"/>
      <w:szCs w:val="26"/>
    </w:rPr>
  </w:style>
  <w:style w:type="paragraph" w:styleId="796" w:customStyle="1">
    <w:name w:val="Heading 5"/>
    <w:basedOn w:val="776"/>
    <w:next w:val="776"/>
    <w:link w:val="7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Times New Roman"/>
      <w:b/>
      <w:bCs/>
      <w:lang w:bidi="ar-SA"/>
    </w:rPr>
  </w:style>
  <w:style w:type="character" w:styleId="797" w:customStyle="1">
    <w:name w:val="Heading 5 Char"/>
    <w:link w:val="796"/>
    <w:uiPriority w:val="9"/>
    <w:rPr>
      <w:rFonts w:ascii="Arial" w:hAnsi="Arial" w:eastAsia="Arial" w:cs="Arial"/>
      <w:b/>
      <w:bCs/>
      <w:sz w:val="24"/>
      <w:szCs w:val="24"/>
    </w:rPr>
  </w:style>
  <w:style w:type="paragraph" w:styleId="798" w:customStyle="1">
    <w:name w:val="Heading 6"/>
    <w:basedOn w:val="776"/>
    <w:next w:val="776"/>
    <w:link w:val="7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Times New Roman"/>
      <w:b/>
      <w:bCs/>
      <w:sz w:val="22"/>
      <w:szCs w:val="22"/>
      <w:lang w:bidi="ar-SA"/>
    </w:rPr>
  </w:style>
  <w:style w:type="character" w:styleId="799" w:customStyle="1">
    <w:name w:val="Heading 6 Char"/>
    <w:link w:val="798"/>
    <w:uiPriority w:val="9"/>
    <w:rPr>
      <w:rFonts w:ascii="Arial" w:hAnsi="Arial" w:eastAsia="Arial" w:cs="Arial"/>
      <w:b/>
      <w:bCs/>
      <w:sz w:val="22"/>
      <w:szCs w:val="22"/>
    </w:rPr>
  </w:style>
  <w:style w:type="paragraph" w:styleId="800" w:customStyle="1">
    <w:name w:val="Heading 7"/>
    <w:basedOn w:val="776"/>
    <w:next w:val="776"/>
    <w:link w:val="8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Times New Roman"/>
      <w:b/>
      <w:bCs/>
      <w:i/>
      <w:iCs/>
      <w:sz w:val="22"/>
      <w:szCs w:val="22"/>
      <w:lang w:bidi="ar-SA"/>
    </w:rPr>
  </w:style>
  <w:style w:type="character" w:styleId="801" w:customStyle="1">
    <w:name w:val="Heading 7 Char"/>
    <w:link w:val="8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02" w:customStyle="1">
    <w:name w:val="Heading 8"/>
    <w:basedOn w:val="776"/>
    <w:next w:val="776"/>
    <w:link w:val="8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Times New Roman"/>
      <w:i/>
      <w:iCs/>
      <w:sz w:val="22"/>
      <w:szCs w:val="22"/>
      <w:lang w:bidi="ar-SA"/>
    </w:rPr>
  </w:style>
  <w:style w:type="character" w:styleId="803" w:customStyle="1">
    <w:name w:val="Heading 8 Char"/>
    <w:link w:val="802"/>
    <w:uiPriority w:val="9"/>
    <w:rPr>
      <w:rFonts w:ascii="Arial" w:hAnsi="Arial" w:eastAsia="Arial" w:cs="Arial"/>
      <w:i/>
      <w:iCs/>
      <w:sz w:val="22"/>
      <w:szCs w:val="22"/>
    </w:rPr>
  </w:style>
  <w:style w:type="paragraph" w:styleId="804" w:customStyle="1">
    <w:name w:val="Heading 9"/>
    <w:basedOn w:val="776"/>
    <w:next w:val="776"/>
    <w:link w:val="8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Times New Roman"/>
      <w:i/>
      <w:iCs/>
      <w:sz w:val="21"/>
      <w:szCs w:val="21"/>
      <w:lang w:bidi="ar-SA"/>
    </w:rPr>
  </w:style>
  <w:style w:type="character" w:styleId="805" w:customStyle="1">
    <w:name w:val="Heading 9 Char"/>
    <w:link w:val="804"/>
    <w:uiPriority w:val="9"/>
    <w:rPr>
      <w:rFonts w:ascii="Arial" w:hAnsi="Arial" w:eastAsia="Arial" w:cs="Arial"/>
      <w:i/>
      <w:iCs/>
      <w:sz w:val="21"/>
      <w:szCs w:val="21"/>
    </w:rPr>
  </w:style>
  <w:style w:type="paragraph" w:styleId="806">
    <w:name w:val="List Paragraph"/>
    <w:basedOn w:val="776"/>
    <w:uiPriority w:val="34"/>
    <w:qFormat/>
    <w:pPr>
      <w:contextualSpacing/>
      <w:ind w:left="720"/>
    </w:pPr>
  </w:style>
  <w:style w:type="paragraph" w:styleId="807">
    <w:name w:val="Title"/>
    <w:basedOn w:val="776"/>
    <w:next w:val="776"/>
    <w:link w:val="808"/>
    <w:uiPriority w:val="10"/>
    <w:qFormat/>
    <w:pPr>
      <w:contextualSpacing/>
      <w:spacing w:before="300" w:after="200"/>
    </w:pPr>
    <w:rPr>
      <w:rFonts w:ascii="Times New Roman" w:hAnsi="Times New Roman" w:eastAsia="Times New Roman" w:cs="Times New Roman"/>
      <w:sz w:val="48"/>
      <w:szCs w:val="48"/>
      <w:lang w:bidi="ar-SA"/>
    </w:rPr>
  </w:style>
  <w:style w:type="character" w:styleId="808" w:customStyle="1">
    <w:name w:val="Название Знак"/>
    <w:link w:val="807"/>
    <w:uiPriority w:val="10"/>
    <w:rPr>
      <w:sz w:val="48"/>
      <w:szCs w:val="48"/>
    </w:rPr>
  </w:style>
  <w:style w:type="paragraph" w:styleId="809">
    <w:name w:val="Subtitle"/>
    <w:basedOn w:val="776"/>
    <w:next w:val="776"/>
    <w:link w:val="810"/>
    <w:uiPriority w:val="11"/>
    <w:qFormat/>
    <w:pPr>
      <w:spacing w:before="200" w:after="200"/>
    </w:pPr>
    <w:rPr>
      <w:rFonts w:ascii="Times New Roman" w:hAnsi="Times New Roman" w:eastAsia="Times New Roman" w:cs="Times New Roman"/>
      <w:lang w:bidi="ar-SA"/>
    </w:rPr>
  </w:style>
  <w:style w:type="character" w:styleId="810" w:customStyle="1">
    <w:name w:val="Подзаголовок Знак"/>
    <w:link w:val="809"/>
    <w:uiPriority w:val="11"/>
    <w:rPr>
      <w:sz w:val="24"/>
      <w:szCs w:val="24"/>
    </w:rPr>
  </w:style>
  <w:style w:type="paragraph" w:styleId="811">
    <w:name w:val="Quote"/>
    <w:basedOn w:val="776"/>
    <w:next w:val="776"/>
    <w:link w:val="812"/>
    <w:uiPriority w:val="29"/>
    <w:qFormat/>
    <w:pPr>
      <w:ind w:left="720" w:right="720"/>
    </w:pPr>
    <w:rPr>
      <w:rFonts w:ascii="Times New Roman" w:hAnsi="Times New Roman" w:eastAsia="Times New Roman" w:cs="Times New Roman"/>
      <w:i/>
      <w:sz w:val="20"/>
      <w:szCs w:val="20"/>
      <w:lang w:bidi="ar-SA"/>
    </w:rPr>
  </w:style>
  <w:style w:type="character" w:styleId="812" w:customStyle="1">
    <w:name w:val="Цитата 2 Знак"/>
    <w:link w:val="811"/>
    <w:uiPriority w:val="29"/>
    <w:rPr>
      <w:i/>
    </w:rPr>
  </w:style>
  <w:style w:type="paragraph" w:styleId="813">
    <w:name w:val="Intense Quote"/>
    <w:basedOn w:val="776"/>
    <w:next w:val="776"/>
    <w:link w:val="8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" w:hAnsi="Times New Roman" w:eastAsia="Times New Roman" w:cs="Times New Roman"/>
      <w:i/>
      <w:sz w:val="20"/>
      <w:szCs w:val="20"/>
      <w:lang w:bidi="ar-SA"/>
    </w:rPr>
  </w:style>
  <w:style w:type="character" w:styleId="814" w:customStyle="1">
    <w:name w:val="Выделенная цитата Знак"/>
    <w:link w:val="813"/>
    <w:uiPriority w:val="30"/>
    <w:rPr>
      <w:i/>
    </w:rPr>
  </w:style>
  <w:style w:type="paragraph" w:styleId="815" w:customStyle="1">
    <w:name w:val="Header"/>
    <w:basedOn w:val="776"/>
    <w:link w:val="8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16" w:customStyle="1">
    <w:name w:val="Header Char"/>
    <w:link w:val="815"/>
    <w:uiPriority w:val="99"/>
  </w:style>
  <w:style w:type="paragraph" w:styleId="817" w:customStyle="1">
    <w:name w:val="Footer"/>
    <w:basedOn w:val="776"/>
    <w:link w:val="8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18" w:customStyle="1">
    <w:name w:val="Footer Char"/>
    <w:uiPriority w:val="99"/>
  </w:style>
  <w:style w:type="paragraph" w:styleId="819" w:customStyle="1">
    <w:name w:val="Caption"/>
    <w:basedOn w:val="776"/>
    <w:next w:val="776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820" w:customStyle="1">
    <w:name w:val="Caption Char"/>
    <w:link w:val="817"/>
    <w:uiPriority w:val="99"/>
  </w:style>
  <w:style w:type="table" w:styleId="821">
    <w:name w:val="Table Grid"/>
    <w:basedOn w:val="778"/>
    <w:uiPriority w:val="59"/>
    <w:rPr>
      <w:rFonts w:ascii="Calibri" w:hAnsi="Calibri"/>
      <w:sz w:val="22"/>
      <w:szCs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2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4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5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47">
    <w:name w:val="Hyperlink"/>
    <w:rPr>
      <w:color w:val="000080"/>
      <w:u w:val="single"/>
      <w:lang w:val="en-US" w:bidi="en-US"/>
    </w:rPr>
  </w:style>
  <w:style w:type="paragraph" w:styleId="948">
    <w:name w:val="footnote text"/>
    <w:basedOn w:val="776"/>
    <w:link w:val="949"/>
    <w:uiPriority w:val="99"/>
    <w:semiHidden/>
    <w:unhideWhenUsed/>
    <w:pPr>
      <w:spacing w:after="40"/>
    </w:pPr>
    <w:rPr>
      <w:rFonts w:ascii="Times New Roman" w:hAnsi="Times New Roman" w:eastAsia="Times New Roman" w:cs="Times New Roman"/>
      <w:sz w:val="18"/>
      <w:szCs w:val="20"/>
      <w:lang w:bidi="ar-SA"/>
    </w:rPr>
  </w:style>
  <w:style w:type="character" w:styleId="949" w:customStyle="1">
    <w:name w:val="Текст сноски Знак1"/>
    <w:link w:val="948"/>
    <w:uiPriority w:val="99"/>
    <w:rPr>
      <w:sz w:val="18"/>
    </w:rPr>
  </w:style>
  <w:style w:type="character" w:styleId="950">
    <w:name w:val="footnote reference"/>
    <w:rPr>
      <w:vertAlign w:val="superscript"/>
    </w:rPr>
  </w:style>
  <w:style w:type="paragraph" w:styleId="951">
    <w:name w:val="endnote text"/>
    <w:basedOn w:val="776"/>
    <w:link w:val="952"/>
    <w:uiPriority w:val="99"/>
    <w:semiHidden/>
    <w:unhideWhenUsed/>
    <w:rPr>
      <w:rFonts w:ascii="Times New Roman" w:hAnsi="Times New Roman" w:eastAsia="Times New Roman" w:cs="Times New Roman"/>
      <w:sz w:val="20"/>
      <w:szCs w:val="20"/>
      <w:lang w:bidi="ar-SA"/>
    </w:rPr>
  </w:style>
  <w:style w:type="character" w:styleId="952" w:customStyle="1">
    <w:name w:val="Текст концевой сноски Знак"/>
    <w:link w:val="951"/>
    <w:uiPriority w:val="99"/>
    <w:rPr>
      <w:sz w:val="20"/>
    </w:rPr>
  </w:style>
  <w:style w:type="character" w:styleId="953">
    <w:name w:val="endnote reference"/>
    <w:uiPriority w:val="99"/>
    <w:semiHidden/>
    <w:unhideWhenUsed/>
    <w:rPr>
      <w:vertAlign w:val="superscript"/>
    </w:rPr>
  </w:style>
  <w:style w:type="paragraph" w:styleId="954">
    <w:name w:val="toc 1"/>
    <w:basedOn w:val="776"/>
    <w:next w:val="776"/>
    <w:uiPriority w:val="39"/>
    <w:unhideWhenUsed/>
    <w:pPr>
      <w:spacing w:after="57"/>
    </w:pPr>
  </w:style>
  <w:style w:type="paragraph" w:styleId="955">
    <w:name w:val="toc 2"/>
    <w:basedOn w:val="776"/>
    <w:next w:val="776"/>
    <w:uiPriority w:val="39"/>
    <w:unhideWhenUsed/>
    <w:pPr>
      <w:ind w:left="283"/>
      <w:spacing w:after="57"/>
    </w:pPr>
  </w:style>
  <w:style w:type="paragraph" w:styleId="956">
    <w:name w:val="toc 3"/>
    <w:basedOn w:val="776"/>
    <w:next w:val="776"/>
    <w:uiPriority w:val="39"/>
    <w:unhideWhenUsed/>
    <w:pPr>
      <w:ind w:left="567"/>
      <w:spacing w:after="57"/>
    </w:pPr>
  </w:style>
  <w:style w:type="paragraph" w:styleId="957">
    <w:name w:val="toc 4"/>
    <w:basedOn w:val="776"/>
    <w:next w:val="776"/>
    <w:uiPriority w:val="39"/>
    <w:unhideWhenUsed/>
    <w:pPr>
      <w:ind w:left="850"/>
      <w:spacing w:after="57"/>
    </w:pPr>
  </w:style>
  <w:style w:type="paragraph" w:styleId="958">
    <w:name w:val="toc 5"/>
    <w:basedOn w:val="776"/>
    <w:next w:val="776"/>
    <w:uiPriority w:val="39"/>
    <w:unhideWhenUsed/>
    <w:pPr>
      <w:ind w:left="1134"/>
      <w:spacing w:after="57"/>
    </w:pPr>
  </w:style>
  <w:style w:type="paragraph" w:styleId="959">
    <w:name w:val="toc 6"/>
    <w:basedOn w:val="776"/>
    <w:next w:val="776"/>
    <w:uiPriority w:val="39"/>
    <w:unhideWhenUsed/>
    <w:pPr>
      <w:ind w:left="1417"/>
      <w:spacing w:after="57"/>
    </w:pPr>
  </w:style>
  <w:style w:type="paragraph" w:styleId="960">
    <w:name w:val="toc 7"/>
    <w:basedOn w:val="776"/>
    <w:next w:val="776"/>
    <w:uiPriority w:val="39"/>
    <w:unhideWhenUsed/>
    <w:pPr>
      <w:ind w:left="1701"/>
      <w:spacing w:after="57"/>
    </w:pPr>
  </w:style>
  <w:style w:type="paragraph" w:styleId="961">
    <w:name w:val="toc 8"/>
    <w:basedOn w:val="776"/>
    <w:next w:val="776"/>
    <w:uiPriority w:val="39"/>
    <w:unhideWhenUsed/>
    <w:pPr>
      <w:ind w:left="1984"/>
      <w:spacing w:after="57"/>
    </w:pPr>
  </w:style>
  <w:style w:type="paragraph" w:styleId="962">
    <w:name w:val="toc 9"/>
    <w:basedOn w:val="776"/>
    <w:next w:val="776"/>
    <w:uiPriority w:val="39"/>
    <w:unhideWhenUsed/>
    <w:pPr>
      <w:ind w:left="2268"/>
      <w:spacing w:after="57"/>
    </w:pPr>
  </w:style>
  <w:style w:type="paragraph" w:styleId="963">
    <w:name w:val="TOC Heading"/>
    <w:uiPriority w:val="39"/>
    <w:unhideWhenUsed/>
    <w:rPr>
      <w:lang w:eastAsia="zh-CN"/>
    </w:rPr>
  </w:style>
  <w:style w:type="paragraph" w:styleId="964">
    <w:name w:val="table of figures"/>
    <w:basedOn w:val="776"/>
    <w:next w:val="776"/>
    <w:uiPriority w:val="99"/>
    <w:unhideWhenUsed/>
  </w:style>
  <w:style w:type="character" w:styleId="965" w:customStyle="1">
    <w:name w:val="WW8Num1z0"/>
  </w:style>
  <w:style w:type="character" w:styleId="966" w:customStyle="1">
    <w:name w:val="WW8Num1z1"/>
  </w:style>
  <w:style w:type="character" w:styleId="967" w:customStyle="1">
    <w:name w:val="WW8Num1z2"/>
  </w:style>
  <w:style w:type="character" w:styleId="968" w:customStyle="1">
    <w:name w:val="WW8Num1z3"/>
  </w:style>
  <w:style w:type="character" w:styleId="969" w:customStyle="1">
    <w:name w:val="WW8Num1z4"/>
  </w:style>
  <w:style w:type="character" w:styleId="970" w:customStyle="1">
    <w:name w:val="WW8Num1z5"/>
  </w:style>
  <w:style w:type="character" w:styleId="971" w:customStyle="1">
    <w:name w:val="WW8Num1z6"/>
  </w:style>
  <w:style w:type="character" w:styleId="972" w:customStyle="1">
    <w:name w:val="WW8Num1z7"/>
  </w:style>
  <w:style w:type="character" w:styleId="973" w:customStyle="1">
    <w:name w:val="WW8Num1z8"/>
  </w:style>
  <w:style w:type="character" w:styleId="974" w:customStyle="1">
    <w:name w:val="WW8Num2z0"/>
  </w:style>
  <w:style w:type="character" w:styleId="975" w:customStyle="1">
    <w:name w:val="WW8Num2z1"/>
  </w:style>
  <w:style w:type="character" w:styleId="976" w:customStyle="1">
    <w:name w:val="WW8Num2z2"/>
  </w:style>
  <w:style w:type="character" w:styleId="977" w:customStyle="1">
    <w:name w:val="WW8Num2z3"/>
  </w:style>
  <w:style w:type="character" w:styleId="978" w:customStyle="1">
    <w:name w:val="WW8Num2z4"/>
  </w:style>
  <w:style w:type="character" w:styleId="979" w:customStyle="1">
    <w:name w:val="WW8Num2z5"/>
  </w:style>
  <w:style w:type="character" w:styleId="980" w:customStyle="1">
    <w:name w:val="WW8Num2z6"/>
  </w:style>
  <w:style w:type="character" w:styleId="981" w:customStyle="1">
    <w:name w:val="WW8Num2z7"/>
  </w:style>
  <w:style w:type="character" w:styleId="982" w:customStyle="1">
    <w:name w:val="WW8Num2z8"/>
  </w:style>
  <w:style w:type="character" w:styleId="983" w:customStyle="1">
    <w:name w:val="Основной шрифт абзаца2"/>
  </w:style>
  <w:style w:type="character" w:styleId="984" w:customStyle="1">
    <w:name w:val="Основной шрифт абзаца1"/>
  </w:style>
  <w:style w:type="character" w:styleId="985" w:customStyle="1">
    <w:name w:val="Символ нумерации"/>
  </w:style>
  <w:style w:type="paragraph" w:styleId="986" w:customStyle="1">
    <w:name w:val="Заголовок"/>
    <w:basedOn w:val="776"/>
    <w:next w:val="987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987">
    <w:name w:val="Body Text"/>
    <w:basedOn w:val="776"/>
    <w:pPr>
      <w:spacing w:after="140" w:line="288" w:lineRule="auto"/>
    </w:pPr>
  </w:style>
  <w:style w:type="paragraph" w:styleId="988">
    <w:name w:val="List"/>
    <w:basedOn w:val="987"/>
  </w:style>
  <w:style w:type="paragraph" w:styleId="989" w:customStyle="1">
    <w:name w:val="Caption"/>
    <w:basedOn w:val="776"/>
    <w:qFormat/>
    <w:pPr>
      <w:spacing w:before="120" w:after="120"/>
      <w:suppressLineNumbers/>
    </w:pPr>
    <w:rPr>
      <w:i/>
      <w:iCs/>
    </w:rPr>
  </w:style>
  <w:style w:type="paragraph" w:styleId="990" w:customStyle="1">
    <w:name w:val="Указатель3"/>
    <w:basedOn w:val="776"/>
    <w:pPr>
      <w:suppressLineNumbers/>
    </w:pPr>
  </w:style>
  <w:style w:type="paragraph" w:styleId="991" w:customStyle="1">
    <w:name w:val="Название объекта2"/>
    <w:basedOn w:val="776"/>
    <w:pPr>
      <w:spacing w:before="120" w:after="120"/>
      <w:suppressLineNumbers/>
    </w:pPr>
    <w:rPr>
      <w:i/>
      <w:iCs/>
    </w:rPr>
  </w:style>
  <w:style w:type="paragraph" w:styleId="992" w:customStyle="1">
    <w:name w:val="Указатель2"/>
    <w:basedOn w:val="776"/>
    <w:pPr>
      <w:suppressLineNumbers/>
    </w:pPr>
  </w:style>
  <w:style w:type="paragraph" w:styleId="993" w:customStyle="1">
    <w:name w:val="Название объекта1"/>
    <w:basedOn w:val="776"/>
    <w:pPr>
      <w:spacing w:before="120" w:after="120"/>
      <w:suppressLineNumbers/>
    </w:pPr>
    <w:rPr>
      <w:i/>
      <w:iCs/>
    </w:rPr>
  </w:style>
  <w:style w:type="paragraph" w:styleId="994" w:customStyle="1">
    <w:name w:val="Указатель1"/>
    <w:basedOn w:val="776"/>
    <w:pPr>
      <w:suppressLineNumbers/>
    </w:pPr>
  </w:style>
  <w:style w:type="paragraph" w:styleId="995" w:customStyle="1">
    <w:name w:val="western"/>
    <w:basedOn w:val="776"/>
    <w:pPr>
      <w:spacing w:before="100" w:after="119"/>
      <w:widowControl/>
    </w:pPr>
    <w:rPr>
      <w:rFonts w:eastAsia="Times New Roman" w:cs="Times New Roman"/>
      <w:color w:val="000000"/>
      <w:lang w:bidi="ar-SA"/>
    </w:rPr>
  </w:style>
  <w:style w:type="paragraph" w:styleId="996" w:customStyle="1">
    <w:name w:val="Обычный (веб);Обычный (веб)1;Обычный (Web)1"/>
    <w:basedOn w:val="776"/>
    <w:link w:val="1008"/>
    <w:qFormat/>
    <w:pPr>
      <w:spacing w:before="100" w:after="119"/>
      <w:widowControl/>
    </w:pPr>
    <w:rPr>
      <w:rFonts w:eastAsia="Times New Roman" w:cs="Times New Roman"/>
      <w:color w:val="000000"/>
      <w:lang w:bidi="ar-SA"/>
    </w:rPr>
  </w:style>
  <w:style w:type="paragraph" w:styleId="997" w:customStyle="1">
    <w:name w:val="ConsPlusNormal"/>
    <w:rPr>
      <w:rFonts w:ascii="Arial" w:hAnsi="Arial" w:eastAsia="Arial" w:cs="Tahoma"/>
      <w:szCs w:val="24"/>
      <w:lang w:eastAsia="zh-CN" w:bidi="hi-IN"/>
    </w:rPr>
  </w:style>
  <w:style w:type="paragraph" w:styleId="998" w:customStyle="1">
    <w:name w:val="Содержимое таблицы"/>
    <w:basedOn w:val="776"/>
    <w:pPr>
      <w:suppressLineNumbers/>
    </w:pPr>
  </w:style>
  <w:style w:type="paragraph" w:styleId="999" w:customStyle="1">
    <w:name w:val="Заголовок таблицы"/>
    <w:basedOn w:val="998"/>
    <w:pPr>
      <w:jc w:val="center"/>
    </w:pPr>
    <w:rPr>
      <w:b/>
      <w:bCs/>
    </w:rPr>
  </w:style>
  <w:style w:type="paragraph" w:styleId="1000" w:customStyle="1">
    <w:name w:val="ConsPlusNormal"/>
    <w:link w:val="1019"/>
    <w:pPr>
      <w:ind w:firstLine="720"/>
      <w:widowControl w:val="off"/>
    </w:pPr>
    <w:rPr>
      <w:rFonts w:ascii="Arial" w:hAnsi="Arial" w:cs="Arial"/>
      <w:lang w:eastAsia="zh-CN"/>
    </w:rPr>
  </w:style>
  <w:style w:type="paragraph" w:styleId="1001" w:customStyle="1">
    <w:name w:val="Основной текст с отступом 31"/>
    <w:basedOn w:val="776"/>
    <w:pPr>
      <w:ind w:left="426" w:hanging="426"/>
      <w:jc w:val="both"/>
      <w:widowControl/>
    </w:pPr>
    <w:rPr>
      <w:rFonts w:eastAsia="Times New Roman" w:cs="Times New Roman"/>
      <w:sz w:val="20"/>
      <w:szCs w:val="20"/>
      <w:lang w:bidi="ar-SA"/>
    </w:rPr>
  </w:style>
  <w:style w:type="paragraph" w:styleId="1002">
    <w:name w:val="No Spacing"/>
    <w:rPr>
      <w:rFonts w:ascii="Calibri" w:hAnsi="Calibri" w:eastAsia="Lucida Sans Unicode" w:cs="font"/>
      <w:color w:val="00000a"/>
      <w:sz w:val="22"/>
      <w:szCs w:val="22"/>
      <w:lang w:eastAsia="zh-CN"/>
    </w:rPr>
  </w:style>
  <w:style w:type="paragraph" w:styleId="1003" w:customStyle="1">
    <w:name w:val="Обычный1"/>
    <w:pPr>
      <w:spacing w:after="200" w:line="276" w:lineRule="auto"/>
      <w:widowControl w:val="off"/>
    </w:pPr>
    <w:rPr>
      <w:rFonts w:eastAsia="SimSun" w:cs="Mangal"/>
      <w:color w:val="00000a"/>
      <w:sz w:val="24"/>
      <w:szCs w:val="24"/>
      <w:lang w:eastAsia="zh-CN" w:bidi="hi-IN"/>
    </w:rPr>
  </w:style>
  <w:style w:type="paragraph" w:styleId="1004">
    <w:name w:val="Body Text Indent 2"/>
    <w:basedOn w:val="776"/>
    <w:link w:val="1005"/>
    <w:uiPriority w:val="99"/>
    <w:semiHidden/>
    <w:unhideWhenUsed/>
    <w:pPr>
      <w:ind w:left="283"/>
      <w:spacing w:after="120" w:line="480" w:lineRule="auto"/>
    </w:pPr>
    <w:rPr>
      <w:szCs w:val="21"/>
    </w:rPr>
  </w:style>
  <w:style w:type="character" w:styleId="1005" w:customStyle="1">
    <w:name w:val="Основной текст с отступом 2 Знак"/>
    <w:basedOn w:val="777"/>
    <w:link w:val="1004"/>
    <w:uiPriority w:val="99"/>
    <w:semiHidden/>
    <w:rPr>
      <w:rFonts w:ascii="Liberation Serif" w:hAnsi="Liberation Serif" w:eastAsia="Lucida Sans Unicode" w:cs="Mangal"/>
      <w:sz w:val="24"/>
      <w:szCs w:val="21"/>
      <w:lang w:eastAsia="zh-CN" w:bidi="hi-IN"/>
    </w:rPr>
  </w:style>
  <w:style w:type="paragraph" w:styleId="1006">
    <w:name w:val="Body Text Indent"/>
    <w:basedOn w:val="776"/>
    <w:link w:val="1007"/>
    <w:pPr>
      <w:ind w:left="283"/>
      <w:spacing w:after="120"/>
    </w:pPr>
    <w:rPr>
      <w:rFonts w:eastAsia="SimSun"/>
      <w:szCs w:val="21"/>
    </w:rPr>
  </w:style>
  <w:style w:type="character" w:styleId="1007" w:customStyle="1">
    <w:name w:val="Основной текст с отступом Знак"/>
    <w:basedOn w:val="777"/>
    <w:link w:val="1006"/>
    <w:rPr>
      <w:rFonts w:ascii="Liberation Serif" w:hAnsi="Liberation Serif" w:eastAsia="SimSun" w:cs="Mangal"/>
      <w:sz w:val="24"/>
      <w:szCs w:val="21"/>
      <w:lang w:eastAsia="zh-CN" w:bidi="hi-IN"/>
    </w:rPr>
  </w:style>
  <w:style w:type="character" w:styleId="1008" w:customStyle="1">
    <w:name w:val="Обычный (веб) Знак;Обычный (веб)1 Знак;Обычный (Web)1 Знак"/>
    <w:link w:val="996"/>
    <w:rPr>
      <w:rFonts w:ascii="Liberation Serif" w:hAnsi="Liberation Serif"/>
      <w:color w:val="000000"/>
      <w:sz w:val="24"/>
      <w:szCs w:val="24"/>
      <w:lang w:eastAsia="zh-CN"/>
    </w:rPr>
  </w:style>
  <w:style w:type="paragraph" w:styleId="1009">
    <w:name w:val="Body Text 3"/>
    <w:basedOn w:val="776"/>
    <w:link w:val="1010"/>
    <w:uiPriority w:val="99"/>
    <w:semiHidden/>
    <w:unhideWhenUsed/>
    <w:pPr>
      <w:spacing w:after="120"/>
    </w:pPr>
    <w:rPr>
      <w:rFonts w:eastAsia="Arial Unicode MS"/>
      <w:sz w:val="16"/>
      <w:szCs w:val="14"/>
    </w:rPr>
  </w:style>
  <w:style w:type="character" w:styleId="1010" w:customStyle="1">
    <w:name w:val="Основной текст 3 Знак"/>
    <w:basedOn w:val="777"/>
    <w:link w:val="1009"/>
    <w:uiPriority w:val="99"/>
    <w:semiHidden/>
    <w:rPr>
      <w:rFonts w:ascii="Liberation Serif" w:hAnsi="Liberation Serif" w:eastAsia="Arial Unicode MS" w:cs="Mangal"/>
      <w:sz w:val="16"/>
      <w:szCs w:val="14"/>
      <w:lang w:eastAsia="zh-CN" w:bidi="hi-IN"/>
    </w:rPr>
  </w:style>
  <w:style w:type="paragraph" w:styleId="1011">
    <w:name w:val="Balloon Text"/>
    <w:basedOn w:val="776"/>
    <w:link w:val="1012"/>
    <w:uiPriority w:val="99"/>
    <w:semiHidden/>
    <w:unhideWhenUsed/>
    <w:rPr>
      <w:rFonts w:ascii="Tahoma" w:hAnsi="Tahoma"/>
      <w:sz w:val="16"/>
      <w:szCs w:val="14"/>
    </w:rPr>
  </w:style>
  <w:style w:type="character" w:styleId="1012" w:customStyle="1">
    <w:name w:val="Текст выноски Знак"/>
    <w:basedOn w:val="777"/>
    <w:link w:val="1011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character" w:styleId="1013" w:customStyle="1">
    <w:name w:val="Заголовок 1 Знак"/>
    <w:basedOn w:val="777"/>
    <w:link w:val="786"/>
    <w:rPr>
      <w:rFonts w:ascii="Courier New" w:hAnsi="Courier New" w:cs="Courier New"/>
      <w:b/>
      <w:sz w:val="24"/>
      <w:lang w:eastAsia="zh-CN"/>
    </w:rPr>
  </w:style>
  <w:style w:type="character" w:styleId="1014" w:customStyle="1">
    <w:name w:val="Основной текст (2)_"/>
    <w:rPr>
      <w:rFonts w:cs="Times New Roman"/>
      <w:shd w:val="clear" w:color="auto" w:fill="ffffff"/>
    </w:rPr>
  </w:style>
  <w:style w:type="character" w:styleId="1015" w:customStyle="1">
    <w:name w:val="Основной текст (2) Exact"/>
    <w:rPr>
      <w:rFonts w:ascii="Times New Roman" w:hAnsi="Times New Roman" w:cs="Times New Roman"/>
      <w:sz w:val="22"/>
      <w:szCs w:val="22"/>
      <w:u w:val="none"/>
    </w:rPr>
  </w:style>
  <w:style w:type="character" w:styleId="1016" w:customStyle="1">
    <w:name w:val="Основной текст (2) Exact1"/>
    <w:rPr>
      <w:rFonts w:ascii="Times New Roman" w:hAnsi="Times New Roman" w:eastAsia="Times New Roman" w:cs="Times New Roman"/>
      <w:color w:val="000000"/>
      <w:spacing w:val="0"/>
      <w:sz w:val="22"/>
      <w:szCs w:val="22"/>
      <w:shd w:val="clear" w:color="auto" w:fill="ffffff"/>
    </w:rPr>
  </w:style>
  <w:style w:type="paragraph" w:styleId="1017" w:customStyle="1">
    <w:name w:val="Основной текст (2)1"/>
    <w:basedOn w:val="776"/>
    <w:pPr>
      <w:jc w:val="right"/>
      <w:spacing w:after="600" w:line="240" w:lineRule="atLeast"/>
      <w:shd w:val="clear" w:color="auto" w:fill="ffffff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1018" w:customStyle="1">
    <w:name w:val="Основной текст (2)"/>
    <w:basedOn w:val="776"/>
    <w:pPr>
      <w:jc w:val="both"/>
      <w:spacing w:before="360" w:after="360" w:line="240" w:lineRule="atLeast"/>
      <w:shd w:val="clear" w:color="auto" w:fill="ffffff"/>
      <w:widowControl/>
    </w:pPr>
    <w:rPr>
      <w:rFonts w:ascii="Calibri" w:hAnsi="Calibri" w:eastAsia="Times New Roman" w:cs="Calibri"/>
      <w:sz w:val="22"/>
      <w:szCs w:val="22"/>
      <w:lang w:bidi="ar-SA"/>
    </w:rPr>
  </w:style>
  <w:style w:type="character" w:styleId="1019" w:customStyle="1">
    <w:name w:val="ConsPlusNormal Знак"/>
    <w:link w:val="1000"/>
    <w:rPr>
      <w:rFonts w:ascii="Arial" w:hAnsi="Arial" w:cs="Arial"/>
      <w:lang w:eastAsia="zh-CN" w:bidi="ar-SA"/>
    </w:rPr>
  </w:style>
  <w:style w:type="paragraph" w:styleId="1020" w:customStyle="1">
    <w:name w:val="Текст2"/>
    <w:basedOn w:val="776"/>
    <w:pPr>
      <w:spacing w:line="100" w:lineRule="atLeast"/>
      <w:widowControl/>
    </w:pPr>
    <w:rPr>
      <w:rFonts w:ascii="Courier New" w:hAnsi="Courier New" w:eastAsia="Times New Roman" w:cs="Courier New"/>
      <w:color w:val="00000a"/>
      <w:sz w:val="20"/>
      <w:szCs w:val="20"/>
      <w:lang w:bidi="ar-SA"/>
    </w:rPr>
  </w:style>
  <w:style w:type="paragraph" w:styleId="1021" w:customStyle="1">
    <w:name w:val="Пункт"/>
    <w:basedOn w:val="776"/>
    <w:pPr>
      <w:ind w:left="1134" w:hanging="1134"/>
      <w:jc w:val="both"/>
      <w:spacing w:line="360" w:lineRule="auto"/>
      <w:widowControl/>
      <w:tabs>
        <w:tab w:val="left" w:pos="4536" w:leader="none"/>
      </w:tabs>
    </w:pPr>
    <w:rPr>
      <w:rFonts w:ascii="Times New Roman" w:hAnsi="Times New Roman" w:eastAsia="Times New Roman" w:cs="Times New Roman"/>
      <w:sz w:val="28"/>
      <w:szCs w:val="28"/>
      <w:lang w:bidi="ar-SA"/>
    </w:rPr>
  </w:style>
  <w:style w:type="character" w:styleId="1022" w:customStyle="1">
    <w:name w:val="Заголовок 3 Знак"/>
    <w:basedOn w:val="777"/>
    <w:link w:val="787"/>
    <w:uiPriority w:val="9"/>
    <w:semiHidden/>
    <w:rPr>
      <w:rFonts w:ascii="Cambria" w:hAnsi="Cambria" w:cs="Mangal"/>
      <w:b/>
      <w:bCs/>
      <w:sz w:val="26"/>
      <w:szCs w:val="23"/>
      <w:lang w:eastAsia="zh-CN" w:bidi="hi-IN"/>
    </w:rPr>
  </w:style>
  <w:style w:type="character" w:styleId="1023" w:customStyle="1">
    <w:name w:val="blk"/>
    <w:basedOn w:val="984"/>
  </w:style>
  <w:style w:type="paragraph" w:styleId="1024" w:customStyle="1">
    <w:name w:val="Основной текст 21"/>
    <w:basedOn w:val="776"/>
    <w:pPr>
      <w:jc w:val="both"/>
      <w:widowControl/>
    </w:pPr>
    <w:rPr>
      <w:rFonts w:ascii="Courier New" w:hAnsi="Courier New" w:eastAsia="Times New Roman" w:cs="Courier New"/>
      <w:sz w:val="28"/>
      <w:szCs w:val="20"/>
      <w:lang w:bidi="ar-SA"/>
    </w:rPr>
  </w:style>
  <w:style w:type="paragraph" w:styleId="1025" w:customStyle="1">
    <w:name w:val="ConsNormal"/>
    <w:pPr>
      <w:ind w:right="19772" w:firstLine="720"/>
    </w:pPr>
    <w:rPr>
      <w:rFonts w:ascii="Arial" w:hAnsi="Arial" w:eastAsia="Arial" w:cs="Arial"/>
      <w:color w:val="00000a"/>
      <w:lang w:eastAsia="zh-CN" w:bidi="hi-IN"/>
    </w:rPr>
  </w:style>
  <w:style w:type="character" w:styleId="1026" w:customStyle="1">
    <w:name w:val="Символ сноски"/>
    <w:basedOn w:val="777"/>
    <w:rPr>
      <w:vertAlign w:val="superscript"/>
    </w:rPr>
  </w:style>
  <w:style w:type="paragraph" w:styleId="1027" w:customStyle="1">
    <w:name w:val="Текст сноски;Знак2;Знак8 Знак Знак;Знак8 Знак;Char;Знак4 Знак;Знак6 Знак;Текст сноски Знак Знак;Знак7 Знак1 Знак;Знак7 Знак;Знак7 Знак2;Знак8;Знак2 Знак Знак Знак1;Знак4;Знак5;Знак7 Знак1;Знак1 Знак1"/>
    <w:basedOn w:val="776"/>
    <w:link w:val="1028"/>
    <w:qFormat/>
    <w:pPr>
      <w:ind w:left="339" w:hanging="339"/>
      <w:widowControl/>
      <w:suppressLineNumbers/>
    </w:pPr>
    <w:rPr>
      <w:rFonts w:ascii="Times New Roman" w:hAnsi="Times New Roman" w:eastAsia="Times New Roman" w:cs="Times New Roman"/>
      <w:color w:val="00000a"/>
      <w:sz w:val="20"/>
      <w:szCs w:val="20"/>
      <w:lang w:eastAsia="ar-SA" w:bidi="ar-SA"/>
    </w:rPr>
  </w:style>
  <w:style w:type="character" w:styleId="1028" w:customStyle="1">
    <w:name w:val="Текст сноски Знак"/>
    <w:basedOn w:val="777"/>
    <w:link w:val="1027"/>
    <w:rPr>
      <w:color w:val="00000a"/>
      <w:lang w:eastAsia="ar-SA"/>
    </w:rPr>
  </w:style>
  <w:style w:type="paragraph" w:styleId="1029" w:customStyle="1">
    <w:name w:val="WW-Базовый"/>
    <w:pPr>
      <w:spacing w:line="100" w:lineRule="atLeast"/>
    </w:pPr>
    <w:rPr>
      <w:color w:val="00000a"/>
      <w:sz w:val="24"/>
      <w:szCs w:val="24"/>
      <w:lang w:eastAsia="zh-CN"/>
    </w:rPr>
  </w:style>
  <w:style w:type="paragraph" w:styleId="1030" w:customStyle="1">
    <w:name w:val="Основной текст3"/>
    <w:basedOn w:val="776"/>
    <w:pPr>
      <w:ind w:hanging="320"/>
      <w:jc w:val="center"/>
      <w:spacing w:line="324" w:lineRule="exact"/>
      <w:shd w:val="clear" w:color="auto" w:fill="ffffff"/>
    </w:pPr>
    <w:rPr>
      <w:rFonts w:ascii="Times New Roman" w:hAnsi="Times New Roman" w:eastAsia="Times New Roman" w:cs="Times New Roman"/>
      <w:sz w:val="28"/>
      <w:szCs w:val="28"/>
      <w:lang w:bidi="ar-SA"/>
    </w:rPr>
  </w:style>
  <w:style w:type="character" w:styleId="1031">
    <w:name w:val="Strong"/>
    <w:qFormat/>
    <w:rPr>
      <w:rFonts w:ascii="Times New Roman" w:hAnsi="Times New Roman" w:cs="Times New Roman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TargetMode="External"/><Relationship Id="rId10" Type="http://schemas.openxmlformats.org/officeDocument/2006/relationships/hyperlink" Target="consultantplus://offline/main?base=MLAW;n=129338;fld=134;dst=100180" TargetMode="External"/><Relationship Id="rId11" Type="http://schemas.openxmlformats.org/officeDocument/2006/relationships/hyperlink" Target="mailto:bka@slanmo.ru" TargetMode="External"/><Relationship Id="rId12" Type="http://schemas.openxmlformats.org/officeDocument/2006/relationships/hyperlink" Target="http://kadry@slanmo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org789</dc:creator>
  <cp:revision>42</cp:revision>
  <dcterms:created xsi:type="dcterms:W3CDTF">2023-08-02T09:20:00Z</dcterms:created>
  <dcterms:modified xsi:type="dcterms:W3CDTF">2026-08-19T12:23:51Z</dcterms:modified>
  <cp:version>786432</cp:version>
</cp:coreProperties>
</file>