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67"/>
        <w:jc w:val="center"/>
        <w:spacing w:before="0" w:after="0"/>
        <w:tabs>
          <w:tab w:val="left" w:pos="360" w:leader="none"/>
        </w:tabs>
        <w:rPr>
          <w:rFonts w:ascii="Times New Roman" w:hAnsi="Times New Roman"/>
          <w:i w:val="0"/>
          <w:szCs w:val="24"/>
        </w:rPr>
      </w:pPr>
      <w:r>
        <w:rPr>
          <w:rFonts w:ascii="Times New Roman" w:hAnsi="Times New Roman"/>
          <w:i w:val="0"/>
          <w:szCs w:val="24"/>
        </w:rPr>
        <w:t xml:space="preserve">ГОСУДАРСТВЕННЫЙ КОНТРАКТ № </w:t>
      </w:r>
      <w:r>
        <w:rPr>
          <w:rFonts w:ascii="Times New Roman" w:hAnsi="Times New Roman"/>
          <w:i w:val="0"/>
          <w:szCs w:val="24"/>
        </w:rPr>
        <w:t xml:space="preserve">________</w:t>
      </w:r>
      <w:r>
        <w:rPr>
          <w:rFonts w:ascii="Times New Roman" w:hAnsi="Times New Roman"/>
          <w:i w:val="0"/>
          <w:szCs w:val="24"/>
        </w:rPr>
      </w:r>
      <w:r>
        <w:rPr>
          <w:rFonts w:ascii="Times New Roman" w:hAnsi="Times New Roman"/>
          <w:i w:val="0"/>
          <w:szCs w:val="24"/>
        </w:rPr>
      </w:r>
    </w:p>
    <w:p>
      <w:pPr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shd w:val="clear" w:color="auto" w:fill="ffffff"/>
        <w:rPr>
          <w:color w:val="000000"/>
        </w:rPr>
      </w:pPr>
      <w:r>
        <w:t xml:space="preserve">г. Кировск, Ленинградская область</w:t>
      </w:r>
      <w:r>
        <w:rPr>
          <w:color w:val="000000"/>
        </w:rPr>
        <w:t xml:space="preserve">                                                                     </w:t>
      </w:r>
      <w:r>
        <w:rPr>
          <w:color w:val="000000"/>
        </w:rPr>
        <w:t xml:space="preserve">   </w:t>
      </w:r>
      <w:r>
        <w:rPr>
          <w:color w:val="000000"/>
        </w:rPr>
        <w:t xml:space="preserve">«</w:t>
      </w:r>
      <w:r>
        <w:rPr>
          <w:color w:val="000000"/>
        </w:rPr>
        <w:t xml:space="preserve">_</w:t>
      </w:r>
      <w:r>
        <w:rPr>
          <w:color w:val="000000"/>
        </w:rPr>
        <w:t xml:space="preserve">» ________</w:t>
      </w:r>
      <w:r>
        <w:rPr>
          <w:color w:val="000000"/>
        </w:rPr>
        <w:t xml:space="preserve">  2026</w:t>
      </w:r>
      <w:r>
        <w:rPr>
          <w:color w:val="000000"/>
        </w:rPr>
        <w:t xml:space="preserve"> г.</w:t>
      </w:r>
      <w:r>
        <w:rPr>
          <w:color w:val="000000"/>
        </w:rPr>
      </w:r>
      <w:r>
        <w:rPr>
          <w:color w:val="000000"/>
        </w:rPr>
      </w:r>
    </w:p>
    <w:p>
      <w:pPr>
        <w:shd w:val="clear" w:color="auto" w:fill="ffff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567"/>
        <w:jc w:val="both"/>
        <w:shd w:val="clear" w:color="auto" w:fill="ffffff"/>
      </w:pPr>
      <w:r>
        <w:t xml:space="preserve">Государственное казенное учреждение Ленинградской области «Региональный мониторинговый центр» (ГКУ ЛО «РМЦ»), именуемое в дальнейшем «Заказчик», выступая от имени Ленинградской области, </w:t>
      </w:r>
      <w:r>
        <w:rPr>
          <w:color w:val="1a1a1a"/>
          <w:highlight w:val="white"/>
        </w:rPr>
        <w:t xml:space="preserve">в лице </w:t>
      </w:r>
      <w:r>
        <w:t xml:space="preserve">начальника учреждения Петрова Алексея Сергеевича, действующего на основании Устава</w:t>
      </w:r>
      <w:r>
        <w:rPr>
          <w:color w:val="1a1a1a"/>
          <w:highlight w:val="white"/>
        </w:rPr>
        <w:t xml:space="preserve">, с одной стороны</w:t>
      </w:r>
      <w:r>
        <w:t xml:space="preserve">, и</w:t>
      </w:r>
      <w:r/>
    </w:p>
    <w:p>
      <w:pPr>
        <w:ind w:firstLine="567"/>
        <w:jc w:val="both"/>
        <w:shd w:val="clear" w:color="auto" w:fill="ffffff"/>
        <w:tabs>
          <w:tab w:val="left" w:pos="1134" w:leader="none"/>
        </w:tabs>
        <w:outlineLvl w:val="1"/>
      </w:pPr>
      <w:r>
        <w:t xml:space="preserve">________________________________________________________________, с другой стороны,</w:t>
      </w:r>
      <w:r/>
    </w:p>
    <w:p>
      <w:pPr>
        <w:pStyle w:val="962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совместно именуемые в дальнейшем Стороны, а по отдельности Сторона на основании </w:t>
      </w:r>
      <w:r>
        <w:rPr>
          <w:rFonts w:ascii="Times New Roman" w:hAnsi="Times New Roman"/>
          <w:sz w:val="24"/>
          <w:szCs w:val="24"/>
        </w:rPr>
        <w:br/>
        <w:t xml:space="preserve">п.4 ч.1 с</w:t>
      </w:r>
      <w:r>
        <w:rPr>
          <w:rFonts w:ascii="Times New Roman" w:hAnsi="Times New Roman"/>
          <w:sz w:val="24"/>
          <w:szCs w:val="24"/>
        </w:rPr>
        <w:t xml:space="preserve">т.93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заключили настоящий государственный контракт (далее по тексту – Контракт) о нижеследующем: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numPr>
          <w:ilvl w:val="0"/>
          <w:numId w:val="2"/>
        </w:numPr>
        <w:ind w:left="0" w:firstLine="0"/>
        <w:jc w:val="center"/>
        <w:shd w:val="clear" w:color="auto" w:fill="ffffff"/>
        <w:tabs>
          <w:tab w:val="left" w:pos="284" w:leader="none"/>
        </w:tabs>
        <w:rPr>
          <w:b/>
          <w:spacing w:val="-6"/>
        </w:rPr>
      </w:pPr>
      <w:r>
        <w:rPr>
          <w:b/>
          <w:spacing w:val="-6"/>
        </w:rPr>
        <w:t xml:space="preserve">Предмет Контракта</w:t>
      </w:r>
      <w:r>
        <w:rPr>
          <w:b/>
          <w:spacing w:val="-6"/>
        </w:rPr>
      </w:r>
      <w:r>
        <w:rPr>
          <w:b/>
          <w:spacing w:val="-6"/>
        </w:rPr>
      </w:r>
    </w:p>
    <w:p>
      <w:pPr>
        <w:pStyle w:val="962"/>
        <w:numPr>
          <w:ilvl w:val="1"/>
          <w:numId w:val="2"/>
        </w:numPr>
        <w:ind w:left="0" w:firstLine="567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поручает, а Исполнитель принимает на себя обязательства по оказанию платных образовательных услуг (далее по тексту - Услуги) в области дополнительного профессионального </w:t>
      </w:r>
      <w:r>
        <w:rPr>
          <w:rFonts w:ascii="Times New Roman" w:hAnsi="Times New Roman"/>
          <w:sz w:val="24"/>
          <w:szCs w:val="24"/>
        </w:rPr>
        <w:t xml:space="preserve">образования </w:t>
      </w:r>
      <w:r>
        <w:rPr>
          <w:rFonts w:ascii="Times New Roman" w:hAnsi="Times New Roman"/>
          <w:sz w:val="24"/>
          <w:szCs w:val="24"/>
          <w:highlight w:val="white"/>
        </w:rPr>
        <w:t xml:space="preserve">и</w:t>
      </w:r>
      <w:r>
        <w:rPr>
          <w:rFonts w:ascii="Times New Roman" w:hAnsi="Times New Roman"/>
          <w:sz w:val="24"/>
          <w:szCs w:val="24"/>
          <w:highlight w:val="white"/>
        </w:rPr>
        <w:t xml:space="preserve">/или</w:t>
      </w:r>
      <w:r>
        <w:rPr>
          <w:rFonts w:ascii="Times New Roman" w:hAnsi="Times New Roman"/>
          <w:sz w:val="24"/>
          <w:szCs w:val="24"/>
        </w:rPr>
        <w:t xml:space="preserve"> профессионального обучения его работников (далее </w:t>
      </w:r>
      <w:r>
        <w:rPr>
          <w:rFonts w:ascii="Times New Roman" w:hAnsi="Times New Roman"/>
          <w:sz w:val="24"/>
          <w:szCs w:val="24"/>
        </w:rPr>
        <w:br/>
        <w:t xml:space="preserve">по тексту – Обучающиеся, Слуша</w:t>
      </w:r>
      <w:r>
        <w:rPr>
          <w:rFonts w:ascii="Times New Roman" w:hAnsi="Times New Roman"/>
          <w:sz w:val="24"/>
          <w:szCs w:val="24"/>
        </w:rPr>
        <w:t xml:space="preserve">тели) по программе курсов повышения квалификации «Контрактная система в сфере закупок товаров, работ и услуг для обеспечения государственных и муниципальных нужд» (далее по тексту – Программа), в соответствии с Учебным планом (Приложение № 3 к Контракту).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firstLine="567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обучения: заочная с применением дистанционных образовательных технологий.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numPr>
          <w:ilvl w:val="1"/>
          <w:numId w:val="2"/>
        </w:numPr>
        <w:ind w:left="0" w:firstLine="567"/>
        <w:shd w:val="clear" w:color="auto" w:fill="ffffff"/>
        <w:tabs>
          <w:tab w:val="left" w:pos="1134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слушателей Заказчика, подлежащих обучению по Программе, составляет 1 (один) человек.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numPr>
          <w:ilvl w:val="1"/>
          <w:numId w:val="2"/>
        </w:numPr>
        <w:ind w:left="0" w:firstLine="567"/>
        <w:shd w:val="clear" w:color="auto" w:fill="ffffff"/>
        <w:tabs>
          <w:tab w:val="left" w:pos="1134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Требования к содержанию и объему оказываемых Услуг, а также иные условия оказания Услуг определяются настоящим Контрактом.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numPr>
          <w:ilvl w:val="1"/>
          <w:numId w:val="2"/>
        </w:numPr>
        <w:ind w:left="0" w:firstLine="567"/>
        <w:shd w:val="clear" w:color="auto" w:fill="ffffff"/>
        <w:tabs>
          <w:tab w:val="left" w:pos="1134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Сроки оказания услуг: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firstLine="567"/>
        <w:shd w:val="clear" w:color="auto" w:fill="ffffff"/>
        <w:tabs>
          <w:tab w:val="left" w:pos="1134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начало оказания услуг: 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.2026 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firstLine="567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окончание оказания услуг: 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.11.2026 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firstLine="567"/>
        <w:shd w:val="clear" w:color="auto" w:fill="ffffff"/>
        <w:tabs>
          <w:tab w:val="left" w:pos="1134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обучения по программе составляет 108 академических часов.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8"/>
        <w:numPr>
          <w:ilvl w:val="1"/>
          <w:numId w:val="2"/>
        </w:numPr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После освоения </w:t>
      </w:r>
      <w:r>
        <w:rPr>
          <w:rFonts w:ascii="Times New Roman" w:hAnsi="Times New Roman"/>
          <w:sz w:val="24"/>
          <w:szCs w:val="24"/>
          <w:lang w:val="ru-RU"/>
        </w:rPr>
        <w:t xml:space="preserve">Слушателем образовательной программы и успешного прохождения итоговой аттестации ему выдается удостоверение о повышении квалификации установленного Исполнителем образца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. 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При освоении дополнительной профессиональной программы параллельно с получением среднего профессионального образования и (или) высшего образования удостоверение о повышении квалификации и (или) диплом о профессиональной переподготовке </w:t>
      </w:r>
      <w:r>
        <w:rPr>
          <w:rFonts w:ascii="Times New Roman" w:hAnsi="Times New Roman" w:eastAsia="Calibri"/>
          <w:sz w:val="24"/>
          <w:szCs w:val="24"/>
          <w:lang w:val="ru-RU"/>
        </w:rPr>
        <w:br/>
        <w:t xml:space="preserve">выдаются одновременно с получением соответствующего документа об образовании и о квалификации.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Слушателю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, не прошедшему итоговую аттестацию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отчисленному, выдается справка об обучении или о периоде обучения по образцу, 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самостоятельно устанавливаемому Исполнителем.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white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1.6.  </w:t>
      </w: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eastAsia="Calibri"/>
          <w:sz w:val="24"/>
          <w:szCs w:val="24"/>
        </w:rPr>
        <w:t xml:space="preserve">Идентифи</w:t>
      </w:r>
      <w:r>
        <w:rPr>
          <w:rFonts w:ascii="Times New Roman" w:hAnsi="Times New Roman"/>
          <w:bCs/>
          <w:sz w:val="24"/>
          <w:szCs w:val="24"/>
        </w:rPr>
        <w:t xml:space="preserve">кационный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код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закупки</w:t>
      </w:r>
      <w:r>
        <w:rPr>
          <w:rFonts w:ascii="Times New Roman" w:hAnsi="Times New Roman"/>
          <w:bCs/>
          <w:sz w:val="24"/>
          <w:szCs w:val="24"/>
        </w:rPr>
        <w:t xml:space="preserve">: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262470603423147060100100040000000244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shd w:val="clear" w:color="auto" w:fill="ffffff"/>
        </w:rPr>
      </w:r>
      <w:r>
        <w:rPr>
          <w:rFonts w:ascii="Times New Roman" w:hAnsi="Times New Roman"/>
          <w:sz w:val="24"/>
          <w:szCs w:val="24"/>
          <w:highlight w:val="white"/>
          <w:shd w:val="clear" w:color="auto" w:fill="ffffff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  <w:lang w:val="ru-RU"/>
        </w:rPr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numPr>
          <w:ilvl w:val="0"/>
          <w:numId w:val="5"/>
        </w:numPr>
        <w:jc w:val="center"/>
        <w:shd w:val="clear" w:color="auto" w:fill="ffffff"/>
        <w:tabs>
          <w:tab w:val="left" w:pos="426" w:leader="none"/>
        </w:tabs>
        <w:rPr>
          <w:b/>
          <w:bCs/>
        </w:rPr>
      </w:pPr>
      <w:r>
        <w:rPr>
          <w:b/>
          <w:bCs/>
        </w:rPr>
        <w:t xml:space="preserve">Цена </w:t>
      </w:r>
      <w:r>
        <w:rPr>
          <w:b/>
          <w:spacing w:val="-6"/>
        </w:rPr>
        <w:t xml:space="preserve">Контракта</w:t>
      </w:r>
      <w:r>
        <w:rPr>
          <w:b/>
          <w:bCs/>
        </w:rPr>
        <w:t xml:space="preserve">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964"/>
        <w:numPr>
          <w:ilvl w:val="1"/>
          <w:numId w:val="5"/>
        </w:numPr>
        <w:ind w:left="0" w:firstLine="567"/>
        <w:jc w:val="both"/>
        <w:widowControl/>
        <w:tabs>
          <w:tab w:val="left" w:pos="851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Цена Контракта составляет </w:t>
      </w:r>
      <w:bookmarkStart w:id="0" w:name="_Hlk171327055"/>
      <w:r>
        <w:rPr>
          <w:sz w:val="24"/>
          <w:szCs w:val="24"/>
        </w:rPr>
        <w:t xml:space="preserve">11 900,00 рублей (одиннадцать тысяч девятьсот рублей 00 копеек), в соответствии с расчетом стоимости Услуг (Приложение № 1 к Контракту)</w:t>
      </w:r>
      <w:bookmarkEnd w:id="0"/>
      <w:r>
        <w:rPr>
          <w:sz w:val="24"/>
          <w:szCs w:val="24"/>
        </w:rPr>
        <w:t xml:space="preserve">, НДС не облагается на основании пункта 2 статьи 346.11 Налогового кодекса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8"/>
        <w:numPr>
          <w:ilvl w:val="1"/>
          <w:numId w:val="5"/>
        </w:numPr>
        <w:contextualSpacing w:val="0"/>
        <w:ind w:left="0" w:firstLine="567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Цена настоящего Контракта, которая определена на весь срок исполнения настоящего Контракта, является твердой и не может изменяться в ходе его исп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олнения,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4"/>
        <w:numPr>
          <w:ilvl w:val="1"/>
          <w:numId w:val="5"/>
        </w:numPr>
        <w:ind w:left="0" w:right="-1" w:firstLine="567"/>
        <w:jc w:val="both"/>
        <w:tabs>
          <w:tab w:val="left" w:pos="851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Цена Контракта включает в себя стоимость Услуг, все налоги, сборы, таможенные пошлины и другие </w:t>
      </w:r>
      <w:r>
        <w:rPr>
          <w:sz w:val="24"/>
          <w:szCs w:val="24"/>
        </w:rPr>
        <w:t xml:space="preserve">обязательные платежи, гарантийные обязательства, а также иные расходы Исполнителя, связанные с исполнением настоящего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4"/>
        <w:numPr>
          <w:ilvl w:val="1"/>
          <w:numId w:val="5"/>
        </w:numPr>
        <w:ind w:left="0" w:right="-1" w:firstLine="567"/>
        <w:jc w:val="both"/>
        <w:tabs>
          <w:tab w:val="left" w:pos="851" w:leader="none"/>
          <w:tab w:val="left" w:pos="1134" w:leader="none"/>
        </w:tabs>
        <w:rPr>
          <w:sz w:val="24"/>
          <w:szCs w:val="24"/>
          <w:highlight w:val="white"/>
        </w:rPr>
      </w:pPr>
      <w:r>
        <w:rPr>
          <w:rFonts w:eastAsia="Times New Roman"/>
          <w:color w:val="1a1a1a"/>
          <w:sz w:val="24"/>
        </w:rPr>
        <w:t xml:space="preserve">Финансирование осуществляется за счет средств областного бюджета Ленинградской области на 2026 го</w:t>
      </w:r>
      <w:r>
        <w:rPr>
          <w:rFonts w:eastAsia="Times New Roman"/>
          <w:color w:val="1a1a1a"/>
          <w:sz w:val="24"/>
        </w:rPr>
        <w:t xml:space="preserve">д в рамках реализации государственной программы Ленинградской области «Безопасность Ленинградской области», Комплекс процессных мероприятий "Обеспечение и поддержание в готовности систем управления мероприятиями гражданской обороны и оповещения населения" </w:t>
      </w:r>
      <w:r>
        <w:rPr>
          <w:rFonts w:eastAsia="Times New Roman"/>
          <w:sz w:val="24"/>
          <w:szCs w:val="24"/>
          <w:highlight w:val="white"/>
        </w:rPr>
        <w:t xml:space="preserve"> (</w:t>
      </w:r>
      <w:r>
        <w:rPr>
          <w:rFonts w:eastAsia="Times New Roman"/>
          <w:sz w:val="24"/>
          <w:szCs w:val="24"/>
          <w:highlight w:val="white"/>
        </w:rPr>
        <w:t xml:space="preserve">раздел/подраздел 0705, целевая статья расходов</w:t>
      </w:r>
      <w:r>
        <w:rPr>
          <w:rFonts w:eastAsia="Times New Roman"/>
          <w:sz w:val="24"/>
          <w:szCs w:val="24"/>
          <w:highlight w:val="white"/>
        </w:rPr>
        <w:t xml:space="preserve"> 0840400160, КВР 244, КОСГУ 226</w:t>
      </w:r>
      <w:r>
        <w:rPr>
          <w:sz w:val="24"/>
          <w:szCs w:val="24"/>
          <w:highlight w:val="white"/>
        </w:rPr>
        <w:t xml:space="preserve">).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964"/>
        <w:numPr>
          <w:ilvl w:val="1"/>
          <w:numId w:val="5"/>
        </w:numPr>
        <w:ind w:left="0" w:right="-1" w:firstLine="567"/>
        <w:jc w:val="both"/>
        <w:tabs>
          <w:tab w:val="left" w:pos="851" w:leader="none"/>
          <w:tab w:val="left" w:pos="1134" w:leader="none"/>
        </w:tabs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Оплата оказанных Исполнителем Услуг по настоящему Контракту осуществляется Заказчиком в следующем порядке: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966"/>
        <w:ind w:firstLine="567"/>
        <w:jc w:val="both"/>
        <w:tabs>
          <w:tab w:val="left" w:pos="851" w:leader="none"/>
          <w:tab w:val="left" w:pos="1134" w:leader="none"/>
        </w:tabs>
        <w:rPr>
          <w:rStyle w:val="993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- </w:t>
      </w:r>
      <w:r>
        <w:rPr>
          <w:rFonts w:ascii="Times New Roman" w:hAnsi="Times New Roman"/>
          <w:sz w:val="24"/>
          <w:szCs w:val="24"/>
          <w:highlight w:val="white"/>
        </w:rPr>
        <w:tab/>
        <w:t xml:space="preserve">оплата Услуг, оказанных </w:t>
      </w:r>
      <w:r>
        <w:rPr>
          <w:rFonts w:ascii="Times New Roman" w:hAnsi="Times New Roman"/>
          <w:sz w:val="24"/>
          <w:szCs w:val="24"/>
          <w:highlight w:val="white"/>
        </w:rPr>
        <w:t xml:space="preserve">Исполнителем по настоящему Контракту, осуществляется Заказчиком по факту оказания Услуг в течение 7 (семи) рабочих дней</w:t>
      </w:r>
      <w:r>
        <w:rPr>
          <w:rFonts w:ascii="Times New Roman" w:hAnsi="Times New Roman"/>
          <w:sz w:val="24"/>
          <w:szCs w:val="24"/>
          <w:highlight w:val="white"/>
        </w:rPr>
        <w:t xml:space="preserve"> после </w:t>
      </w:r>
      <w:bookmarkStart w:id="1" w:name="_Hlk69129725"/>
      <w:r>
        <w:rPr>
          <w:rStyle w:val="993"/>
          <w:highlight w:val="white"/>
        </w:rPr>
        <w:t xml:space="preserve">предоставления Исполнителем счета на основании </w:t>
      </w:r>
      <w:bookmarkEnd w:id="1"/>
      <w:r>
        <w:rPr>
          <w:rStyle w:val="993"/>
          <w:highlight w:val="white"/>
        </w:rPr>
        <w:t xml:space="preserve">подписанного Сторонами</w:t>
      </w:r>
      <w:r>
        <w:rPr>
          <w:rStyle w:val="993"/>
          <w:highlight w:val="white"/>
        </w:rPr>
        <w:t xml:space="preserve"> </w:t>
      </w:r>
      <w:r>
        <w:rPr>
          <w:rStyle w:val="993"/>
          <w:highlight w:val="white"/>
        </w:rPr>
        <w:t xml:space="preserve">универсаль</w:t>
      </w:r>
      <w:r>
        <w:rPr>
          <w:rStyle w:val="993"/>
          <w:highlight w:val="white"/>
        </w:rPr>
        <w:t xml:space="preserve">ного</w:t>
      </w:r>
      <w:r>
        <w:rPr>
          <w:rStyle w:val="993"/>
          <w:highlight w:val="white"/>
        </w:rPr>
        <w:t xml:space="preserve"> передаточн</w:t>
      </w:r>
      <w:r>
        <w:rPr>
          <w:rStyle w:val="993"/>
          <w:highlight w:val="white"/>
        </w:rPr>
        <w:t xml:space="preserve">ого</w:t>
      </w:r>
      <w:r>
        <w:rPr>
          <w:rStyle w:val="993"/>
          <w:highlight w:val="white"/>
        </w:rPr>
        <w:t xml:space="preserve"> документ</w:t>
      </w:r>
      <w:r>
        <w:rPr>
          <w:rStyle w:val="993"/>
          <w:highlight w:val="white"/>
        </w:rPr>
        <w:t xml:space="preserve">а</w:t>
      </w:r>
      <w:r>
        <w:rPr>
          <w:rStyle w:val="993"/>
          <w:highlight w:val="white"/>
        </w:rPr>
        <w:t xml:space="preserve"> (далее - УПД)</w:t>
      </w:r>
      <w:r>
        <w:rPr>
          <w:rStyle w:val="993"/>
          <w:highlight w:val="white"/>
        </w:rPr>
        <w:t xml:space="preserve">.</w:t>
      </w:r>
      <w:r>
        <w:rPr>
          <w:rStyle w:val="993"/>
          <w:highlight w:val="white"/>
        </w:rPr>
        <w:t xml:space="preserve"> </w:t>
      </w:r>
      <w:r>
        <w:rPr>
          <w:rStyle w:val="993"/>
          <w:highlight w:val="white"/>
        </w:rPr>
      </w:r>
      <w:r>
        <w:rPr>
          <w:rStyle w:val="993"/>
          <w:highlight w:val="white"/>
        </w:rPr>
      </w:r>
    </w:p>
    <w:p>
      <w:pPr>
        <w:pStyle w:val="966"/>
        <w:ind w:firstLine="567"/>
        <w:jc w:val="both"/>
        <w:tabs>
          <w:tab w:val="left" w:pos="851" w:leader="none"/>
          <w:tab w:val="left" w:pos="1134" w:leader="none"/>
        </w:tabs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  <w:highlight w:val="white"/>
        </w:rPr>
        <w:t xml:space="preserve">2.6. </w:t>
      </w:r>
      <w:r>
        <w:rPr>
          <w:rFonts w:ascii="Times New Roman" w:hAnsi="Times New Roman" w:eastAsia="Calibri"/>
          <w:sz w:val="24"/>
          <w:szCs w:val="24"/>
          <w:highlight w:val="white"/>
        </w:rPr>
        <w:tab/>
        <w:t xml:space="preserve">Датой оплаты оказанных</w:t>
      </w:r>
      <w:r>
        <w:rPr>
          <w:rFonts w:ascii="Times New Roman" w:hAnsi="Times New Roman" w:eastAsia="Calibri"/>
          <w:sz w:val="24"/>
          <w:szCs w:val="24"/>
        </w:rPr>
        <w:t xml:space="preserve"> Услуг считается дата списания денежных средств со счета Заказчика.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pStyle w:val="964"/>
        <w:ind w:left="709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5"/>
        </w:numPr>
        <w:jc w:val="center"/>
        <w:shd w:val="clear" w:color="auto" w:fill="ffffff"/>
        <w:tabs>
          <w:tab w:val="left" w:pos="426" w:leader="none"/>
        </w:tabs>
        <w:rPr>
          <w:b/>
          <w:bCs/>
        </w:rPr>
      </w:pPr>
      <w:r>
        <w:rPr>
          <w:b/>
          <w:bCs/>
        </w:rPr>
        <w:t xml:space="preserve">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1"/>
          <w:numId w:val="5"/>
        </w:numPr>
        <w:ind w:left="0" w:firstLine="567"/>
        <w:jc w:val="both"/>
        <w:tabs>
          <w:tab w:val="left" w:pos="1134" w:leader="none"/>
        </w:tabs>
      </w:pPr>
      <w:r>
        <w:t xml:space="preserve">Исполнитель вправе: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Применять к Обучающемуся меры поощрения и меры дисциплинарного взыскания в соответствии с законодательством Российской Федерации, учредительными документами Исполнителя, настоящим </w:t>
      </w:r>
      <w:bookmarkStart w:id="2" w:name="_Hlk31124101"/>
      <w:r>
        <w:t xml:space="preserve">Контракт</w:t>
      </w:r>
      <w:bookmarkEnd w:id="2"/>
      <w:r>
        <w:t xml:space="preserve">ом и локальными нормативными актами Исполнителя.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rPr>
          <w:spacing w:val="-4"/>
        </w:rPr>
        <w:t xml:space="preserve">Обрабатывать персональные данные </w:t>
      </w:r>
      <w:r>
        <w:t xml:space="preserve">Обучающегося,</w:t>
      </w:r>
      <w:r>
        <w:rPr>
          <w:spacing w:val="-4"/>
        </w:rPr>
        <w:t xml:space="preserve"> в порядке, установленном 152 ФЗ от 27 июля 2006 г. «О персональных данных» и другими документами, регламентирующими организацию образовательного процесса.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В целях исполнения обязательств по Контракту Исполнитель имеет право привлекать на договорной основе третьи лица.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Контракту.</w:t>
      </w:r>
      <w:r/>
    </w:p>
    <w:p>
      <w:pPr>
        <w:numPr>
          <w:ilvl w:val="1"/>
          <w:numId w:val="29"/>
        </w:numPr>
        <w:ind w:left="0" w:firstLine="567"/>
        <w:jc w:val="both"/>
        <w:tabs>
          <w:tab w:val="left" w:pos="1134" w:leader="none"/>
        </w:tabs>
      </w:pPr>
      <w:r>
        <w:t xml:space="preserve">Требовать своевременной оплаты Заказчиком услуг, предусмотренных разделом 1 Контракта.</w:t>
      </w:r>
      <w:r/>
    </w:p>
    <w:p>
      <w:pPr>
        <w:numPr>
          <w:ilvl w:val="1"/>
          <w:numId w:val="5"/>
        </w:numPr>
        <w:ind w:left="0" w:firstLine="567"/>
        <w:jc w:val="both"/>
        <w:tabs>
          <w:tab w:val="left" w:pos="1134" w:leader="none"/>
        </w:tabs>
      </w:pPr>
      <w:r>
        <w:t xml:space="preserve">Заказчик вправе:</w:t>
      </w:r>
      <w:r/>
    </w:p>
    <w:p>
      <w:pPr>
        <w:numPr>
          <w:ilvl w:val="1"/>
          <w:numId w:val="30"/>
        </w:numPr>
        <w:ind w:left="0" w:firstLine="567"/>
        <w:jc w:val="both"/>
        <w:tabs>
          <w:tab w:val="left" w:pos="1134" w:leader="none"/>
        </w:tabs>
      </w:pPr>
      <w:r>
        <w:t xml:space="preserve">Получать информацию от Исполнителя по вопросам организации и обеспечения надлежащего предоставления услуг, предусмотренных разделом </w:t>
      </w:r>
      <w:hyperlink w:tooltip="#Par72" w:anchor="Par72" w:history="1">
        <w:r>
          <w:t xml:space="preserve">1</w:t>
        </w:r>
      </w:hyperlink>
      <w:r>
        <w:t xml:space="preserve"> настоящего Контракта.</w:t>
      </w:r>
      <w:r/>
    </w:p>
    <w:p>
      <w:pPr>
        <w:numPr>
          <w:ilvl w:val="1"/>
          <w:numId w:val="30"/>
        </w:numPr>
        <w:ind w:left="0" w:firstLine="567"/>
        <w:jc w:val="both"/>
        <w:tabs>
          <w:tab w:val="left" w:pos="1134" w:leader="none"/>
        </w:tabs>
      </w:pPr>
      <w:r>
        <w:t xml:space="preserve">В любое время проверять ход и качество услуг, оказываемых Исполнителем, не вмешиваясь в его деятельность.</w:t>
      </w:r>
      <w:r/>
    </w:p>
    <w:p>
      <w:pPr>
        <w:numPr>
          <w:ilvl w:val="1"/>
          <w:numId w:val="5"/>
        </w:numPr>
        <w:ind w:left="0" w:firstLine="567"/>
        <w:jc w:val="both"/>
        <w:tabs>
          <w:tab w:val="left" w:pos="1134" w:leader="none"/>
        </w:tabs>
      </w:pPr>
      <w:r>
        <w:t xml:space="preserve">Обучающемуся предоставляются академические права в соответствии с </w:t>
      </w:r>
      <w:hyperlink r:id="rId10" w:tooltip="consultantplus://offline/ref=86DD3AFC91B43B35B10D19A69FC4F0D092A142AD68463121B0FD4592ED4DDBFE6E1BDA897DC940F0m6MBM" w:history="1">
        <w:r>
          <w:t xml:space="preserve">частью 1 статьи 34</w:t>
        </w:r>
      </w:hyperlink>
      <w:r>
        <w:t xml:space="preserve"> Федерального закона от 29 декабря 2012 г. № 273-ФЗ «Об образовании в Российской Федерации». Обучающийся также вправе:</w:t>
      </w:r>
      <w:r/>
    </w:p>
    <w:p>
      <w:pPr>
        <w:numPr>
          <w:ilvl w:val="1"/>
          <w:numId w:val="31"/>
        </w:numPr>
        <w:ind w:left="0" w:firstLine="567"/>
        <w:jc w:val="both"/>
        <w:tabs>
          <w:tab w:val="left" w:pos="1134" w:leader="none"/>
        </w:tabs>
      </w:pPr>
      <w:r>
        <w:t xml:space="preserve">Получать информацию от Исполнителя по вопросам организации и обеспечения надлежащего предоставления услуг, предусмотренных разделом 1 настоящего Контракта.</w:t>
      </w:r>
      <w:r/>
    </w:p>
    <w:p>
      <w:pPr>
        <w:pStyle w:val="968"/>
        <w:numPr>
          <w:ilvl w:val="1"/>
          <w:numId w:val="5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обязан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Довести до Заказчика и Обучающегося информацию, содержащую сведения о порядке предоставления платных образовательных услуг в порядке и объеме, которые предусмотрены </w:t>
      </w:r>
      <w:hyperlink r:id="rId11" w:tooltip="consultantplus://offline/ref=86DD3AFC91B43B35B10D19A69FC4F0D092A042A16D473121B0FD4592EDm4MDM" w:history="1">
        <w:r>
          <w:rPr>
            <w:rFonts w:ascii="Times New Roman" w:hAnsi="Times New Roman"/>
            <w:sz w:val="24"/>
            <w:szCs w:val="24"/>
            <w:lang w:val="ru-RU"/>
          </w:rPr>
          <w:t xml:space="preserve">Законом</w:t>
        </w:r>
      </w:hyperlink>
      <w:r>
        <w:rPr>
          <w:rFonts w:ascii="Times New Roman" w:hAnsi="Times New Roman"/>
          <w:sz w:val="24"/>
          <w:szCs w:val="24"/>
          <w:lang w:val="ru-RU"/>
        </w:rPr>
        <w:t xml:space="preserve"> Российской Федерации «О защите прав потребителей» и Федеральным </w:t>
      </w:r>
      <w:hyperlink r:id="rId12" w:tooltip="consultantplus://offline/ref=86DD3AFC91B43B35B10D19A69FC4F0D092A142AD68463121B0FD4592EDm4MDM" w:history="1">
        <w:r>
          <w:rPr>
            <w:rFonts w:ascii="Times New Roman" w:hAnsi="Times New Roman"/>
            <w:sz w:val="24"/>
            <w:szCs w:val="24"/>
            <w:lang w:val="ru-RU"/>
          </w:rPr>
          <w:t xml:space="preserve">законом</w:t>
        </w:r>
      </w:hyperlink>
      <w:r>
        <w:rPr>
          <w:rFonts w:ascii="Times New Roman" w:hAnsi="Times New Roman"/>
          <w:sz w:val="24"/>
          <w:szCs w:val="24"/>
          <w:lang w:val="ru-RU"/>
        </w:rPr>
        <w:t xml:space="preserve"> «Об образовании в Российской Федерации».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Организовать и обеспечить надлежащее предоставление образовательных услуг, предусмотренных разделом 1 настоящего Контракта. Образовательные услуги оказываются в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  <w:lang w:val="ru-RU"/>
        </w:rPr>
        <w:t xml:space="preserve">соответствии с Учебным планом (Приложение № 3 к Контракту), в том числе индивидуальным, и расписанием занятий Исполнителя.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Продлить срок оказания образовательной услуги, в связи с пропуском обучения по уважительной причине.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Принимать от Заказчика плату за образовательные услуги.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highlight w:val="white"/>
        </w:rPr>
        <w:outlineLvl w:val="1"/>
      </w:pP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Посл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е оказания образовательных услуг, указанных в разделе 1 Контракта, составить и направить Заказчику в течение 7 (семи) календарных дней для подписания 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УПД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 в 2-х экземплярах, содержащий сведения об оказанной образовательной услуге и стоимости оказанных услуг, и удостоверение о повышении квалификации / справку установленного образца.</w:t>
      </w:r>
      <w:r>
        <w:rPr>
          <w:rFonts w:ascii="Times New Roman" w:hAnsi="Times New Roman"/>
          <w:b/>
          <w:sz w:val="24"/>
          <w:szCs w:val="24"/>
          <w:highlight w:val="white"/>
        </w:rPr>
      </w:r>
      <w:r>
        <w:rPr>
          <w:rFonts w:ascii="Times New Roman" w:hAnsi="Times New Roman"/>
          <w:b/>
          <w:sz w:val="24"/>
          <w:szCs w:val="24"/>
          <w:highlight w:val="white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  <w:highlight w:val="white"/>
        </w:rPr>
        <w:outlineLvl w:val="1"/>
      </w:pP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Соблюдать конфиденциальность предоставленной Заказчиком информации.</w:t>
      </w:r>
      <w:r>
        <w:rPr>
          <w:rFonts w:ascii="Times New Roman" w:hAnsi="Times New Roman"/>
          <w:b/>
          <w:sz w:val="24"/>
          <w:szCs w:val="24"/>
          <w:highlight w:val="white"/>
        </w:rPr>
      </w:r>
      <w:r>
        <w:rPr>
          <w:rFonts w:ascii="Times New Roman" w:hAnsi="Times New Roman"/>
          <w:b/>
          <w:sz w:val="24"/>
          <w:szCs w:val="24"/>
          <w:highlight w:val="white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clear" w:pos="992" w:leader="none"/>
          <w:tab w:val="num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Информировать Заказчика об изменении сроков обучения не позднее, чем за 3 (три) календарных дня до начала занятий.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2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clear" w:pos="992" w:leader="none"/>
          <w:tab w:val="num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Сообщать Заказчику по его требованию все сведения о ходе выполнения Обучающимся учебного плана программы.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5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Заказчик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обязан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8"/>
        <w:numPr>
          <w:ilvl w:val="1"/>
          <w:numId w:val="33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clear" w:pos="992" w:leader="none"/>
          <w:tab w:val="num" w:pos="1134" w:leader="none"/>
        </w:tabs>
        <w:rPr>
          <w:rFonts w:ascii="Times New Roman" w:hAnsi="Times New Roman"/>
          <w:b/>
          <w:sz w:val="24"/>
          <w:szCs w:val="24"/>
          <w:highlight w:val="white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Своевременно вносить плату за предоставляемые Обучающемуся образовательные услуги, указанные в разделе 1 Контракта, в размере и порядке, определенные настоящим Контракто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м, а также предоставлять платежные документы, подтверждающие такую оплату.</w:t>
      </w:r>
      <w:r>
        <w:rPr>
          <w:rFonts w:ascii="Times New Roman" w:hAnsi="Times New Roman"/>
          <w:b/>
          <w:sz w:val="24"/>
          <w:szCs w:val="24"/>
          <w:highlight w:val="white"/>
        </w:rPr>
      </w:r>
      <w:r>
        <w:rPr>
          <w:rFonts w:ascii="Times New Roman" w:hAnsi="Times New Roman"/>
          <w:b/>
          <w:sz w:val="24"/>
          <w:szCs w:val="24"/>
          <w:highlight w:val="white"/>
        </w:rPr>
      </w:r>
    </w:p>
    <w:p>
      <w:pPr>
        <w:pStyle w:val="968"/>
        <w:numPr>
          <w:ilvl w:val="1"/>
          <w:numId w:val="33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clear" w:pos="992" w:leader="none"/>
          <w:tab w:val="num" w:pos="1134" w:leader="none"/>
        </w:tabs>
        <w:rPr>
          <w:rFonts w:ascii="Times New Roman" w:hAnsi="Times New Roman"/>
          <w:b/>
          <w:sz w:val="24"/>
          <w:szCs w:val="24"/>
          <w:highlight w:val="white"/>
        </w:rPr>
        <w:outlineLvl w:val="1"/>
      </w:pP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Рассмотреть и подписать 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УПД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, представленный Исполнителем в соответствии с п. 3.4.6 настоящего Контракта, в течение 10 (десяти) рабочих дней с момента его получения и возвратить один экземпляр Исполнителю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.</w:t>
      </w:r>
      <w:r>
        <w:rPr>
          <w:rFonts w:ascii="Times New Roman" w:hAnsi="Times New Roman"/>
          <w:b/>
          <w:sz w:val="24"/>
          <w:szCs w:val="24"/>
          <w:highlight w:val="white"/>
        </w:rPr>
      </w:r>
      <w:r>
        <w:rPr>
          <w:rFonts w:ascii="Times New Roman" w:hAnsi="Times New Roman"/>
          <w:b/>
          <w:sz w:val="24"/>
          <w:szCs w:val="24"/>
          <w:highlight w:val="white"/>
        </w:rPr>
      </w:r>
    </w:p>
    <w:p>
      <w:pPr>
        <w:pStyle w:val="968"/>
        <w:numPr>
          <w:ilvl w:val="1"/>
          <w:numId w:val="5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Обучающийся обязан соблюдать требования, установленные в </w:t>
      </w:r>
      <w:hyperlink r:id="rId13" w:tooltip="consultantplus://offline/ref=86DD3AFC91B43B35B10D19A69FC4F0D092A142AD68463121B0FD4592ED4DDBFE6E1BDA897DC941FEm6M5M" w:history="1">
        <w:r>
          <w:rPr>
            <w:rFonts w:ascii="Times New Roman" w:hAnsi="Times New Roman"/>
            <w:sz w:val="24"/>
            <w:szCs w:val="24"/>
            <w:lang w:val="ru-RU"/>
          </w:rPr>
          <w:t xml:space="preserve">статье 43</w:t>
        </w:r>
      </w:hyperlink>
      <w:r>
        <w:rPr>
          <w:rFonts w:ascii="Times New Roman" w:hAnsi="Times New Roman"/>
          <w:sz w:val="24"/>
          <w:szCs w:val="24"/>
          <w:lang w:val="ru-RU"/>
        </w:rPr>
        <w:t xml:space="preserve"> Федерального закона от 29 декабря 2012 г. № 273 - ФЗ «Об образовании в Российской Федерации», в том числе: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4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Выполнять задания для подготовки к занятиям, предусмотренным Учебным планом (Приложение № 3 к Контракту), в том числе индивидуальным.</w:t>
      </w:r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4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/>
          <w:b/>
          <w:sz w:val="24"/>
          <w:szCs w:val="24"/>
          <w:lang w:val="ru-RU"/>
        </w:rPr>
        <w:outlineLvl w:val="1"/>
      </w:pPr>
      <w:r>
        <w:rPr>
          <w:rFonts w:ascii="Times New Roman" w:hAnsi="Times New Roman"/>
          <w:sz w:val="24"/>
          <w:szCs w:val="24"/>
          <w:lang w:val="ru-RU"/>
        </w:rPr>
        <w:t xml:space="preserve">Обучаться в организации по образовательной программе с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  <w:lang w:val="ru-RU"/>
        </w:rPr>
        <w:t xml:space="preserve">соблюдением требований, установленных учебным планом, учредительными документами, правилами внутреннего распорядка и иными локальными нормативными актами Исполнителя.</w:t>
      </w:r>
      <w:bookmarkStart w:id="3" w:name="Par130"/>
      <w:r/>
      <w:bookmarkEnd w:id="3"/>
      <w:r>
        <w:rPr>
          <w:rFonts w:ascii="Times New Roman" w:hAnsi="Times New Roman"/>
          <w:b/>
          <w:sz w:val="24"/>
          <w:szCs w:val="24"/>
          <w:lang w:val="ru-RU"/>
        </w:rPr>
      </w:r>
      <w:r>
        <w:rPr>
          <w:rFonts w:ascii="Times New Roman" w:hAnsi="Times New Roman"/>
          <w:b/>
          <w:sz w:val="24"/>
          <w:szCs w:val="24"/>
          <w:lang w:val="ru-RU"/>
        </w:rPr>
      </w:r>
    </w:p>
    <w:p>
      <w:pPr>
        <w:pStyle w:val="968"/>
        <w:numPr>
          <w:ilvl w:val="1"/>
          <w:numId w:val="34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/>
          <w:sz w:val="24"/>
          <w:szCs w:val="24"/>
          <w:highlight w:val="white"/>
        </w:rPr>
        <w:outlineLvl w:val="1"/>
      </w:pP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Обучающийся обязан п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ередать Согласие на обработку персональных данных для целей обучения и выдачи установленных документов, а также для передачи р</w:t>
      </w:r>
      <w:r>
        <w:rPr>
          <w:rFonts w:ascii="Times New Roman" w:hAnsi="Times New Roman"/>
          <w:sz w:val="24"/>
          <w:szCs w:val="24"/>
          <w:highlight w:val="white"/>
          <w:lang w:val="ru-RU"/>
        </w:rPr>
        <w:t xml:space="preserve">езультатов обучения в ФИС ФРДО не позднее 1 дня до начала обучения. В случае отсутствия Согласия Обучающегося на обработку персональных данных идентификация Обучающегося невозможна, следовательно Исполнитель не приступает к оказанию услуг по вине Заказчика</w:t>
      </w:r>
      <w:r>
        <w:rPr>
          <w:rFonts w:ascii="Times New Roman" w:hAnsi="Times New Roman"/>
          <w:sz w:val="24"/>
          <w:szCs w:val="24"/>
          <w:highlight w:val="white"/>
        </w:rPr>
      </w:r>
      <w:r>
        <w:rPr>
          <w:rFonts w:ascii="Times New Roman" w:hAnsi="Times New Roman"/>
          <w:sz w:val="24"/>
          <w:szCs w:val="24"/>
          <w:highlight w:val="white"/>
        </w:rPr>
      </w:r>
    </w:p>
    <w:p>
      <w:pPr>
        <w:ind w:firstLine="567"/>
        <w:jc w:val="both"/>
        <w:shd w:val="clear" w:color="auto" w:fill="ffffff"/>
        <w:rPr>
          <w:rFonts w:eastAsia="Calibri"/>
          <w:highlight w:val="white"/>
        </w:rPr>
      </w:pPr>
      <w:r>
        <w:rPr>
          <w:rFonts w:eastAsia="Calibri"/>
          <w:highlight w:val="white"/>
        </w:rPr>
      </w:r>
      <w:r>
        <w:rPr>
          <w:rFonts w:eastAsia="Calibri"/>
          <w:highlight w:val="white"/>
        </w:rPr>
      </w:r>
      <w:r>
        <w:rPr>
          <w:rFonts w:eastAsia="Calibri"/>
          <w:highlight w:val="white"/>
        </w:rPr>
      </w:r>
    </w:p>
    <w:p>
      <w:pPr>
        <w:numPr>
          <w:ilvl w:val="0"/>
          <w:numId w:val="21"/>
        </w:numPr>
        <w:jc w:val="center"/>
        <w:shd w:val="clear" w:color="auto" w:fill="ffffff"/>
        <w:tabs>
          <w:tab w:val="left" w:pos="426" w:leader="none"/>
        </w:tabs>
        <w:rPr>
          <w:b/>
          <w:bCs/>
        </w:rPr>
      </w:pPr>
      <w:r>
        <w:rPr>
          <w:b/>
          <w:bCs/>
        </w:rPr>
        <w:t xml:space="preserve">Порядок сдачи и приемки оказанных Услуг</w:t>
      </w:r>
      <w:r>
        <w:rPr>
          <w:b/>
          <w:bCs/>
        </w:rPr>
      </w:r>
      <w:r>
        <w:rPr>
          <w:b/>
          <w:bCs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После оказания услуг по Контракту Исполнитель предоставляет Заказчику счет и 2 (два) экземпляр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а 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УПД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,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 в с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роки</w:t>
      </w:r>
      <w:r>
        <w:rPr>
          <w:rFonts w:ascii="Times New Roman" w:hAnsi="Times New Roman" w:eastAsia="Calibri"/>
          <w:spacing w:val="-2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указанные в п.3.4.6 настоящего Контракта.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Заказчик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 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подписывает 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УПД</w:t>
      </w:r>
      <w:r>
        <w:rPr>
          <w:rFonts w:ascii="Times New Roman" w:hAnsi="Times New Roman" w:eastAsia="Calibri"/>
          <w:sz w:val="24"/>
          <w:szCs w:val="24"/>
          <w:highlight w:val="white"/>
          <w:lang w:val="ru-RU"/>
        </w:rPr>
        <w:t xml:space="preserve"> 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в течение 1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0 (десяти) рабочих дней с момента его получения. При наличии замечаний и претензий к оказанным услугам Заказчик направляет Исполнителю мотивированный отказ от приемки оказанных услуг в письменном виде в течение 10 (десяти) рабочих дней с момента получения 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УПД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. Заказчиком в мотивированном отказе от приемки оказанных Услуг указывается перечень замечаний и претензий к оказанным Услугам и сроки их устранения. </w:t>
      </w:r>
      <w:r>
        <w:rPr>
          <w:rFonts w:ascii="Times New Roman" w:hAnsi="Times New Roman" w:eastAsia="Calibri"/>
          <w:spacing w:val="-4"/>
          <w:sz w:val="24"/>
          <w:szCs w:val="24"/>
          <w:lang w:val="ru-RU"/>
        </w:rPr>
        <w:t xml:space="preserve">Замечания и претензии устраняются Исполнителем за свой счет в сроки, установленные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 Заказчиком.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/>
          <w:spacing w:val="-2"/>
          <w:sz w:val="24"/>
          <w:szCs w:val="24"/>
          <w:lang w:val="ru-RU"/>
        </w:rPr>
      </w:pPr>
      <w:r>
        <w:rPr>
          <w:rFonts w:ascii="Times New Roman" w:hAnsi="Times New Roman" w:eastAsia="Calibri"/>
          <w:spacing w:val="-2"/>
          <w:sz w:val="24"/>
          <w:szCs w:val="24"/>
          <w:lang w:val="ru-RU"/>
        </w:rPr>
        <w:t xml:space="preserve">Ус</w:t>
      </w:r>
      <w:r>
        <w:rPr>
          <w:rFonts w:ascii="Times New Roman" w:hAnsi="Times New Roman" w:eastAsia="Calibri"/>
          <w:spacing w:val="-2"/>
          <w:sz w:val="24"/>
          <w:szCs w:val="24"/>
          <w:lang w:val="ru-RU"/>
        </w:rPr>
        <w:t xml:space="preserve">транение недостатков является обязательным для Исполнителя и необходимым условием для проведения повторной приемки оказанных Услуг Заказчиком. Любая повторная приемка Заказчиком оказанных Услуг производится в порядке, предусмотренном разделом 4 Контракта. </w:t>
      </w:r>
      <w:r>
        <w:rPr>
          <w:rFonts w:ascii="Times New Roman" w:hAnsi="Times New Roman" w:eastAsia="Calibri"/>
          <w:spacing w:val="-2"/>
          <w:sz w:val="24"/>
          <w:szCs w:val="24"/>
          <w:lang w:val="ru-RU"/>
        </w:rPr>
      </w:r>
      <w:r>
        <w:rPr>
          <w:rFonts w:ascii="Times New Roman" w:hAnsi="Times New Roman" w:eastAsia="Calibri"/>
          <w:spacing w:val="-2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widowControl w:val="o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Если Заказчик не возвратил Исполнителю подписанный экземпляр 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УПД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 в течение 10 (десяти) рабочих дней, при отсутствии мотивированного отказа от приемки оказанных услуг от Заказчика, обязанности Исполнителя по настоящему Контракту считаются полностью выполненными.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widowControl w:val="o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Для проверки предоставленных Исполнителем результатов, предусмотренных настоящим Контрактом, в части их соответствия условиям настоящего Контракта Заказчик проводит экспертизу.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Экспертиза резуль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татов, предусмотренных настоящим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shd w:val="clear" w:color="auto" w:fill="ffffff"/>
        <w:tabs>
          <w:tab w:val="left" w:pos="426" w:leader="none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Антикоррупционная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оговорка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ind w:firstLine="567"/>
        <w:jc w:val="both"/>
        <w:shd w:val="clear" w:color="auto" w:fill="ffffff"/>
        <w:tabs>
          <w:tab w:val="left" w:pos="1134" w:leader="none"/>
        </w:tabs>
        <w:rPr>
          <w:spacing w:val="-5"/>
        </w:rPr>
      </w:pPr>
      <w:r>
        <w:rPr>
          <w:spacing w:val="-5"/>
        </w:rPr>
        <w:t xml:space="preserve">Во исполнение Федерального закона от 25.12.2008 № 273-ФЗ «О противодействии коррупции»: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644" w:leader="none"/>
          <w:tab w:val="left" w:pos="1134" w:leader="none"/>
        </w:tabs>
        <w:rPr>
          <w:spacing w:val="-5"/>
        </w:rPr>
      </w:pPr>
      <w:r>
        <w:rPr>
          <w:spacing w:val="-5"/>
        </w:rPr>
        <w:t xml:space="preserve">Стороны К</w:t>
      </w:r>
      <w:r>
        <w:rPr>
          <w:spacing w:val="-5"/>
        </w:rPr>
        <w:t xml:space="preserve">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644" w:leader="none"/>
          <w:tab w:val="left" w:pos="1134" w:leader="none"/>
        </w:tabs>
        <w:rPr>
          <w:spacing w:val="-5"/>
        </w:rPr>
      </w:pPr>
      <w:r>
        <w:rPr>
          <w:spacing w:val="-5"/>
        </w:rPr>
        <w:t xml:space="preserve">При исполнении своих обязательств по настоящему Контракту Стороны, их аффилированные лица, работники или посредники не выплачивают, не пред</w:t>
      </w:r>
      <w:r>
        <w:rPr>
          <w:spacing w:val="-5"/>
        </w:rPr>
        <w:t xml:space="preserve">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644" w:leader="none"/>
          <w:tab w:val="left" w:pos="1134" w:leader="none"/>
        </w:tabs>
        <w:rPr>
          <w:spacing w:val="-5"/>
        </w:rPr>
      </w:pPr>
      <w:r>
        <w:rPr>
          <w:spacing w:val="-5"/>
        </w:rPr>
        <w:t xml:space="preserve"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</w:t>
      </w:r>
      <w:r>
        <w:rPr>
          <w:spacing w:val="-5"/>
        </w:rPr>
        <w:t xml:space="preserve">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644" w:leader="none"/>
          <w:tab w:val="left" w:pos="1134" w:leader="none"/>
        </w:tabs>
        <w:rPr>
          <w:spacing w:val="-5"/>
        </w:rPr>
      </w:pPr>
      <w:r>
        <w:rPr>
          <w:spacing w:val="-5"/>
        </w:rPr>
        <w:t xml:space="preserve">В случае возникновения у Стороны подозрений, ч</w:t>
      </w:r>
      <w:r>
        <w:rPr>
          <w:spacing w:val="-5"/>
        </w:rPr>
        <w:t xml:space="preserve">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</w:t>
      </w:r>
      <w:r>
        <w:rPr>
          <w:spacing w:val="-5"/>
        </w:rPr>
        <w:t xml:space="preserve">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644" w:leader="none"/>
          <w:tab w:val="left" w:pos="1134" w:leader="none"/>
        </w:tabs>
        <w:rPr>
          <w:spacing w:val="-5"/>
        </w:rPr>
      </w:pPr>
      <w:r>
        <w:rPr>
          <w:spacing w:val="-5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</w:t>
      </w:r>
      <w:r>
        <w:rPr>
          <w:spacing w:val="-5"/>
        </w:rPr>
        <w:t xml:space="preserve">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</w:t>
      </w:r>
      <w:r>
        <w:rPr>
          <w:spacing w:val="-5"/>
        </w:rPr>
        <w:t xml:space="preserve">законодательства и международных актов о противодействии легализации доходов, полученных преступным путем.</w:t>
      </w:r>
      <w:r>
        <w:rPr>
          <w:spacing w:val="-5"/>
        </w:rPr>
      </w:r>
      <w:r>
        <w:rPr>
          <w:spacing w:val="-5"/>
        </w:rPr>
      </w:r>
    </w:p>
    <w:p>
      <w:pPr>
        <w:numPr>
          <w:ilvl w:val="1"/>
          <w:numId w:val="37"/>
        </w:numPr>
        <w:ind w:left="0" w:firstLine="567"/>
        <w:jc w:val="both"/>
        <w:shd w:val="clear" w:color="auto" w:fill="ffffff"/>
        <w:tabs>
          <w:tab w:val="left" w:pos="1134" w:leader="none"/>
        </w:tabs>
        <w:rPr>
          <w:bCs/>
        </w:rPr>
      </w:pPr>
      <w:r>
        <w:rPr>
          <w:spacing w:val="-5"/>
        </w:rPr>
        <w:t xml:space="preserve">В случае нарушения одной Стороной обязательств воздерживаться от запрещенных в настоящем разделе Контракта действий и/или неполуч</w:t>
      </w:r>
      <w:r>
        <w:rPr>
          <w:spacing w:val="-5"/>
        </w:rPr>
        <w:t xml:space="preserve">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</w:t>
      </w:r>
      <w:r>
        <w:rPr>
          <w:spacing w:val="-5"/>
        </w:rPr>
        <w:t xml:space="preserve">законодательством.</w:t>
      </w:r>
      <w:r>
        <w:rPr>
          <w:bCs/>
        </w:rPr>
      </w:r>
      <w:r>
        <w:rPr>
          <w:bCs/>
        </w:rPr>
      </w:r>
    </w:p>
    <w:p>
      <w:pPr>
        <w:ind w:left="567"/>
        <w:jc w:val="both"/>
        <w:shd w:val="clear" w:color="auto" w:fill="ffffff"/>
        <w:tabs>
          <w:tab w:val="left" w:pos="1134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shd w:val="clear" w:color="auto" w:fill="ffff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действия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Контракта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2"/>
        <w:numPr>
          <w:ilvl w:val="1"/>
          <w:numId w:val="37"/>
        </w:numPr>
        <w:ind w:left="0" w:firstLine="567"/>
        <w:shd w:val="clear" w:color="auto" w:fill="ffffff"/>
        <w:tabs>
          <w:tab w:val="left" w:pos="1134" w:leader="none"/>
        </w:tabs>
        <w:rPr>
          <w:rFonts w:ascii="Times New Roman" w:hAnsi="Times New Roman"/>
          <w:b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Контракт вступает в силу с момента подписания его Сторонами и действует до выполнения ими своих обязательств, но не позднее 31.12.2026 г.</w:t>
      </w:r>
      <w:r>
        <w:rPr>
          <w:rFonts w:ascii="Times New Roman" w:hAnsi="Times New Roman"/>
          <w:b/>
          <w:spacing w:val="-5"/>
          <w:sz w:val="24"/>
          <w:szCs w:val="24"/>
        </w:rPr>
      </w:r>
      <w:r>
        <w:rPr>
          <w:rFonts w:ascii="Times New Roman" w:hAnsi="Times New Roman"/>
          <w:b/>
          <w:spacing w:val="-5"/>
          <w:sz w:val="24"/>
          <w:szCs w:val="24"/>
        </w:rPr>
      </w:r>
    </w:p>
    <w:p>
      <w:pPr>
        <w:pStyle w:val="962"/>
        <w:ind w:left="567"/>
        <w:shd w:val="clear" w:color="auto" w:fill="ffffff"/>
        <w:tabs>
          <w:tab w:val="left" w:pos="1134" w:leader="none"/>
        </w:tabs>
        <w:rPr>
          <w:rFonts w:ascii="Times New Roman" w:hAnsi="Times New Roman"/>
          <w:b/>
          <w:spacing w:val="-5"/>
          <w:sz w:val="24"/>
          <w:szCs w:val="24"/>
          <w:highlight w:val="yellow"/>
        </w:rPr>
      </w:pPr>
      <w:r>
        <w:rPr>
          <w:rFonts w:ascii="Times New Roman" w:hAnsi="Times New Roman"/>
          <w:b/>
          <w:spacing w:val="-5"/>
          <w:sz w:val="24"/>
          <w:szCs w:val="24"/>
          <w:highlight w:val="yellow"/>
        </w:rPr>
      </w:r>
      <w:r>
        <w:rPr>
          <w:rFonts w:ascii="Times New Roman" w:hAnsi="Times New Roman"/>
          <w:b/>
          <w:spacing w:val="-5"/>
          <w:sz w:val="24"/>
          <w:szCs w:val="24"/>
          <w:highlight w:val="yellow"/>
        </w:rPr>
      </w:r>
      <w:r>
        <w:rPr>
          <w:rFonts w:ascii="Times New Roman" w:hAnsi="Times New Roman"/>
          <w:b/>
          <w:spacing w:val="-5"/>
          <w:sz w:val="24"/>
          <w:szCs w:val="24"/>
          <w:highlight w:val="yellow"/>
        </w:rPr>
      </w:r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shd w:val="clear" w:color="auto" w:fill="ffff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Обстоятельства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непреодолимой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силы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2"/>
        <w:numPr>
          <w:ilvl w:val="1"/>
          <w:numId w:val="37"/>
        </w:numPr>
        <w:ind w:left="0" w:firstLine="567"/>
        <w:tabs>
          <w:tab w:val="left" w:pos="1134" w:leader="none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</w:t>
      </w:r>
      <w:r>
        <w:rPr>
          <w:rFonts w:ascii="Times New Roman" w:hAnsi="Times New Roman"/>
          <w:spacing w:val="-5"/>
          <w:sz w:val="24"/>
          <w:szCs w:val="24"/>
        </w:rPr>
        <w:br w:type="textWrapping" w:clear="all"/>
        <w:t xml:space="preserve">(форс-мажор), а именно: пожара, наводнения, землетрясения, войны, военных действий, блокады, эмбарго, общих забастовок, </w:t>
      </w:r>
      <w:r>
        <w:rPr>
          <w:rFonts w:ascii="Times New Roman" w:hAnsi="Times New Roman"/>
          <w:spacing w:val="-5"/>
          <w:sz w:val="24"/>
          <w:szCs w:val="24"/>
        </w:rPr>
        <w:t xml:space="preserve">и</w:t>
      </w:r>
      <w:r>
        <w:rPr>
          <w:rFonts w:ascii="Times New Roman" w:hAnsi="Times New Roman"/>
          <w:spacing w:val="-5"/>
          <w:sz w:val="24"/>
          <w:szCs w:val="24"/>
        </w:rPr>
        <w:t xml:space="preserve"> если эти обстоятельства непосредственно повлияли на исполнение Контракта.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962"/>
        <w:numPr>
          <w:ilvl w:val="1"/>
          <w:numId w:val="37"/>
        </w:numPr>
        <w:ind w:left="0" w:firstLine="567"/>
        <w:tabs>
          <w:tab w:val="left" w:pos="1134" w:leader="none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Сторона, для которой создалась невозможность выполнения обязательст</w:t>
      </w:r>
      <w:r>
        <w:rPr>
          <w:rFonts w:ascii="Times New Roman" w:hAnsi="Times New Roman"/>
          <w:spacing w:val="-5"/>
          <w:sz w:val="24"/>
          <w:szCs w:val="24"/>
        </w:rPr>
        <w:t xml:space="preserve">в по Контракту, обязана немедленно, в течение 3 (Трех) дней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962"/>
        <w:numPr>
          <w:ilvl w:val="1"/>
          <w:numId w:val="37"/>
        </w:numPr>
        <w:ind w:left="0" w:firstLine="567"/>
        <w:tabs>
          <w:tab w:val="left" w:pos="1134" w:leader="none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962"/>
        <w:numPr>
          <w:ilvl w:val="1"/>
          <w:numId w:val="37"/>
        </w:numPr>
        <w:ind w:left="0" w:firstLine="567"/>
        <w:shd w:val="clear" w:color="auto" w:fill="ffff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shd w:val="clear" w:color="auto" w:fill="ffff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Гарантии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Исполнитель гарантирует качество оказания всех Услуг в соответствии с условиями настоящего Контракта в течение всего срока оказания услуг.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240" w:lineRule="auto"/>
        <w:shd w:val="clear" w:color="auto" w:fill="ffffff"/>
        <w:tabs>
          <w:tab w:val="left" w:pos="4195" w:leader="none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</w:r>
      <w:r>
        <w:rPr>
          <w:rFonts w:ascii="Times New Roman" w:hAnsi="Times New Roman"/>
          <w:sz w:val="24"/>
          <w:szCs w:val="24"/>
          <w:lang w:val="ru-RU"/>
        </w:rPr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Изменение</w:t>
      </w:r>
      <w:r>
        <w:rPr>
          <w:rFonts w:ascii="Times New Roman" w:hAnsi="Times New Roman"/>
          <w:b/>
          <w:sz w:val="24"/>
          <w:szCs w:val="24"/>
        </w:rPr>
        <w:t xml:space="preserve"> и </w:t>
      </w:r>
      <w:r>
        <w:rPr>
          <w:rFonts w:ascii="Times New Roman" w:hAnsi="Times New Roman"/>
          <w:b/>
          <w:sz w:val="24"/>
          <w:szCs w:val="24"/>
        </w:rPr>
        <w:t xml:space="preserve">расторжение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контракта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Cambria"/>
          <w:sz w:val="24"/>
          <w:szCs w:val="24"/>
          <w:lang w:val="ru-RU"/>
        </w:rPr>
      </w:pPr>
      <w:r>
        <w:rPr>
          <w:rFonts w:ascii="Times New Roman" w:hAnsi="Times New Roman" w:eastAsia="Cambria"/>
          <w:sz w:val="24"/>
          <w:szCs w:val="24"/>
          <w:lang w:val="ru-RU"/>
        </w:rPr>
        <w:t xml:space="preserve">Изменение существенных условий настоящего Контракта при его исполнении не допускается.</w:t>
      </w:r>
      <w:r>
        <w:rPr>
          <w:rFonts w:ascii="Times New Roman" w:hAnsi="Times New Roman" w:eastAsia="Cambria"/>
          <w:sz w:val="24"/>
          <w:szCs w:val="24"/>
          <w:lang w:val="ru-RU"/>
        </w:rPr>
      </w:r>
      <w:r>
        <w:rPr>
          <w:rFonts w:ascii="Times New Roman" w:hAnsi="Times New Roman" w:eastAsia="Cambria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Расторжение настоящего Контракта допускается по соглашению сторон, по решению суда, в случае одностороннего отказа Стороны по настоящему Контракту от исполнения Контракта в соответствии с Гражданским Кодексом Российской Федерации.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Настоящий Контракт может быть расторгнут в одностороннем порядке по инициативе Исполнителя в случаях: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84"/>
        <w:numPr>
          <w:ilvl w:val="2"/>
          <w:numId w:val="37"/>
        </w:numPr>
        <w:ind w:left="0" w:firstLine="567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eastAsia="Calibri"/>
        </w:rPr>
      </w:pPr>
      <w:r>
        <w:rPr>
          <w:rFonts w:eastAsia="Calibri"/>
        </w:rPr>
        <w:t xml:space="preserve">Применения к Слушателю отчисления как меры дисциплинарного взыскания;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68"/>
        <w:numPr>
          <w:ilvl w:val="2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Невыполнения Слушателем обязанностей по добросовестному освоению образовательной программы и выполнению учебного и (или) индивидуального учебного плана;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2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  <w:tab w:val="left" w:pos="1276" w:leader="none"/>
          <w:tab w:val="left" w:pos="1418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Установления нарушения порядка приема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, повлекшего по вине Слушателя его незаконное зачисление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;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2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Просрочки оплаты стоимости образовательной услуги (при неоплате Заказчиком стоимости образовательной услуги Исполнителя по истечение сроков, установленных в разделе 2 Контракта);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2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  <w:tab w:val="left" w:pos="1418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Если надлежащее исполнение обязательства по оказанию образовательной услуги стало невозможным вследствие действий (бездействия) Слушателя.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Действие настоящего Контракта прекращается досрочно по обстоятельствам, не зависящим от воли Слушателя и Исполнителя, в том числе в случае ликвидации Исполнителя.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2"/>
          <w:numId w:val="37"/>
        </w:numPr>
        <w:contextualSpacing w:val="0"/>
        <w:ind w:left="0" w:firstLine="567"/>
        <w:jc w:val="both"/>
        <w:spacing w:after="0" w:line="240" w:lineRule="auto"/>
        <w:tabs>
          <w:tab w:val="left" w:pos="1134" w:leader="none"/>
          <w:tab w:val="left" w:pos="1418" w:leader="none"/>
        </w:tabs>
        <w:rPr>
          <w:rFonts w:ascii="Times New Roman" w:hAnsi="Times New Roman" w:eastAsia="Calibri"/>
          <w:sz w:val="24"/>
          <w:szCs w:val="24"/>
          <w:lang w:val="ru-RU"/>
        </w:rPr>
      </w:pPr>
      <w:r>
        <w:rPr>
          <w:rFonts w:ascii="Times New Roman" w:hAnsi="Times New Roman" w:eastAsia="Calibri"/>
          <w:sz w:val="24"/>
          <w:szCs w:val="24"/>
          <w:lang w:val="ru-RU"/>
        </w:rPr>
        <w:t xml:space="preserve">Настоящий Контракт расторгается на основании распорядительного акта Исполнителя об отчислении Слушателя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. Права и обязанности Слушателя по настоящему Контракту прекращаются с даты его отчисления</w:t>
      </w:r>
      <w:r>
        <w:rPr>
          <w:rFonts w:ascii="Times New Roman" w:hAnsi="Times New Roman" w:eastAsia="Calibri"/>
          <w:sz w:val="24"/>
          <w:szCs w:val="24"/>
          <w:lang w:val="ru-RU"/>
        </w:rPr>
        <w:t xml:space="preserve">. </w:t>
      </w:r>
      <w:r>
        <w:rPr>
          <w:rFonts w:ascii="Times New Roman" w:hAnsi="Times New Roman" w:eastAsia="Calibri"/>
          <w:sz w:val="24"/>
          <w:szCs w:val="24"/>
          <w:lang w:val="ru-RU"/>
        </w:rPr>
      </w:r>
      <w:r>
        <w:rPr>
          <w:rFonts w:ascii="Times New Roman" w:hAnsi="Times New Roman" w:eastAsia="Calibri"/>
          <w:sz w:val="24"/>
          <w:szCs w:val="24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8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Исполнитель вправе отказаться от исполнения обязательств по настоящему Контракту при условии полного возмещения Заказчику убытков.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8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Заказчик вправе отказаться от исполнения настоящего Контракта при условии оплаты Исполнителю фактически понесенных им расходов, связанных с исполнением обязательств по настоящему Контракту.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8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Решение Заказчика об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настоящего Контракта вступает в силу и Контракт считается расторгнутым через 10 (десять) дней с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даты надлежащего уведомления Заказчиком Исполнитель об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настоящего Контракта.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8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Заказчик обязан отменить не вступившее в силу решение об одностороннем отказе от исполнения настоящего Контракта, если в течение десятидневного срока с даты надлежащего уведомления И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сполнитель о принятом решении об одностороннем отказе от исполнения настоящего Контракта устранено нарушение условий настоящего Контракта, послужившее основанием для принятия указанного решения, а также Заказчику компенсированы затраты на проведение экспер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тизы. Данное правило не применяется в случае повторного нарушения Исполнителем условий Контракта, которые в соответствии с Гражданским Кодексом Российской Федерации является основанием для одностороннего отказа Заказчика от исполнения настоящего Контракта.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numPr>
          <w:ilvl w:val="1"/>
          <w:numId w:val="37"/>
        </w:numPr>
        <w:contextualSpacing w:val="0"/>
        <w:ind w:left="0" w:firstLine="567"/>
        <w:jc w:val="both"/>
        <w:spacing w:after="0" w:line="280" w:lineRule="exac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Информация об Исполнителе, с которым настоящий Контракт был расторгнут в связи с односторонним отказом Заказчика от исполнения настоящего Контракта, включается в установленном порядке в реестр недобросовестных поставщиков (подрядчиков, исполнителей).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709"/>
        <w:jc w:val="both"/>
        <w:spacing w:after="0" w:line="280" w:lineRule="exac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numPr>
          <w:ilvl w:val="0"/>
          <w:numId w:val="37"/>
        </w:numPr>
        <w:jc w:val="center"/>
        <w:shd w:val="clear" w:color="auto" w:fill="ffffff"/>
        <w:tabs>
          <w:tab w:val="left" w:pos="360" w:leader="none"/>
        </w:tabs>
        <w:rPr>
          <w:b/>
          <w:spacing w:val="-5"/>
        </w:rPr>
      </w:pPr>
      <w:r>
        <w:rPr>
          <w:b/>
          <w:spacing w:val="-5"/>
        </w:rPr>
        <w:t xml:space="preserve">Ответственность Сторон</w:t>
      </w:r>
      <w:r>
        <w:rPr>
          <w:b/>
          <w:spacing w:val="-5"/>
        </w:rPr>
      </w:r>
      <w:r>
        <w:rPr>
          <w:b/>
          <w:spacing w:val="-5"/>
        </w:rPr>
      </w:r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10.1. </w:t>
      </w:r>
      <w:r>
        <w:tab/>
        <w:t xml:space="preserve"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Сторона освобождается от уплаты неустоек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10.2. </w:t>
      </w:r>
      <w:r>
        <w:tab/>
        <w:t xml:space="preserve">В случае </w:t>
      </w:r>
      <w:r>
        <w:t xml:space="preserve">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10.3. </w:t>
      </w:r>
      <w:r>
        <w:tab/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</w:t>
      </w:r>
      <w: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10.4. </w:t>
      </w:r>
      <w:r>
        <w:tab/>
        <w:t xml:space="preserve">Штрафы начисляются за неисполнение и (или)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10.4.1. Размер штрафа по каждому факту неисполнения и (или) ненадлежащего исполнения Заказчиком обязательств, предусмотренных Контрактом, за исключением просрочки исполнения обязательств, пре</w:t>
      </w:r>
      <w:r>
        <w:t xml:space="preserve">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</w:t>
      </w:r>
      <w:r>
        <w:t xml:space="preserve">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</w:t>
      </w:r>
      <w:r>
        <w:t xml:space="preserve">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 в следующем порядке:</w:t>
      </w:r>
      <w:r/>
    </w:p>
    <w:p>
      <w:pPr>
        <w:ind w:firstLine="567"/>
        <w:jc w:val="both"/>
        <w:widowControl w:val="off"/>
        <w:tabs>
          <w:tab w:val="left" w:pos="1134" w:leader="none"/>
          <w:tab w:val="left" w:pos="5670" w:leader="none"/>
        </w:tabs>
      </w:pPr>
      <w:r>
        <w:t xml:space="preserve">а) 1 000,00 рублей, если цена Контракта не превышает 3 млн. рублей (включительно).</w:t>
      </w:r>
      <w:r/>
    </w:p>
    <w:p>
      <w:pPr>
        <w:ind w:firstLine="567"/>
        <w:jc w:val="both"/>
        <w:tabs>
          <w:tab w:val="left" w:pos="1134" w:leader="none"/>
        </w:tabs>
      </w:pPr>
      <w:r>
        <w:t xml:space="preserve">10.5. </w:t>
      </w:r>
      <w:r>
        <w:tab/>
        <w:t xml:space="preserve">В случае просрочки исполнения Исполнителем обязательств (в том числе </w:t>
      </w:r>
      <w: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/>
      <w:bookmarkStart w:id="4" w:name="_Ref83935293"/>
      <w:r>
        <w:t xml:space="preserve">10.6. </w:t>
      </w:r>
      <w:r>
        <w:tab/>
        <w:t xml:space="preserve">Пеня начисляется за каждый день просрочки исполнения Исполнителем обязательства, предусмотренного Контрактом, начиная со дня следующего за днем истечения установленного Контрактом срока исполнения обязательства, в р</w:t>
      </w:r>
      <w:r>
        <w:t xml:space="preserve">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  <w:bookmarkEnd w:id="4"/>
      <w:r/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10.7. </w:t>
      </w:r>
      <w:r>
        <w:tab/>
        <w:t xml:space="preserve"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/>
      <w:bookmarkStart w:id="5" w:name="_Ref492981817"/>
      <w:r/>
      <w:bookmarkStart w:id="6" w:name="_Hlk56505674"/>
      <w:r/>
      <w:bookmarkEnd w:id="5"/>
      <w:r>
        <w:t xml:space="preserve">10.7.1. За каждый факт неисполнения или ненадлежащего исполн</w:t>
      </w:r>
      <w:r>
        <w:t xml:space="preserve">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а) 10 процентов цены контракта (этапа) в случае, если цена контракта (этапа) не превышает </w:t>
      </w:r>
      <w:r>
        <w:br w:type="textWrapping" w:clear="all"/>
        <w:t xml:space="preserve">3 млн. рублей.</w:t>
      </w:r>
      <w:bookmarkEnd w:id="6"/>
      <w:r/>
      <w:r/>
    </w:p>
    <w:p>
      <w:pPr>
        <w:ind w:firstLine="567"/>
        <w:jc w:val="both"/>
        <w:widowControl w:val="off"/>
        <w:tabs>
          <w:tab w:val="left" w:pos="1134" w:leader="none"/>
        </w:tabs>
      </w:pPr>
      <w:r/>
      <w:bookmarkStart w:id="7" w:name="_Ref492996654"/>
      <w:r/>
      <w:bookmarkEnd w:id="7"/>
      <w:r>
        <w:t xml:space="preserve">10.7.2. Размер штрафа по каждому факту неис</w:t>
      </w:r>
      <w:r>
        <w:t xml:space="preserve">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а) 1 000,00 рублей, если цена Контракта не превышает 3 млн. рублей.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>
        <w:t xml:space="preserve">10.8. </w:t>
      </w:r>
      <w:r>
        <w:tab/>
        <w:t xml:space="preserve"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r/>
    </w:p>
    <w:p>
      <w:pPr>
        <w:ind w:firstLine="567"/>
        <w:jc w:val="both"/>
        <w:widowControl w:val="off"/>
        <w:tabs>
          <w:tab w:val="left" w:pos="1134" w:leader="none"/>
        </w:tabs>
      </w:pPr>
      <w:r/>
      <w:r/>
    </w:p>
    <w:p>
      <w:pPr>
        <w:pStyle w:val="968"/>
        <w:numPr>
          <w:ilvl w:val="0"/>
          <w:numId w:val="37"/>
        </w:numPr>
        <w:contextualSpacing w:val="0"/>
        <w:ind w:left="0" w:firstLine="0"/>
        <w:jc w:val="center"/>
        <w:spacing w:after="0" w:line="240" w:lineRule="auto"/>
        <w:shd w:val="clear" w:color="auto" w:fill="ffffff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условия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11.1. Все приложения, дополнения и изменения к настоящему Контракту являются его неотъемлемой частью и имеют силу, если они выполнены в письменной форме и подписаны уполномоченными представителями Сторон.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11.2.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Во всем, что не предусмотрено настоящим Контрактом, Стороны руководствуются действующим законодательством Российской Федерации.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11.3.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Ни одна из Сторон не вправе передавать свои права и обязанности по настоящему Контракту третьим лицам без письменного согласия другой Стороны.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11.4.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 случае изменения места нахождения, фактических адресов, банковских реквизитов Сторона обязана сообщить об этом письменно другой Стороне в течение 3 (трех) рабочих дней.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11.5.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Все изменения и дополнения к Контракту совершаются в письменной форме в виде дополнительных соглашений к Контракту. Дополнительные соглашения заключаются в случаях, предусмотренных действующим законодательством Российской Федерации.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11.6.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Все споры и разногласия, возникающие в связи с исполнением Контракта, по которым Стороны не достигли договоренности, передаются на рассмотрение в Арбитражный суд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г. Санкт - Петербурга и Ленинградской области в соответствии с действующим законодательством Российской Федерации.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11.7.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При заключении настоящего Контракта Исполнитель подтверждает свое соответствие требованиям, установленным в части 1 статьи 31 Федерального закона от 05.04.2013 № 44-ФЗ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  <w:t xml:space="preserve">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11.8.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Настоящий Контракт составлен в форме электронного документа, подписанного усиленными электронными подписями Сторон.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11.9.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Неотъемлемой частью настоящего Контракта являются следующие Приложения: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- Приложение № 1 - Расчет стоимости Услуг;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- Приложение № 2 - Список слушателей;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- Приложение № 3 – Учебный план.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pStyle w:val="968"/>
        <w:contextualSpacing w:val="0"/>
        <w:ind w:left="0" w:firstLine="567"/>
        <w:jc w:val="both"/>
        <w:spacing w:after="0" w:line="300" w:lineRule="exact"/>
        <w:tabs>
          <w:tab w:val="left" w:pos="1134" w:leader="none"/>
        </w:tabs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  <w:spacing w:val="-12"/>
        </w:rPr>
        <w:t xml:space="preserve">12.  Адреса, банковские реквизиты и подписи Сторон</w:t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500"/>
        <w:gridCol w:w="4565"/>
      </w:tblGrid>
      <w:tr>
        <w:tblPrEx/>
        <w:trPr>
          <w:trHeight w:val="218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500" w:type="dxa"/>
            <w:textDirection w:val="lrTb"/>
            <w:noWrap w:val="false"/>
          </w:tcPr>
          <w:p>
            <w:pPr>
              <w:pStyle w:val="802"/>
              <w:widowControl w:val="off"/>
              <w:rPr>
                <w:b/>
                <w:sz w:val="23"/>
                <w:szCs w:val="23"/>
              </w:rPr>
            </w:pPr>
            <w:r>
              <w:rPr>
                <w:b/>
                <w:sz w:val="24"/>
                <w:szCs w:val="24"/>
              </w:rPr>
              <w:t xml:space="preserve">Заказчик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ind w:right="9"/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Государственное казенное учреждение Ленинградской области «Региональный мониторинговый центр» (ГКУ ЛО «РМЦ»)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9"/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Юридический адрес: </w:t>
            </w:r>
            <w:r>
              <w:rPr>
                <w:color w:val="000000" w:themeColor="text1"/>
              </w:rPr>
              <w:t xml:space="preserve">187342,</w:t>
            </w:r>
            <w:r>
              <w:t xml:space="preserve"> Ленинградская область, г. Кировск, улица Магистральная, д.48г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Банковские реквизиты: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ИНН 4706034231, КПП 470601001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Лицевой счет получателя бюджетных средств </w:t>
            </w:r>
            <w:r>
              <w:br/>
              <w:t xml:space="preserve">№ 021J2972010 в Комитете финансов Ленинградской области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Казначейский счет: 03221643410000004500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9"/>
              <w:shd w:val="clear" w:color="auto" w:fill="ffffff"/>
              <w:widowControl w:val="off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ОКЦ № 1 Северо-Западного ГУ Банка России// УФК по Ленинградской области г. Санкт-Петербург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ind w:right="58"/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Единый казначейский счет: 40102810745370000098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БИК 044030098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Телефон: +7 812 655-40-83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Е-</w:t>
            </w:r>
            <w:r>
              <w:t xml:space="preserve">mail</w:t>
            </w:r>
            <w:r>
              <w:t xml:space="preserve">: </w:t>
            </w:r>
            <w:hyperlink r:id="rId14" w:tooltip="mailto:Info@112lo.ru" w:history="1">
              <w:r>
                <w:t xml:space="preserve">Info@112lo.ru</w:t>
              </w:r>
            </w:hyperlink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shd w:val="clear" w:color="auto" w:fill="ffffff"/>
              <w:widowControl w:val="off"/>
            </w:pPr>
            <w:r/>
            <w:r/>
          </w:p>
          <w:p>
            <w:pPr>
              <w:shd w:val="clear" w:color="auto" w:fill="ffffff"/>
              <w:widowControl w:val="off"/>
            </w:pPr>
            <w:r/>
            <w:r/>
          </w:p>
          <w:p>
            <w:pPr>
              <w:shd w:val="clear" w:color="auto" w:fill="ffffff"/>
              <w:widowControl w:val="off"/>
            </w:pPr>
            <w:r/>
            <w:r/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 Начальник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-108"/>
              <w:shd w:val="clear" w:color="auto" w:fill="ffffff"/>
            </w:pPr>
            <w:r/>
            <w:r/>
          </w:p>
          <w:p>
            <w:pPr>
              <w:ind w:right="-108"/>
              <w:shd w:val="clear" w:color="auto" w:fill="ffffff"/>
              <w:rPr>
                <w:lang w:eastAsia="ar-SA"/>
              </w:rPr>
            </w:pPr>
            <w:r>
              <w:rPr>
                <w:u w:val="single"/>
              </w:rPr>
              <w:t xml:space="preserve">________</w:t>
            </w:r>
            <w:r>
              <w:rPr>
                <w:u w:val="single"/>
              </w:rPr>
              <w:t xml:space="preserve">     </w:t>
            </w:r>
            <w:r>
              <w:t xml:space="preserve"> </w:t>
            </w:r>
            <w:r>
              <w:t xml:space="preserve">/А. С. Петров/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140"/>
              <w:shd w:val="clear" w:color="auto" w:fill="ffffff"/>
              <w:rPr>
                <w:lang w:eastAsia="ar-SA"/>
              </w:rPr>
            </w:pPr>
            <w:r>
              <w:rPr>
                <w:lang w:eastAsia="ar-SA"/>
              </w:rPr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65" w:type="dxa"/>
            <w:textDirection w:val="lrTb"/>
            <w:noWrap w:val="false"/>
          </w:tcPr>
          <w:p>
            <w:pPr>
              <w:ind w:left="174" w:right="179"/>
              <w:jc w:val="both"/>
              <w:rPr>
                <w:lang w:eastAsia="ar-SA"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</w:tr>
    </w:tbl>
    <w:p>
      <w:pPr>
        <w:jc w:val="right"/>
      </w:pPr>
      <w:r>
        <w:br w:type="page" w:clear="all"/>
      </w:r>
      <w:r>
        <w:t xml:space="preserve">Приложение № 1</w:t>
      </w:r>
      <w:r/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к государственному контракту</w:t>
      </w:r>
      <w:r/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№____</w:t>
      </w:r>
      <w:r>
        <w:t xml:space="preserve"> от </w:t>
      </w:r>
      <w:r>
        <w:rPr>
          <w:color w:val="000000"/>
        </w:rPr>
        <w:t xml:space="preserve"> </w:t>
      </w:r>
      <w:r>
        <w:rPr>
          <w:color w:val="000000"/>
        </w:rPr>
        <w:t xml:space="preserve">«__</w:t>
      </w:r>
      <w:r>
        <w:rPr>
          <w:color w:val="000000"/>
        </w:rPr>
        <w:t xml:space="preserve">» ______</w:t>
      </w:r>
      <w:r>
        <w:rPr>
          <w:color w:val="000000"/>
        </w:rPr>
        <w:t xml:space="preserve">  2026</w:t>
      </w:r>
      <w:r>
        <w:rPr>
          <w:color w:val="000000"/>
        </w:rPr>
        <w:t xml:space="preserve"> г</w:t>
      </w:r>
      <w:r>
        <w:t xml:space="preserve">.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>
        <w:t xml:space="preserve">Расчет стоимости Услуг</w:t>
      </w:r>
      <w:r/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943"/>
        <w:gridCol w:w="1417"/>
        <w:gridCol w:w="1559"/>
        <w:gridCol w:w="1507"/>
        <w:gridCol w:w="1328"/>
      </w:tblGrid>
      <w:tr>
        <w:tblPrEx/>
        <w:trPr>
          <w:jc w:val="center"/>
          <w:trHeight w:val="89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п/п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39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услуги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Единица измерения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Количество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07" w:type="dxa"/>
            <w:vAlign w:val="center"/>
            <w:textDirection w:val="lrTb"/>
            <w:noWrap w:val="false"/>
          </w:tcPr>
          <w:p>
            <w:pPr>
              <w:contextualSpacing/>
              <w:ind w:right="-96"/>
              <w:jc w:val="center"/>
              <w:rPr>
                <w:b/>
              </w:rPr>
            </w:pPr>
            <w:r>
              <w:rPr>
                <w:b/>
              </w:rPr>
              <w:t xml:space="preserve">Цена за единицу, руб.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2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Сумма,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руб.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jc w:val="center"/>
          <w:trHeight w:val="2182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</w:t>
            </w:r>
            <w:r/>
          </w:p>
        </w:tc>
        <w:tc>
          <w:tcPr>
            <w:tcW w:w="3943" w:type="dxa"/>
            <w:vAlign w:val="center"/>
            <w:textDirection w:val="lrTb"/>
            <w:noWrap w:val="false"/>
          </w:tcPr>
          <w:p>
            <w:r>
              <w:t xml:space="preserve">Оказание платных образовательных услуг в области дополнительного профессионального образования </w:t>
            </w:r>
            <w:r>
              <w:rPr>
                <w:highlight w:val="white"/>
              </w:rPr>
              <w:t xml:space="preserve">и</w:t>
            </w:r>
            <w:r>
              <w:rPr>
                <w:highlight w:val="white"/>
              </w:rPr>
              <w:t xml:space="preserve">/или</w:t>
            </w:r>
            <w:r>
              <w:rPr>
                <w:highlight w:val="white"/>
              </w:rPr>
              <w:t xml:space="preserve"> пр</w:t>
            </w:r>
            <w:r>
              <w:t xml:space="preserve">офессионального обучения по программе курсов повышения квалификации «Контрактная система в сфере закупок товаров, работ и услуг для обеспечения государственных и муниципальных нужд»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условная</w:t>
            </w:r>
            <w:r/>
          </w:p>
          <w:p>
            <w:pPr>
              <w:contextualSpacing/>
              <w:jc w:val="center"/>
            </w:pPr>
            <w:r>
              <w:t xml:space="preserve">единица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</w:t>
            </w:r>
            <w:r/>
          </w:p>
        </w:tc>
        <w:tc>
          <w:tcPr>
            <w:tcW w:w="15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lang w:val="en-US"/>
              </w:rPr>
              <w:t xml:space="preserve">11 900,00</w:t>
            </w:r>
            <w:r/>
          </w:p>
        </w:tc>
        <w:tc>
          <w:tcPr>
            <w:tcW w:w="132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lang w:val="en-US"/>
              </w:rPr>
              <w:t xml:space="preserve">11 900,00</w:t>
            </w:r>
            <w:r/>
          </w:p>
        </w:tc>
      </w:tr>
      <w:tr>
        <w:tblPrEx/>
        <w:trPr>
          <w:jc w:val="center"/>
          <w:trHeight w:val="641"/>
        </w:trPr>
        <w:tc>
          <w:tcPr>
            <w:gridSpan w:val="5"/>
            <w:tcW w:w="8986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rPr>
                <w:b/>
              </w:rPr>
            </w:pPr>
            <w:r>
              <w:rPr>
                <w:b/>
              </w:rPr>
              <w:t xml:space="preserve">ИТОГО, руб.: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2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lang w:val="en-US"/>
              </w:rPr>
              <w:t xml:space="preserve">11 900,00</w:t>
            </w:r>
            <w:r/>
          </w:p>
        </w:tc>
      </w:tr>
      <w:tr>
        <w:tblPrEx/>
        <w:trPr>
          <w:jc w:val="center"/>
          <w:trHeight w:val="665"/>
        </w:trPr>
        <w:tc>
          <w:tcPr>
            <w:gridSpan w:val="5"/>
            <w:tcW w:w="8986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rPr>
                <w:b/>
              </w:rPr>
            </w:pPr>
            <w:r>
              <w:rPr>
                <w:b/>
              </w:rPr>
              <w:t xml:space="preserve">НДС, руб.: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2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облагается</w:t>
            </w:r>
            <w:r/>
          </w:p>
        </w:tc>
      </w:tr>
    </w:tbl>
    <w:p>
      <w:pPr>
        <w:ind w:firstLine="709"/>
        <w:jc w:val="both"/>
      </w:pPr>
      <w:r/>
      <w:r/>
    </w:p>
    <w:p>
      <w:r/>
      <w:r/>
    </w:p>
    <w:p>
      <w:r/>
      <w:r/>
    </w:p>
    <w:tbl>
      <w:tblPr>
        <w:tblW w:w="10290" w:type="dxa"/>
        <w:jc w:val="center"/>
        <w:tblLook w:val="01E0" w:firstRow="1" w:lastRow="1" w:firstColumn="1" w:lastColumn="1" w:noHBand="0" w:noVBand="0"/>
      </w:tblPr>
      <w:tblGrid>
        <w:gridCol w:w="5004"/>
        <w:gridCol w:w="5286"/>
      </w:tblGrid>
      <w:tr>
        <w:tblPrEx/>
        <w:trPr>
          <w:jc w:val="center"/>
          <w:trHeight w:val="162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04" w:type="dxa"/>
            <w:textDirection w:val="lrTb"/>
            <w:noWrap w:val="false"/>
          </w:tcPr>
          <w:p>
            <w:pPr>
              <w:pStyle w:val="975"/>
              <w:ind w:right="-108"/>
              <w:spacing w:before="0" w:beforeAutospacing="0" w:after="0" w:afterAutospacing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Заказчик</w:t>
            </w:r>
            <w:r>
              <w:rPr>
                <w:b/>
                <w:lang w:val="ru-RU" w:eastAsia="ru-RU"/>
              </w:rPr>
            </w:r>
            <w:r>
              <w:rPr>
                <w:b/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Государственное казенное учреждение Ленинградской области «Региональный мониторинговый центр» (ГКУ ЛО «РМЦ»)</w:t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Начальник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-108"/>
              <w:shd w:val="clear" w:color="auto" w:fill="ffffff"/>
            </w:pPr>
            <w:r/>
            <w:r/>
          </w:p>
          <w:p>
            <w:pPr>
              <w:ind w:right="-108"/>
              <w:shd w:val="clear" w:color="auto" w:fill="ffffff"/>
              <w:rPr>
                <w:lang w:eastAsia="ar-SA"/>
              </w:rPr>
            </w:pPr>
            <w:r>
              <w:rPr>
                <w:u w:val="single"/>
              </w:rPr>
              <w:t xml:space="preserve">_______</w:t>
            </w:r>
            <w:r>
              <w:rPr>
                <w:u w:val="single"/>
              </w:rPr>
              <w:t xml:space="preserve">     </w:t>
            </w:r>
            <w:r>
              <w:t xml:space="preserve"> </w:t>
            </w:r>
            <w:r>
              <w:t xml:space="preserve">/А. С. Петров/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shd w:val="clear" w:color="auto" w:fill="ffffff"/>
              <w:widowControl w:val="off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shd w:val="clear" w:color="auto" w:fill="ffffff"/>
              <w:widowControl w:val="off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86" w:type="dxa"/>
            <w:textDirection w:val="lrTb"/>
            <w:noWrap w:val="false"/>
          </w:tcPr>
          <w:p>
            <w:pPr>
              <w:jc w:val="both"/>
              <w:rPr>
                <w:lang w:eastAsia="ar-SA"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</w:tr>
    </w:tbl>
    <w:p>
      <w:pPr>
        <w:ind w:firstLine="567"/>
        <w:jc w:val="right"/>
        <w:shd w:val="clear" w:color="auto" w:fill="ffffff"/>
        <w:tabs>
          <w:tab w:val="left" w:pos="4771" w:leader="none"/>
        </w:tabs>
      </w:pPr>
      <w:r/>
      <w:r/>
    </w:p>
    <w:p>
      <w:pPr>
        <w:jc w:val="right"/>
      </w:pPr>
      <w:r>
        <w:br w:type="page" w:clear="all"/>
      </w:r>
      <w:r>
        <w:t xml:space="preserve">Приложение № 2</w:t>
      </w:r>
      <w:r/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к государственному контракту</w:t>
      </w:r>
      <w:r/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№ _________</w:t>
      </w:r>
      <w:r>
        <w:t xml:space="preserve"> от </w:t>
      </w:r>
      <w:r>
        <w:rPr>
          <w:color w:val="000000"/>
        </w:rPr>
        <w:t xml:space="preserve"> </w:t>
      </w:r>
      <w:r>
        <w:rPr>
          <w:color w:val="000000"/>
        </w:rPr>
        <w:t xml:space="preserve">«___</w:t>
      </w:r>
      <w:r>
        <w:rPr>
          <w:color w:val="000000"/>
        </w:rPr>
        <w:t xml:space="preserve">» _______</w:t>
      </w:r>
      <w:r>
        <w:rPr>
          <w:color w:val="000000"/>
        </w:rPr>
        <w:t xml:space="preserve"> 2026</w:t>
      </w:r>
      <w:r>
        <w:rPr>
          <w:color w:val="000000"/>
        </w:rPr>
        <w:t xml:space="preserve"> г</w:t>
      </w:r>
      <w:r>
        <w:t xml:space="preserve">.</w:t>
      </w:r>
      <w:r/>
    </w:p>
    <w:p>
      <w:pPr>
        <w:jc w:val="center"/>
      </w:pPr>
      <w:r/>
      <w:r/>
    </w:p>
    <w:p>
      <w:pPr>
        <w:jc w:val="center"/>
      </w:pPr>
      <w:r>
        <w:t xml:space="preserve">Список слушателей</w:t>
      </w:r>
      <w:r/>
    </w:p>
    <w:p>
      <w:pPr>
        <w:jc w:val="center"/>
      </w:pPr>
      <w:r/>
      <w:r/>
    </w:p>
    <w:tbl>
      <w:tblPr>
        <w:tblW w:w="1033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2774"/>
        <w:gridCol w:w="4947"/>
        <w:gridCol w:w="2060"/>
      </w:tblGrid>
      <w:tr>
        <w:tblPrEx/>
        <w:trPr>
          <w:jc w:val="center"/>
          <w:trHeight w:val="8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/>
          </w:p>
          <w:p>
            <w:pPr>
              <w:jc w:val="center"/>
            </w:pPr>
            <w:r>
              <w:t xml:space="preserve">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7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Фамилия, имя, отчество (полностью)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4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Должность, </w:t>
            </w:r>
            <w:r/>
          </w:p>
          <w:p>
            <w:pPr>
              <w:jc w:val="center"/>
            </w:pPr>
            <w:r>
              <w:t xml:space="preserve">электронная почта, телефон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 Контрактом ОЗНАКОМЛЕН</w:t>
            </w:r>
            <w:r/>
          </w:p>
          <w:p>
            <w:pPr>
              <w:jc w:val="center"/>
            </w:pPr>
            <w:r>
              <w:t xml:space="preserve">(подпись)</w:t>
            </w:r>
            <w:r/>
          </w:p>
        </w:tc>
      </w:tr>
      <w:tr>
        <w:tblPrEx/>
        <w:trPr>
          <w:jc w:val="center"/>
          <w:trHeight w:val="1273"/>
        </w:trPr>
        <w:tc>
          <w:tcPr>
            <w:tcW w:w="5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277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494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2060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ind w:firstLine="709"/>
      </w:pPr>
      <w:r/>
      <w:r/>
    </w:p>
    <w:p>
      <w:pPr>
        <w:ind w:firstLine="709"/>
      </w:pPr>
      <w:r/>
      <w:r/>
    </w:p>
    <w:p>
      <w:pPr>
        <w:ind w:firstLine="709"/>
      </w:pPr>
      <w:r/>
      <w:r/>
    </w:p>
    <w:p>
      <w:pPr>
        <w:ind w:firstLine="709"/>
      </w:pPr>
      <w:r/>
      <w:r/>
    </w:p>
    <w:tbl>
      <w:tblPr>
        <w:tblW w:w="10363" w:type="dxa"/>
        <w:jc w:val="center"/>
        <w:tblLook w:val="01E0" w:firstRow="1" w:lastRow="1" w:firstColumn="1" w:lastColumn="1" w:noHBand="0" w:noVBand="0"/>
      </w:tblPr>
      <w:tblGrid>
        <w:gridCol w:w="5151"/>
        <w:gridCol w:w="5212"/>
      </w:tblGrid>
      <w:tr>
        <w:tblPrEx/>
        <w:trPr>
          <w:jc w:val="center"/>
          <w:trHeight w:val="162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51" w:type="dxa"/>
            <w:textDirection w:val="lrTb"/>
            <w:noWrap w:val="false"/>
          </w:tcPr>
          <w:p>
            <w:pPr>
              <w:pStyle w:val="975"/>
              <w:ind w:right="-108"/>
              <w:spacing w:before="0" w:beforeAutospacing="0" w:after="0" w:afterAutospacing="0"/>
              <w:rPr>
                <w:b/>
                <w:bCs/>
                <w:highlight w:val="none"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Заказчик</w:t>
            </w:r>
            <w:r>
              <w:rPr>
                <w:b/>
                <w:bCs/>
                <w:highlight w:val="none"/>
                <w:lang w:val="ru-RU" w:eastAsia="ru-RU"/>
              </w:rPr>
            </w:r>
            <w:r>
              <w:rPr>
                <w:b/>
                <w:bCs/>
                <w:highlight w:val="none"/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Государственное казенное учреждение Ленинградской области «Региональный мониторинговый центр» (ГКУ ЛО «РМЦ»)</w:t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Начальник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-108"/>
              <w:shd w:val="clear" w:color="auto" w:fill="ffffff"/>
            </w:pPr>
            <w:r/>
            <w:r/>
          </w:p>
          <w:p>
            <w:pPr>
              <w:ind w:right="-108"/>
              <w:shd w:val="clear" w:color="auto" w:fill="ffffff"/>
              <w:rPr>
                <w:lang w:eastAsia="ar-SA"/>
              </w:rPr>
            </w:pPr>
            <w:r>
              <w:rPr>
                <w:u w:val="single"/>
              </w:rPr>
              <w:t xml:space="preserve">____________ </w:t>
            </w:r>
            <w:r>
              <w:t xml:space="preserve"> </w:t>
            </w:r>
            <w:r>
              <w:t xml:space="preserve">/А. С. Петров/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shd w:val="clear" w:color="auto" w:fill="ffffff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12" w:type="dxa"/>
            <w:textDirection w:val="lrTb"/>
            <w:noWrap w:val="false"/>
          </w:tcPr>
          <w:p>
            <w:pPr>
              <w:ind w:left="-28"/>
              <w:jc w:val="both"/>
              <w:rPr>
                <w:b/>
                <w:bCs/>
                <w:highlight w:val="none"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</w:p>
        </w:tc>
      </w:tr>
    </w:tbl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t xml:space="preserve">Приложение № 3</w:t>
      </w:r>
      <w:r>
        <w:rPr>
          <w:highlight w:val="none"/>
        </w:rPr>
      </w:r>
      <w:r>
        <w:rPr>
          <w:highlight w:val="none"/>
        </w:rPr>
      </w:r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к государственному контракту</w:t>
      </w:r>
      <w:r/>
    </w:p>
    <w:p>
      <w:pPr>
        <w:ind w:firstLine="567"/>
        <w:jc w:val="right"/>
        <w:shd w:val="clear" w:color="auto" w:fill="ffffff"/>
        <w:tabs>
          <w:tab w:val="left" w:pos="4771" w:leader="none"/>
        </w:tabs>
      </w:pPr>
      <w:r>
        <w:t xml:space="preserve">№ </w:t>
      </w:r>
      <w:r>
        <w:t xml:space="preserve">_</w:t>
      </w:r>
      <w:r>
        <w:t xml:space="preserve">_</w:t>
      </w:r>
      <w:r>
        <w:t xml:space="preserve">_</w:t>
      </w:r>
      <w:r>
        <w:t xml:space="preserve">_</w:t>
      </w:r>
      <w:r>
        <w:t xml:space="preserve">_</w:t>
      </w:r>
      <w:r>
        <w:t xml:space="preserve">_</w:t>
      </w:r>
      <w:r>
        <w:t xml:space="preserve">_</w:t>
      </w:r>
      <w:r>
        <w:t xml:space="preserve"> от </w:t>
      </w:r>
      <w:r>
        <w:rPr>
          <w:color w:val="000000"/>
        </w:rPr>
        <w:t xml:space="preserve"> </w:t>
      </w:r>
      <w:r>
        <w:rPr>
          <w:color w:val="000000"/>
        </w:rPr>
        <w:t xml:space="preserve">«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» 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_</w:t>
      </w:r>
      <w:r>
        <w:rPr>
          <w:color w:val="000000"/>
        </w:rPr>
        <w:t xml:space="preserve">  2026</w:t>
      </w:r>
      <w:r>
        <w:rPr>
          <w:color w:val="000000"/>
        </w:rPr>
        <w:t xml:space="preserve"> г.</w:t>
      </w:r>
      <w:r>
        <w:rPr>
          <w:color w:val="000000"/>
        </w:rPr>
      </w:r>
      <w:r/>
    </w:p>
    <w:p>
      <w:pPr>
        <w:ind w:firstLine="709"/>
      </w:pPr>
      <w:r/>
      <w:r/>
    </w:p>
    <w:p>
      <w:pPr>
        <w:jc w:val="center"/>
      </w:pPr>
      <w:r>
        <w:t xml:space="preserve">Учебный план</w:t>
      </w:r>
      <w:r/>
    </w:p>
    <w:p>
      <w:pPr>
        <w:jc w:val="center"/>
      </w:pPr>
      <w:r/>
      <w:r/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86"/>
        <w:gridCol w:w="8092"/>
        <w:gridCol w:w="1417"/>
      </w:tblGrid>
      <w:tr>
        <w:tblPrEx/>
        <w:trPr>
          <w:jc w:val="center"/>
          <w:trHeight w:val="607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Тема 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Количество часов</w:t>
            </w:r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1.  Организация закупочной деятельности Заказчика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Регистрация заказчиков в ЕИС и начало работы по Закону №44-ФЗ. </w:t>
            </w:r>
            <w:r/>
          </w:p>
          <w:p>
            <w:r>
              <w:t xml:space="preserve">• Цели, задачи, принципы контрактной системы.</w:t>
            </w:r>
            <w:r/>
          </w:p>
          <w:p>
            <w:r>
              <w:t xml:space="preserve">• Работа в ЕИС, на ЭТП. ЭЦП. ЕРУЗ. ГИС НР. Электронные магазины. </w:t>
            </w:r>
            <w:r/>
          </w:p>
          <w:p>
            <w:r>
              <w:t xml:space="preserve">• Контрактная служба, контрактный управляющий. </w:t>
            </w:r>
            <w:r/>
          </w:p>
          <w:p>
            <w:r>
              <w:t xml:space="preserve">• Комиссии по закупкам.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pPr>
              <w:ind w:right="-1"/>
              <w:rPr>
                <w:b/>
              </w:rPr>
            </w:pPr>
            <w:r>
              <w:t xml:space="preserve">Модуль 2. Планирование закупок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pPr>
              <w:ind w:left="720"/>
            </w:pPr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pPr>
              <w:ind w:right="-1"/>
            </w:pPr>
            <w:r>
              <w:t xml:space="preserve">• Планирование закупок: план-график. </w:t>
            </w:r>
            <w:r/>
          </w:p>
          <w:p>
            <w:pPr>
              <w:ind w:right="-1"/>
            </w:pPr>
            <w:r>
              <w:t xml:space="preserve">• ИКЗ. КТРУ. Формирование структурированного «технического задания». </w:t>
            </w:r>
            <w:r/>
          </w:p>
          <w:p>
            <w:pPr>
              <w:ind w:right="-1"/>
            </w:pPr>
            <w:r>
              <w:t xml:space="preserve">• Централизация закупок.</w:t>
            </w:r>
            <w:r/>
          </w:p>
          <w:p>
            <w:pPr>
              <w:ind w:right="-1"/>
            </w:pPr>
            <w:r>
              <w:t xml:space="preserve">• Определение и обоснование НМЦК.</w:t>
            </w:r>
            <w:r/>
          </w:p>
          <w:p>
            <w:pPr>
              <w:ind w:right="-1"/>
            </w:pPr>
            <w:r>
              <w:t xml:space="preserve">• Описание объекта закупки.</w:t>
            </w:r>
            <w:r/>
          </w:p>
          <w:p>
            <w:pPr>
              <w:ind w:right="-1"/>
            </w:pPr>
            <w:r>
              <w:t xml:space="preserve">• Гарантийные обязательства. </w:t>
            </w:r>
            <w:r/>
          </w:p>
          <w:p>
            <w:pPr>
              <w:ind w:right="-1"/>
            </w:pPr>
            <w:r>
              <w:t xml:space="preserve">• Гарантия качества поставленного товара.</w:t>
            </w:r>
            <w:r/>
          </w:p>
          <w:p>
            <w:pPr>
              <w:ind w:right="-1"/>
            </w:pPr>
            <w:r>
              <w:t xml:space="preserve">• Требования к цвету объекта закупки.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3. Подготовка закупки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pPr>
              <w:ind w:left="720"/>
            </w:pPr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Способы закупок.</w:t>
            </w:r>
            <w:r/>
          </w:p>
          <w:p>
            <w:r>
              <w:t xml:space="preserve">• Обеспечение заявок. </w:t>
            </w:r>
            <w:r/>
          </w:p>
          <w:p>
            <w:r>
              <w:t xml:space="preserve">• Извещение о закупке. </w:t>
            </w:r>
            <w:r/>
          </w:p>
          <w:p>
            <w:r>
              <w:t xml:space="preserve">• Национальный режим (условия допуска, ограничение допуска, запрет допуска и квотирование российских товаров). </w:t>
            </w:r>
            <w:r/>
          </w:p>
          <w:p>
            <w:r>
              <w:t xml:space="preserve">• Критерии оценки заявок. </w:t>
            </w:r>
            <w:r/>
          </w:p>
          <w:p>
            <w:r>
              <w:t xml:space="preserve">• Антидемпинговые меры. </w:t>
            </w:r>
            <w:r/>
          </w:p>
          <w:p>
            <w:r>
              <w:t xml:space="preserve">• Закупка товаров для жизнеобеспечения. </w:t>
            </w:r>
            <w:r/>
          </w:p>
          <w:p>
            <w:r>
              <w:t xml:space="preserve">• Требования к участникам закупки. </w:t>
            </w:r>
            <w:r/>
          </w:p>
          <w:p>
            <w:r>
              <w:t xml:space="preserve">• Участие в закупках СМП и СОНКО. </w:t>
            </w:r>
            <w:r/>
          </w:p>
          <w:p>
            <w:r>
              <w:t xml:space="preserve">• Совместные конкурсы и аукционы. </w:t>
            </w:r>
            <w:r/>
          </w:p>
          <w:p>
            <w:r>
              <w:t xml:space="preserve">• Участие в закупках учреждений и предприятий УИС и организаций инвалидов.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4. Порядок проведения закупочных процедур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Заявка на участие в закупке.</w:t>
            </w:r>
            <w:r/>
          </w:p>
          <w:p>
            <w:r>
              <w:t xml:space="preserve">• Открытый конкурс в электронной форме. </w:t>
            </w:r>
            <w:r/>
          </w:p>
          <w:p>
            <w:r>
              <w:t xml:space="preserve">• Электронный аукцион. </w:t>
            </w:r>
            <w:r/>
          </w:p>
          <w:p>
            <w:r>
              <w:t xml:space="preserve">• Запрос котировок в электронной форме. </w:t>
            </w:r>
            <w:r/>
          </w:p>
          <w:p>
            <w:r>
              <w:t xml:space="preserve">• Закупка у единственного поставщика (подрядчика, исполнителя). </w:t>
            </w:r>
            <w:r/>
          </w:p>
          <w:p>
            <w:r>
              <w:t xml:space="preserve">• Крупные сделки.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5. Контракт 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Существенные условия контракта. </w:t>
            </w:r>
            <w:r/>
          </w:p>
          <w:p>
            <w:r>
              <w:t xml:space="preserve">• Заключение контракта в электронной форме. Цифровой контракт. Поэтапное введение обязанности. </w:t>
            </w:r>
            <w:r/>
          </w:p>
          <w:p>
            <w:r>
              <w:t xml:space="preserve">• Исполнение контракта. </w:t>
            </w:r>
            <w:r/>
          </w:p>
          <w:p>
            <w:r>
              <w:t xml:space="preserve">• Претензионно-исковая работа в рамках Закона № 44-ФЗ. </w:t>
            </w:r>
            <w:r/>
          </w:p>
          <w:p>
            <w:r>
              <w:t xml:space="preserve">• Изменение контракта. </w:t>
            </w:r>
            <w:r/>
          </w:p>
          <w:p>
            <w:r>
              <w:t xml:space="preserve">• Расторжение контракта. </w:t>
            </w:r>
            <w:r/>
          </w:p>
          <w:p>
            <w:r>
              <w:t xml:space="preserve">• Прекращение контракта. </w:t>
            </w:r>
            <w:r/>
          </w:p>
          <w:p>
            <w:r>
              <w:t xml:space="preserve">• Прекращение деятельности ИП. </w:t>
            </w:r>
            <w:r/>
          </w:p>
          <w:p>
            <w:r>
              <w:t xml:space="preserve">• Оспаривание сделки в связи с заблуждением. </w:t>
            </w:r>
            <w:r/>
          </w:p>
          <w:p>
            <w:r>
              <w:t xml:space="preserve">• Реестр контрактов. 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6. Контроль и обжалование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pPr>
              <w:ind w:left="720"/>
            </w:pPr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Контроль. Обязательное общественное обсуждение. </w:t>
            </w:r>
            <w:r/>
          </w:p>
          <w:p>
            <w:r>
              <w:t xml:space="preserve">• Обжалование. РНП. </w:t>
            </w:r>
            <w:r/>
          </w:p>
          <w:p>
            <w:r>
              <w:t xml:space="preserve">• Ответственность. 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48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Модуль 7. Работа в ЕИС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276"/>
        </w:trPr>
        <w:tc>
          <w:tcPr>
            <w:tcW w:w="686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8102" w:type="dxa"/>
            <w:vAlign w:val="center"/>
            <w:vMerge w:val="restart"/>
            <w:textDirection w:val="lrTb"/>
            <w:noWrap w:val="false"/>
          </w:tcPr>
          <w:p>
            <w:r>
              <w:t xml:space="preserve">• Размещение ПГ.</w:t>
            </w:r>
            <w:r/>
          </w:p>
          <w:p>
            <w:r>
              <w:t xml:space="preserve">• Внесение изменений в ПГ.</w:t>
            </w:r>
            <w:r/>
          </w:p>
          <w:p>
            <w:r>
              <w:t xml:space="preserve">• Размещение конкурентной закупки в ЕИС. </w:t>
            </w:r>
            <w:r/>
          </w:p>
          <w:p>
            <w:r>
              <w:t xml:space="preserve">• Направление проекта контракта победителю по результатам конкурентной процедуры.</w:t>
            </w:r>
            <w:r/>
          </w:p>
          <w:p>
            <w:r>
              <w:t xml:space="preserve">• Внесение сведений в реестр контрактов. </w:t>
            </w:r>
            <w:r/>
          </w:p>
          <w:p>
            <w:r>
              <w:t xml:space="preserve">• Внесение информации об изменении контракта в реестр контрактов. </w:t>
            </w:r>
            <w:r/>
          </w:p>
          <w:p>
            <w:r>
              <w:t xml:space="preserve">• Внесение информации о расторжении контракта в реестр контрактов. </w:t>
            </w:r>
            <w:r/>
          </w:p>
          <w:p>
            <w:r>
              <w:t xml:space="preserve">• Внесение информации об исполнении контракта в реестр контрактов. </w:t>
            </w:r>
            <w:r/>
          </w:p>
          <w:p>
            <w:r>
              <w:t xml:space="preserve">• Формирование отчета о закупках о СМП и СОНКО.</w:t>
            </w:r>
            <w:r/>
          </w:p>
          <w:p>
            <w:r>
              <w:t xml:space="preserve">• Электронная приемка.</w:t>
            </w:r>
            <w:r/>
          </w:p>
          <w:p>
            <w:r>
              <w:t xml:space="preserve">• Создание РСКП с использованием ЕИС</w:t>
            </w:r>
            <w:r/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W w:w="686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7"/>
              </w:numPr>
            </w:pPr>
            <w:r/>
            <w:r/>
          </w:p>
        </w:tc>
        <w:tc>
          <w:tcPr>
            <w:tcW w:w="8102" w:type="dxa"/>
            <w:vAlign w:val="center"/>
            <w:textDirection w:val="lrTb"/>
            <w:noWrap w:val="false"/>
          </w:tcPr>
          <w:p>
            <w:r>
              <w:t xml:space="preserve">Итоговое тестирование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07"/>
        </w:trPr>
        <w:tc>
          <w:tcPr>
            <w:gridSpan w:val="2"/>
            <w:tcW w:w="8788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 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  <w:trHeight w:val="412"/>
        </w:trPr>
        <w:tc>
          <w:tcPr>
            <w:gridSpan w:val="2"/>
            <w:tcW w:w="8788" w:type="dxa"/>
            <w:vAlign w:val="center"/>
            <w:textDirection w:val="lrTb"/>
            <w:noWrap w:val="false"/>
          </w:tcPr>
          <w:p>
            <w:pPr>
              <w:jc w:val="right"/>
            </w:pPr>
            <w:r>
              <w:t xml:space="preserve">Всего по курсу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108</w:t>
            </w:r>
            <w:r/>
          </w:p>
        </w:tc>
      </w:tr>
    </w:tbl>
    <w:p>
      <w:pPr>
        <w:jc w:val="center"/>
      </w:pPr>
      <w:r/>
      <w:r/>
    </w:p>
    <w:tbl>
      <w:tblPr>
        <w:tblW w:w="10314" w:type="dxa"/>
        <w:jc w:val="center"/>
        <w:tblLook w:val="01E0" w:firstRow="1" w:lastRow="1" w:firstColumn="1" w:lastColumn="1" w:noHBand="0" w:noVBand="0"/>
      </w:tblPr>
      <w:tblGrid>
        <w:gridCol w:w="4924"/>
        <w:gridCol w:w="5390"/>
      </w:tblGrid>
      <w:tr>
        <w:tblPrEx/>
        <w:trPr>
          <w:jc w:val="center"/>
          <w:trHeight w:val="162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4" w:type="dxa"/>
            <w:textDirection w:val="lrTb"/>
            <w:noWrap w:val="false"/>
          </w:tcPr>
          <w:p>
            <w:pPr>
              <w:pStyle w:val="975"/>
              <w:ind w:right="-108"/>
              <w:spacing w:before="0" w:beforeAutospacing="0" w:after="0" w:afterAutospacing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 xml:space="preserve">Заказчик</w:t>
            </w:r>
            <w:r>
              <w:rPr>
                <w:b/>
                <w:lang w:val="ru-RU" w:eastAsia="ru-RU"/>
              </w:rPr>
            </w:r>
            <w:r>
              <w:rPr>
                <w:b/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Государственное казенное учреждение Ленинградской области «Региональный мониторинговый центр» (ГКУ ЛО «РМЦ»)</w:t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pStyle w:val="975"/>
              <w:ind w:right="-108"/>
              <w:spacing w:before="0" w:beforeAutospacing="0" w:after="0" w:afterAutospacing="0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  <w:r>
              <w:rPr>
                <w:lang w:val="ru-RU" w:eastAsia="ru-RU"/>
              </w:rPr>
            </w:r>
          </w:p>
          <w:p>
            <w:pPr>
              <w:shd w:val="clear" w:color="auto" w:fill="ffffff"/>
              <w:widowControl w:val="off"/>
              <w:rPr>
                <w:sz w:val="23"/>
                <w:szCs w:val="23"/>
              </w:rPr>
            </w:pPr>
            <w:r>
              <w:t xml:space="preserve">Начальник учреждения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right="-108"/>
              <w:shd w:val="clear" w:color="auto" w:fill="ffffff"/>
            </w:pPr>
            <w:r/>
            <w:r/>
          </w:p>
          <w:p>
            <w:pPr>
              <w:ind w:right="-108"/>
              <w:shd w:val="clear" w:color="auto" w:fill="ffffff"/>
              <w:rPr>
                <w:lang w:eastAsia="ar-SA"/>
              </w:rPr>
            </w:pPr>
            <w:r>
              <w:rPr>
                <w:u w:val="single"/>
              </w:rPr>
              <w:t xml:space="preserve">_________</w:t>
            </w:r>
            <w:r>
              <w:rPr>
                <w:u w:val="single"/>
              </w:rPr>
              <w:t xml:space="preserve"> </w:t>
            </w:r>
            <w:r>
              <w:t xml:space="preserve"> </w:t>
            </w:r>
            <w:r>
              <w:t xml:space="preserve">/А. С. Петров/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shd w:val="clear" w:color="auto" w:fill="ffffff"/>
              <w:widowControl w:val="off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90" w:type="dxa"/>
            <w:textDirection w:val="lrTb"/>
            <w:noWrap w:val="false"/>
          </w:tcPr>
          <w:p>
            <w:pPr>
              <w:jc w:val="both"/>
              <w:rPr>
                <w:lang w:eastAsia="ar-SA"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56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Verdana">
    <w:panose1 w:val="020B0604030504040204"/>
  </w:font>
  <w:font w:name="Segoe UI">
    <w:panose1 w:val="020B0502040204020203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1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PAGE   \* MERGEFORMAT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2</w:t>
    </w:r>
    <w:r>
      <w:rPr>
        <w:sz w:val="20"/>
        <w:szCs w:val="20"/>
      </w:rPr>
      <w:fldChar w:fldCharType="end"/>
    </w:r>
    <w:r>
      <w:rPr>
        <w:sz w:val="20"/>
        <w:szCs w:val="20"/>
      </w:rPr>
    </w:r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</w:lvl>
    <w:lvl w:ilvl="1">
      <w:start w:val="1"/>
      <w:numFmt w:val="decimal"/>
      <w:isLgl w:val="false"/>
      <w:suff w:val="tab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425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5.%2."/>
      <w:lvlJc w:val="left"/>
      <w:pPr>
        <w:ind w:left="1850" w:hanging="432"/>
        <w:tabs>
          <w:tab w:val="num" w:pos="992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588" w:hanging="1020"/>
      </w:pPr>
      <w:rPr>
        <w:rFonts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87" w:hanging="10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87" w:hanging="10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6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1329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705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6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47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3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53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8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592" w:hanging="180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0" w:leader="none"/>
        </w:tabs>
      </w:pPr>
      <w:rPr>
        <w:rFonts w:ascii="Wingdings" w:hAnsi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5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3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0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27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4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1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49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562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2.%2."/>
      <w:lvlJc w:val="left"/>
      <w:pPr>
        <w:ind w:left="1709" w:hanging="432"/>
        <w:tabs>
          <w:tab w:val="num" w:pos="851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643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626" w:hanging="120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16" w:hanging="120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24" w:hanging="120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532" w:hanging="120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40" w:hanging="120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188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96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964" w:hanging="180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951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905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6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305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81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205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8576" w:hanging="1800"/>
      </w:p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03" w:hanging="54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341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8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5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95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41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984" w:hanging="180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bullet"/>
      <w:pStyle w:val="995"/>
      <w:isLgl w:val="false"/>
      <w:suff w:val="tab"/>
      <w:lvlText w:val=""/>
      <w:lvlJc w:val="left"/>
      <w:pPr>
        <w:ind w:left="360" w:hanging="360"/>
        <w:tabs>
          <w:tab w:val="num" w:pos="360" w:leader="none"/>
        </w:tabs>
      </w:pPr>
      <w:rPr>
        <w:rFonts w:ascii="Wingdings" w:hAnsi="Wingdings" w:cs="Wingdings"/>
        <w:color w:val="000000"/>
        <w:lang w:val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425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861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2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223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0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8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44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47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808" w:hanging="180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4.%2."/>
      <w:lvlJc w:val="left"/>
      <w:pPr>
        <w:ind w:left="1850" w:hanging="432"/>
        <w:tabs>
          <w:tab w:val="num" w:pos="992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425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"/>
      <w:lvlJc w:val="left"/>
      <w:pPr>
        <w:ind w:left="763" w:hanging="480"/>
      </w:pPr>
    </w:lvl>
    <w:lvl w:ilvl="2">
      <w:start w:val="3"/>
      <w:numFmt w:val="decimal"/>
      <w:isLgl w:val="false"/>
      <w:suff w:val="tab"/>
      <w:lvlText w:val="%1.%2.%3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64" w:hanging="1800"/>
      </w:p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ascii="Times New Roman" w:hAnsi="Times New Roman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26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2"/>
      <w:numFmt w:val="decimal"/>
      <w:isLgl w:val="false"/>
      <w:suff w:val="tab"/>
      <w:lvlText w:val="%1.%2."/>
      <w:lvlJc w:val="left"/>
      <w:pPr>
        <w:ind w:left="1047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003" w:hanging="540"/>
      </w:pPr>
    </w:lvl>
    <w:lvl w:ilvl="2">
      <w:start w:val="3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8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5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95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41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984" w:hanging="1800"/>
      </w:pPr>
    </w:lvl>
  </w:abstractNum>
  <w:abstractNum w:abstractNumId="2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5"/>
      <w:numFmt w:val="decimal"/>
      <w:isLgl w:val="false"/>
      <w:suff w:val="tab"/>
      <w:lvlText w:val="%1.%2."/>
      <w:lvlJc w:val="left"/>
      <w:pPr>
        <w:ind w:left="927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</w:lvl>
  </w:abstractNum>
  <w:abstractNum w:abstractNumId="29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"/>
      <w:lvlJc w:val="left"/>
      <w:pPr>
        <w:ind w:left="763" w:hanging="480"/>
      </w:pPr>
    </w:lvl>
    <w:lvl w:ilvl="2">
      <w:start w:val="3"/>
      <w:numFmt w:val="decimal"/>
      <w:isLgl w:val="false"/>
      <w:suff w:val="tab"/>
      <w:lvlText w:val="%1.%2.%3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64" w:hanging="180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3.%2."/>
      <w:lvlJc w:val="left"/>
      <w:pPr>
        <w:ind w:left="432" w:hanging="432"/>
        <w:tabs>
          <w:tab w:val="num" w:pos="-426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3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</w:lvl>
    <w:lvl w:ilvl="1">
      <w:start w:val="2"/>
      <w:numFmt w:val="decimal"/>
      <w:isLgl w:val="false"/>
      <w:suff w:val="tab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ascii="Calibri" w:hAnsi="Calibri"/>
        <w:color w:val="000000"/>
        <w:sz w:val="20"/>
      </w:rPr>
    </w:lvl>
    <w:lvl w:ilvl="1">
      <w:start w:val="1"/>
      <w:numFmt w:val="decimal"/>
      <w:isLgl w:val="false"/>
      <w:suff w:val="tab"/>
      <w:lvlText w:val="%1.%2."/>
      <w:lvlJc w:val="left"/>
      <w:pPr>
        <w:ind w:left="1986" w:hanging="360"/>
      </w:pPr>
      <w:rPr>
        <w:rFonts w:ascii="Calibri" w:hAnsi="Calibri"/>
        <w:color w:val="000000"/>
        <w:sz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972" w:hanging="720"/>
      </w:pPr>
      <w:rPr>
        <w:rFonts w:ascii="Calibri" w:hAnsi="Calibri"/>
        <w:color w:val="000000"/>
        <w:sz w:val="2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598" w:hanging="720"/>
      </w:pPr>
      <w:rPr>
        <w:rFonts w:ascii="Calibri" w:hAnsi="Calibri"/>
        <w:color w:val="000000"/>
        <w:sz w:val="2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584" w:hanging="1080"/>
      </w:pPr>
      <w:rPr>
        <w:rFonts w:ascii="Calibri" w:hAnsi="Calibri"/>
        <w:color w:val="000000"/>
        <w:sz w:val="2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210" w:hanging="1080"/>
      </w:pPr>
      <w:rPr>
        <w:rFonts w:ascii="Calibri" w:hAnsi="Calibri"/>
        <w:color w:val="000000"/>
        <w:sz w:val="2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196" w:hanging="1440"/>
      </w:pPr>
      <w:rPr>
        <w:rFonts w:ascii="Calibri" w:hAnsi="Calibri"/>
        <w:color w:val="000000"/>
        <w:sz w:val="2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2822" w:hanging="1440"/>
      </w:pPr>
      <w:rPr>
        <w:rFonts w:ascii="Calibri" w:hAnsi="Calibri"/>
        <w:color w:val="000000"/>
        <w:sz w:val="2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808" w:hanging="1800"/>
      </w:pPr>
      <w:rPr>
        <w:rFonts w:ascii="Calibri" w:hAnsi="Calibri"/>
        <w:color w:val="000000"/>
        <w:sz w:val="20"/>
      </w:rPr>
    </w:lvl>
  </w:abstractNum>
  <w:abstractNum w:abstractNumId="3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7"/>
      <w:numFmt w:val="decimal"/>
      <w:isLgl w:val="false"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</w:lvl>
  </w:abstractNum>
  <w:abstractNum w:abstractNumId="34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1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27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0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77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6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88" w:hanging="180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6.%2."/>
      <w:lvlJc w:val="left"/>
      <w:pPr>
        <w:ind w:left="432" w:hanging="432"/>
        <w:tabs>
          <w:tab w:val="num" w:pos="-426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886" w:hanging="120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16" w:hanging="120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24" w:hanging="120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532" w:hanging="120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40" w:hanging="120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188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96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964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432" w:hanging="432"/>
        <w:tabs>
          <w:tab w:val="num" w:pos="-426" w:leader="none"/>
        </w:tabs>
      </w:pPr>
      <w:rPr>
        <w:b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3.1.%2."/>
      <w:lvlJc w:val="left"/>
      <w:pPr>
        <w:ind w:left="1850" w:hanging="432"/>
        <w:tabs>
          <w:tab w:val="num" w:pos="992" w:leader="none"/>
        </w:tabs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  <w:rPr>
        <w:b w:val="0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3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0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41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6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47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3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53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8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592" w:hanging="1800"/>
      </w:pPr>
    </w:lvl>
  </w:abstractNum>
  <w:abstractNum w:abstractNumId="4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1329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41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6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47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3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53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8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592" w:hanging="180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</w:lvl>
    <w:lvl w:ilvl="1">
      <w:start w:val="1"/>
      <w:numFmt w:val="decimal"/>
      <w:isLgl w:val="false"/>
      <w:suff w:val="tab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0425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1364" w:hanging="1080"/>
      </w:pPr>
      <w:rPr>
        <w:sz w:val="24"/>
        <w:szCs w:val="24"/>
      </w:rPr>
    </w:lvl>
    <w:lvl w:ilvl="2">
      <w:start w:val="3"/>
      <w:numFmt w:val="decimal"/>
      <w:isLgl w:val="false"/>
      <w:suff w:val="tab"/>
      <w:lvlText w:val="%1.%2.%3."/>
      <w:lvlJc w:val="left"/>
      <w:pPr>
        <w:ind w:left="2924" w:hanging="108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06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6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47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042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816" w:hanging="1800"/>
      </w:pPr>
    </w:lvl>
  </w:abstractNum>
  <w:abstractNum w:abstractNumId="4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ascii="Calibri" w:hAnsi="Calibri"/>
        <w:sz w:val="22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  <w:rPr>
        <w:rFonts w:ascii="Calibri" w:hAnsi="Calibri"/>
        <w:sz w:val="22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69" w:hanging="720"/>
      </w:pPr>
      <w:rPr>
        <w:rFonts w:ascii="Calibri" w:hAnsi="Calibri"/>
        <w:sz w:val="22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  <w:rPr>
        <w:rFonts w:ascii="Calibri" w:hAnsi="Calibri"/>
        <w:sz w:val="22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495" w:hanging="1080"/>
      </w:pPr>
      <w:rPr>
        <w:rFonts w:ascii="Calibri" w:hAnsi="Calibri"/>
        <w:sz w:val="22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  <w:rPr>
        <w:rFonts w:ascii="Calibri" w:hAnsi="Calibri"/>
        <w:sz w:val="22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1" w:hanging="1440"/>
      </w:pPr>
      <w:rPr>
        <w:rFonts w:ascii="Calibri" w:hAnsi="Calibri"/>
        <w:sz w:val="22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  <w:rPr>
        <w:rFonts w:ascii="Calibri" w:hAnsi="Calibri"/>
        <w:sz w:val="22"/>
      </w:rPr>
    </w:lvl>
  </w:abstractNum>
  <w:num w:numId="1">
    <w:abstractNumId w:val="2"/>
  </w:num>
  <w:num w:numId="2">
    <w:abstractNumId w:val="36"/>
  </w:num>
  <w:num w:numId="3">
    <w:abstractNumId w:val="13"/>
  </w:num>
  <w:num w:numId="4">
    <w:abstractNumId w:val="32"/>
  </w:num>
  <w:num w:numId="5">
    <w:abstractNumId w:val="1"/>
  </w:num>
  <w:num w:numId="6">
    <w:abstractNumId w:val="25"/>
  </w:num>
  <w:num w:numId="7">
    <w:abstractNumId w:val="34"/>
  </w:num>
  <w:num w:numId="8">
    <w:abstractNumId w:val="5"/>
  </w:num>
  <w:num w:numId="9">
    <w:abstractNumId w:val="18"/>
  </w:num>
  <w:num w:numId="10">
    <w:abstractNumId w:val="14"/>
  </w:num>
  <w:num w:numId="11">
    <w:abstractNumId w:val="8"/>
  </w:num>
  <w:num w:numId="12">
    <w:abstractNumId w:val="4"/>
  </w:num>
  <w:num w:numId="13">
    <w:abstractNumId w:val="45"/>
  </w:num>
  <w:num w:numId="14">
    <w:abstractNumId w:val="27"/>
  </w:num>
  <w:num w:numId="1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29"/>
  </w:num>
  <w:num w:numId="18">
    <w:abstractNumId w:val="6"/>
  </w:num>
  <w:num w:numId="19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6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2"/>
  </w:num>
  <w:num w:numId="23">
    <w:abstractNumId w:val="46"/>
  </w:num>
  <w:num w:numId="24">
    <w:abstractNumId w:val="39"/>
  </w:num>
  <w:num w:numId="25">
    <w:abstractNumId w:val="40"/>
  </w:num>
  <w:num w:numId="26">
    <w:abstractNumId w:val="15"/>
  </w:num>
  <w:num w:numId="27">
    <w:abstractNumId w:val="44"/>
  </w:num>
  <w:num w:numId="28">
    <w:abstractNumId w:val="37"/>
  </w:num>
  <w:num w:numId="29">
    <w:abstractNumId w:val="38"/>
  </w:num>
  <w:num w:numId="30">
    <w:abstractNumId w:val="11"/>
  </w:num>
  <w:num w:numId="31">
    <w:abstractNumId w:val="30"/>
  </w:num>
  <w:num w:numId="32">
    <w:abstractNumId w:val="22"/>
  </w:num>
  <w:num w:numId="33">
    <w:abstractNumId w:val="3"/>
  </w:num>
  <w:num w:numId="34">
    <w:abstractNumId w:val="35"/>
  </w:num>
  <w:num w:numId="35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</w:num>
  <w:num w:numId="38">
    <w:abstractNumId w:val="9"/>
  </w:num>
  <w:num w:numId="39">
    <w:abstractNumId w:val="0"/>
  </w:num>
  <w:num w:numId="40">
    <w:abstractNumId w:val="7"/>
  </w:num>
  <w:num w:numId="41">
    <w:abstractNumId w:val="19"/>
  </w:num>
  <w:num w:numId="42">
    <w:abstractNumId w:val="26"/>
  </w:num>
  <w:num w:numId="43">
    <w:abstractNumId w:val="28"/>
  </w:num>
  <w:num w:numId="44">
    <w:abstractNumId w:val="20"/>
  </w:num>
  <w:num w:numId="45">
    <w:abstractNumId w:val="43"/>
  </w:num>
  <w:num w:numId="46">
    <w:abstractNumId w:val="23"/>
  </w:num>
  <w:num w:numId="47">
    <w:abstractNumId w:val="41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5" w:default="1">
    <w:name w:val="Normal"/>
    <w:qFormat/>
    <w:rPr>
      <w:sz w:val="24"/>
      <w:szCs w:val="24"/>
      <w:lang w:eastAsia="ru-RU"/>
    </w:rPr>
  </w:style>
  <w:style w:type="paragraph" w:styleId="766">
    <w:name w:val="Heading 1"/>
    <w:basedOn w:val="765"/>
    <w:next w:val="765"/>
    <w:link w:val="970"/>
    <w:qFormat/>
    <w:pPr>
      <w:keepLines/>
      <w:keepNext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767">
    <w:name w:val="Heading 2"/>
    <w:basedOn w:val="765"/>
    <w:next w:val="765"/>
    <w:link w:val="961"/>
    <w:uiPriority w:val="99"/>
    <w:qFormat/>
    <w:pPr>
      <w:keepNext/>
      <w:spacing w:before="240" w:after="60"/>
      <w:outlineLvl w:val="1"/>
    </w:pPr>
    <w:rPr>
      <w:rFonts w:ascii="Arial" w:hAnsi="Arial"/>
      <w:b/>
      <w:i/>
      <w:szCs w:val="20"/>
      <w:lang w:eastAsia="en-US"/>
    </w:rPr>
  </w:style>
  <w:style w:type="paragraph" w:styleId="768">
    <w:name w:val="Heading 3"/>
    <w:basedOn w:val="765"/>
    <w:next w:val="765"/>
    <w:link w:val="7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9">
    <w:name w:val="Heading 4"/>
    <w:basedOn w:val="765"/>
    <w:next w:val="765"/>
    <w:link w:val="7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765"/>
    <w:next w:val="765"/>
    <w:link w:val="7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71">
    <w:name w:val="Heading 6"/>
    <w:basedOn w:val="765"/>
    <w:next w:val="765"/>
    <w:link w:val="7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2">
    <w:name w:val="Heading 7"/>
    <w:basedOn w:val="765"/>
    <w:next w:val="765"/>
    <w:link w:val="7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3">
    <w:name w:val="Heading 8"/>
    <w:basedOn w:val="765"/>
    <w:next w:val="765"/>
    <w:link w:val="7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4">
    <w:name w:val="Heading 9"/>
    <w:basedOn w:val="765"/>
    <w:next w:val="765"/>
    <w:link w:val="8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character" w:styleId="778" w:customStyle="1">
    <w:name w:val="Heading 3 Char"/>
    <w:basedOn w:val="775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Heading 4 Char"/>
    <w:basedOn w:val="775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Heading 5 Char"/>
    <w:basedOn w:val="775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Heading 6 Char"/>
    <w:basedOn w:val="775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Heading 7 Char"/>
    <w:basedOn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Heading 8 Char"/>
    <w:basedOn w:val="775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Heading 9 Char"/>
    <w:basedOn w:val="775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5"/>
    <w:uiPriority w:val="10"/>
    <w:rPr>
      <w:sz w:val="48"/>
      <w:szCs w:val="48"/>
    </w:rPr>
  </w:style>
  <w:style w:type="character" w:styleId="786" w:customStyle="1">
    <w:name w:val="Subtitle Char"/>
    <w:basedOn w:val="775"/>
    <w:uiPriority w:val="11"/>
    <w:rPr>
      <w:sz w:val="24"/>
      <w:szCs w:val="24"/>
    </w:rPr>
  </w:style>
  <w:style w:type="character" w:styleId="787" w:customStyle="1">
    <w:name w:val="Quote Char"/>
    <w:uiPriority w:val="29"/>
    <w:rPr>
      <w:i/>
    </w:rPr>
  </w:style>
  <w:style w:type="character" w:styleId="788" w:customStyle="1">
    <w:name w:val="Intense Quote Char"/>
    <w:uiPriority w:val="30"/>
    <w:rPr>
      <w:i/>
    </w:rPr>
  </w:style>
  <w:style w:type="character" w:styleId="789" w:customStyle="1">
    <w:name w:val="Caption Char"/>
    <w:basedOn w:val="775"/>
    <w:uiPriority w:val="35"/>
    <w:rPr>
      <w:b/>
      <w:bCs/>
      <w:color w:val="4f81bd" w:themeColor="accent1"/>
      <w:sz w:val="18"/>
      <w:szCs w:val="18"/>
    </w:rPr>
  </w:style>
  <w:style w:type="character" w:styleId="790" w:customStyle="1">
    <w:name w:val="Footnote Text Char"/>
    <w:uiPriority w:val="99"/>
    <w:rPr>
      <w:sz w:val="18"/>
    </w:rPr>
  </w:style>
  <w:style w:type="character" w:styleId="791" w:customStyle="1">
    <w:name w:val="Endnote Text Char"/>
    <w:uiPriority w:val="99"/>
    <w:rPr>
      <w:sz w:val="20"/>
    </w:rPr>
  </w:style>
  <w:style w:type="character" w:styleId="792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93" w:customStyle="1">
    <w:name w:val="Heading 2 Char"/>
    <w:uiPriority w:val="9"/>
    <w:rPr>
      <w:rFonts w:ascii="Arial" w:hAnsi="Arial" w:eastAsia="Arial" w:cs="Arial"/>
      <w:sz w:val="34"/>
    </w:rPr>
  </w:style>
  <w:style w:type="character" w:styleId="794" w:customStyle="1">
    <w:name w:val="Заголовок 3 Знак"/>
    <w:link w:val="768"/>
    <w:uiPriority w:val="9"/>
    <w:rPr>
      <w:rFonts w:ascii="Arial" w:hAnsi="Arial" w:eastAsia="Arial" w:cs="Arial"/>
      <w:sz w:val="30"/>
      <w:szCs w:val="30"/>
    </w:rPr>
  </w:style>
  <w:style w:type="character" w:styleId="795" w:customStyle="1">
    <w:name w:val="Заголовок 4 Знак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96" w:customStyle="1">
    <w:name w:val="Заголовок 5 Знак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97" w:customStyle="1">
    <w:name w:val="Заголовок 6 Знак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98" w:customStyle="1">
    <w:name w:val="Заголовок 7 Знак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9" w:customStyle="1">
    <w:name w:val="Заголовок 8 Знак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800" w:customStyle="1">
    <w:name w:val="Заголовок 9 Знак"/>
    <w:link w:val="774"/>
    <w:uiPriority w:val="9"/>
    <w:rPr>
      <w:rFonts w:ascii="Arial" w:hAnsi="Arial" w:eastAsia="Arial" w:cs="Arial"/>
      <w:i/>
      <w:iCs/>
      <w:sz w:val="21"/>
      <w:szCs w:val="21"/>
    </w:rPr>
  </w:style>
  <w:style w:type="paragraph" w:styleId="801">
    <w:name w:val="List Paragraph"/>
    <w:basedOn w:val="765"/>
    <w:uiPriority w:val="34"/>
    <w:qFormat/>
    <w:pPr>
      <w:contextualSpacing/>
      <w:ind w:left="720"/>
    </w:pPr>
  </w:style>
  <w:style w:type="paragraph" w:styleId="802">
    <w:name w:val="No Spacing"/>
    <w:uiPriority w:val="1"/>
    <w:qFormat/>
  </w:style>
  <w:style w:type="paragraph" w:styleId="803">
    <w:name w:val="Title"/>
    <w:basedOn w:val="765"/>
    <w:next w:val="765"/>
    <w:link w:val="8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4" w:customStyle="1">
    <w:name w:val="Заголовок Знак"/>
    <w:link w:val="803"/>
    <w:uiPriority w:val="10"/>
    <w:rPr>
      <w:sz w:val="48"/>
      <w:szCs w:val="48"/>
    </w:rPr>
  </w:style>
  <w:style w:type="paragraph" w:styleId="805">
    <w:name w:val="Subtitle"/>
    <w:basedOn w:val="765"/>
    <w:next w:val="765"/>
    <w:link w:val="806"/>
    <w:uiPriority w:val="11"/>
    <w:qFormat/>
    <w:pPr>
      <w:spacing w:before="200" w:after="200"/>
    </w:pPr>
  </w:style>
  <w:style w:type="character" w:styleId="806" w:customStyle="1">
    <w:name w:val="Подзаголовок Знак"/>
    <w:link w:val="805"/>
    <w:uiPriority w:val="11"/>
    <w:rPr>
      <w:sz w:val="24"/>
      <w:szCs w:val="24"/>
    </w:rPr>
  </w:style>
  <w:style w:type="paragraph" w:styleId="807">
    <w:name w:val="Quote"/>
    <w:basedOn w:val="765"/>
    <w:next w:val="765"/>
    <w:link w:val="808"/>
    <w:uiPriority w:val="29"/>
    <w:qFormat/>
    <w:pPr>
      <w:ind w:left="720" w:right="720"/>
    </w:pPr>
    <w:rPr>
      <w:i/>
    </w:rPr>
  </w:style>
  <w:style w:type="character" w:styleId="808" w:customStyle="1">
    <w:name w:val="Цитата 2 Знак"/>
    <w:link w:val="807"/>
    <w:uiPriority w:val="29"/>
    <w:rPr>
      <w:i/>
    </w:rPr>
  </w:style>
  <w:style w:type="paragraph" w:styleId="809">
    <w:name w:val="Intense Quote"/>
    <w:basedOn w:val="765"/>
    <w:next w:val="765"/>
    <w:link w:val="8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0" w:customStyle="1">
    <w:name w:val="Выделенная цитата Знак"/>
    <w:link w:val="809"/>
    <w:uiPriority w:val="30"/>
    <w:rPr>
      <w:i/>
    </w:rPr>
  </w:style>
  <w:style w:type="paragraph" w:styleId="811">
    <w:name w:val="Header"/>
    <w:basedOn w:val="765"/>
    <w:link w:val="98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12" w:customStyle="1">
    <w:name w:val="Header Char"/>
    <w:uiPriority w:val="99"/>
  </w:style>
  <w:style w:type="paragraph" w:styleId="813">
    <w:name w:val="Footer"/>
    <w:basedOn w:val="765"/>
    <w:link w:val="98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14" w:customStyle="1">
    <w:name w:val="Footer Char"/>
    <w:uiPriority w:val="99"/>
  </w:style>
  <w:style w:type="paragraph" w:styleId="815">
    <w:name w:val="Caption"/>
    <w:basedOn w:val="765"/>
    <w:next w:val="765"/>
    <w:link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6" w:customStyle="1">
    <w:name w:val="Название объекта Знак"/>
    <w:link w:val="815"/>
    <w:uiPriority w:val="35"/>
    <w:rPr>
      <w:b/>
      <w:bCs/>
      <w:color w:val="4f81bd" w:themeColor="accent1"/>
      <w:sz w:val="18"/>
      <w:szCs w:val="18"/>
    </w:rPr>
  </w:style>
  <w:style w:type="table" w:styleId="817">
    <w:name w:val="Table Grid"/>
    <w:basedOn w:val="776"/>
    <w:uiPriority w:val="59"/>
    <w:tblPr/>
  </w:style>
  <w:style w:type="table" w:styleId="81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9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0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4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2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9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6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7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1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3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4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5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6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7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8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9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0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1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2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3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4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5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4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3">
    <w:name w:val="Hyperlink"/>
    <w:uiPriority w:val="99"/>
    <w:rPr>
      <w:rFonts w:cs="Times New Roman"/>
      <w:color w:val="0000ff"/>
      <w:u w:val="single"/>
    </w:rPr>
  </w:style>
  <w:style w:type="paragraph" w:styleId="944">
    <w:name w:val="footnote text"/>
    <w:basedOn w:val="765"/>
    <w:link w:val="945"/>
    <w:uiPriority w:val="99"/>
    <w:semiHidden/>
    <w:unhideWhenUsed/>
    <w:pPr>
      <w:spacing w:after="40"/>
    </w:pPr>
    <w:rPr>
      <w:sz w:val="18"/>
    </w:rPr>
  </w:style>
  <w:style w:type="character" w:styleId="945" w:customStyle="1">
    <w:name w:val="Текст сноски Знак"/>
    <w:link w:val="944"/>
    <w:uiPriority w:val="99"/>
    <w:rPr>
      <w:sz w:val="18"/>
    </w:rPr>
  </w:style>
  <w:style w:type="character" w:styleId="946">
    <w:name w:val="footnote reference"/>
    <w:uiPriority w:val="99"/>
    <w:unhideWhenUsed/>
    <w:rPr>
      <w:vertAlign w:val="superscript"/>
    </w:rPr>
  </w:style>
  <w:style w:type="paragraph" w:styleId="947">
    <w:name w:val="endnote text"/>
    <w:basedOn w:val="765"/>
    <w:link w:val="948"/>
    <w:uiPriority w:val="99"/>
    <w:semiHidden/>
    <w:unhideWhenUsed/>
    <w:rPr>
      <w:sz w:val="20"/>
    </w:rPr>
  </w:style>
  <w:style w:type="character" w:styleId="948" w:customStyle="1">
    <w:name w:val="Текст концевой сноски Знак"/>
    <w:link w:val="947"/>
    <w:uiPriority w:val="99"/>
    <w:rPr>
      <w:sz w:val="20"/>
    </w:rPr>
  </w:style>
  <w:style w:type="character" w:styleId="949">
    <w:name w:val="endnote reference"/>
    <w:uiPriority w:val="99"/>
    <w:semiHidden/>
    <w:unhideWhenUsed/>
    <w:rPr>
      <w:vertAlign w:val="superscript"/>
    </w:rPr>
  </w:style>
  <w:style w:type="paragraph" w:styleId="950">
    <w:name w:val="toc 1"/>
    <w:basedOn w:val="765"/>
    <w:next w:val="765"/>
    <w:uiPriority w:val="39"/>
    <w:unhideWhenUsed/>
    <w:pPr>
      <w:spacing w:after="57"/>
    </w:pPr>
  </w:style>
  <w:style w:type="paragraph" w:styleId="951">
    <w:name w:val="toc 2"/>
    <w:basedOn w:val="765"/>
    <w:next w:val="765"/>
    <w:uiPriority w:val="39"/>
    <w:unhideWhenUsed/>
    <w:pPr>
      <w:ind w:left="283"/>
      <w:spacing w:after="57"/>
    </w:pPr>
  </w:style>
  <w:style w:type="paragraph" w:styleId="952">
    <w:name w:val="toc 3"/>
    <w:basedOn w:val="765"/>
    <w:next w:val="765"/>
    <w:uiPriority w:val="39"/>
    <w:unhideWhenUsed/>
    <w:pPr>
      <w:ind w:left="567"/>
      <w:spacing w:after="57"/>
    </w:pPr>
  </w:style>
  <w:style w:type="paragraph" w:styleId="953">
    <w:name w:val="toc 4"/>
    <w:basedOn w:val="765"/>
    <w:next w:val="765"/>
    <w:uiPriority w:val="39"/>
    <w:unhideWhenUsed/>
    <w:pPr>
      <w:ind w:left="850"/>
      <w:spacing w:after="57"/>
    </w:pPr>
  </w:style>
  <w:style w:type="paragraph" w:styleId="954">
    <w:name w:val="toc 5"/>
    <w:basedOn w:val="765"/>
    <w:next w:val="765"/>
    <w:uiPriority w:val="39"/>
    <w:unhideWhenUsed/>
    <w:pPr>
      <w:ind w:left="1134"/>
      <w:spacing w:after="57"/>
    </w:pPr>
  </w:style>
  <w:style w:type="paragraph" w:styleId="955">
    <w:name w:val="toc 6"/>
    <w:basedOn w:val="765"/>
    <w:next w:val="765"/>
    <w:uiPriority w:val="39"/>
    <w:unhideWhenUsed/>
    <w:pPr>
      <w:ind w:left="1417"/>
      <w:spacing w:after="57"/>
    </w:pPr>
  </w:style>
  <w:style w:type="paragraph" w:styleId="956">
    <w:name w:val="toc 7"/>
    <w:basedOn w:val="765"/>
    <w:next w:val="765"/>
    <w:uiPriority w:val="39"/>
    <w:unhideWhenUsed/>
    <w:pPr>
      <w:ind w:left="1701"/>
      <w:spacing w:after="57"/>
    </w:pPr>
  </w:style>
  <w:style w:type="paragraph" w:styleId="957">
    <w:name w:val="toc 8"/>
    <w:basedOn w:val="765"/>
    <w:next w:val="765"/>
    <w:uiPriority w:val="39"/>
    <w:unhideWhenUsed/>
    <w:pPr>
      <w:ind w:left="1984"/>
      <w:spacing w:after="57"/>
    </w:pPr>
  </w:style>
  <w:style w:type="paragraph" w:styleId="958">
    <w:name w:val="toc 9"/>
    <w:basedOn w:val="765"/>
    <w:next w:val="765"/>
    <w:uiPriority w:val="39"/>
    <w:unhideWhenUsed/>
    <w:pPr>
      <w:ind w:left="2268"/>
      <w:spacing w:after="57"/>
    </w:pPr>
  </w:style>
  <w:style w:type="paragraph" w:styleId="959">
    <w:name w:val="TOC Heading"/>
    <w:uiPriority w:val="39"/>
    <w:unhideWhenUsed/>
  </w:style>
  <w:style w:type="paragraph" w:styleId="960">
    <w:name w:val="table of figures"/>
    <w:basedOn w:val="765"/>
    <w:next w:val="765"/>
    <w:uiPriority w:val="99"/>
    <w:unhideWhenUsed/>
  </w:style>
  <w:style w:type="character" w:styleId="961" w:customStyle="1">
    <w:name w:val="Заголовок 2 Знак"/>
    <w:link w:val="767"/>
    <w:uiPriority w:val="99"/>
    <w:rPr>
      <w:rFonts w:ascii="Arial" w:hAnsi="Arial"/>
      <w:b/>
      <w:i/>
      <w:sz w:val="24"/>
      <w:lang w:eastAsia="en-US"/>
    </w:rPr>
  </w:style>
  <w:style w:type="paragraph" w:styleId="962" w:customStyle="1">
    <w:name w:val="Без интервала;Основной;Основа;Без интервал"/>
    <w:link w:val="963"/>
    <w:uiPriority w:val="99"/>
    <w:qFormat/>
    <w:pPr>
      <w:jc w:val="both"/>
    </w:pPr>
    <w:rPr>
      <w:rFonts w:ascii="Calibri" w:hAnsi="Calibri" w:eastAsia="Calibri"/>
      <w:sz w:val="22"/>
      <w:szCs w:val="22"/>
      <w:lang w:eastAsia="ru-RU"/>
    </w:rPr>
  </w:style>
  <w:style w:type="character" w:styleId="963" w:customStyle="1">
    <w:name w:val="Без интервала Знак;Основной Знак;Основа Знак;Без интервал Знак"/>
    <w:link w:val="962"/>
    <w:uiPriority w:val="99"/>
    <w:qFormat/>
    <w:rPr>
      <w:rFonts w:ascii="Calibri" w:hAnsi="Calibri" w:eastAsia="Calibri"/>
      <w:sz w:val="22"/>
      <w:szCs w:val="22"/>
      <w:lang w:bidi="ar-SA"/>
    </w:rPr>
  </w:style>
  <w:style w:type="paragraph" w:styleId="964" w:customStyle="1">
    <w:name w:val="Без интервала1"/>
    <w:link w:val="965"/>
    <w:uiPriority w:val="99"/>
    <w:pPr>
      <w:widowControl w:val="off"/>
    </w:pPr>
    <w:rPr>
      <w:rFonts w:eastAsia="Calibri"/>
      <w:lang w:eastAsia="ru-RU"/>
    </w:rPr>
  </w:style>
  <w:style w:type="character" w:styleId="965" w:customStyle="1">
    <w:name w:val="No Spacing Char"/>
    <w:link w:val="964"/>
    <w:uiPriority w:val="99"/>
    <w:rPr>
      <w:rFonts w:eastAsia="Calibri"/>
      <w:lang w:val="ru-RU" w:eastAsia="ru-RU" w:bidi="ar-SA"/>
    </w:rPr>
  </w:style>
  <w:style w:type="paragraph" w:styleId="966" w:customStyle="1">
    <w:name w:val="ConsPlusNormal"/>
    <w:link w:val="967"/>
    <w:uiPriority w:val="99"/>
    <w:pPr>
      <w:widowControl w:val="off"/>
    </w:pPr>
    <w:rPr>
      <w:rFonts w:ascii="Calibri" w:hAnsi="Calibri"/>
      <w:sz w:val="22"/>
      <w:szCs w:val="22"/>
      <w:lang w:eastAsia="ru-RU"/>
    </w:rPr>
  </w:style>
  <w:style w:type="character" w:styleId="967" w:customStyle="1">
    <w:name w:val="ConsPlusNormal Знак"/>
    <w:link w:val="966"/>
    <w:uiPriority w:val="99"/>
    <w:rPr>
      <w:rFonts w:ascii="Calibri" w:hAnsi="Calibri"/>
      <w:sz w:val="22"/>
      <w:szCs w:val="22"/>
      <w:lang w:bidi="ar-SA"/>
    </w:rPr>
  </w:style>
  <w:style w:type="paragraph" w:styleId="968" w:customStyle="1">
    <w:name w:val="Абзац списка;ТЗ список;Абзац списка литеральный;Булет1;1Булет;Bullet List;FooterText;numbered"/>
    <w:basedOn w:val="765"/>
    <w:link w:val="969"/>
    <w:uiPriority w:val="34"/>
    <w:qFormat/>
    <w:pPr>
      <w:contextualSpacing/>
      <w:ind w:left="720"/>
      <w:spacing w:after="160" w:line="259" w:lineRule="auto"/>
    </w:pPr>
    <w:rPr>
      <w:rFonts w:ascii="Calibri" w:hAnsi="Calibri"/>
      <w:sz w:val="22"/>
      <w:szCs w:val="22"/>
      <w:lang w:val="en-US" w:eastAsia="en-US"/>
    </w:rPr>
  </w:style>
  <w:style w:type="character" w:styleId="969" w:customStyle="1">
    <w:name w:val="Абзац списка Знак;ТЗ список Знак;Абзац списка литеральный Знак;Булет1 Знак;1Булет Знак;Bullet List Знак;FooterText Знак;numbered Знак"/>
    <w:link w:val="968"/>
    <w:uiPriority w:val="34"/>
    <w:rPr>
      <w:rFonts w:ascii="Calibri" w:hAnsi="Calibri"/>
      <w:sz w:val="22"/>
      <w:szCs w:val="22"/>
    </w:rPr>
  </w:style>
  <w:style w:type="character" w:styleId="970" w:customStyle="1">
    <w:name w:val="Заголовок 1 Знак"/>
    <w:link w:val="766"/>
    <w:rPr>
      <w:rFonts w:ascii="Cambria" w:hAnsi="Cambria" w:eastAsia="Times New Roman" w:cs="Times New Roman"/>
      <w:b/>
      <w:bCs/>
      <w:color w:val="365f91"/>
      <w:sz w:val="28"/>
      <w:szCs w:val="28"/>
    </w:rPr>
  </w:style>
  <w:style w:type="paragraph" w:styleId="971">
    <w:name w:val="Body Text"/>
    <w:basedOn w:val="765"/>
    <w:link w:val="972"/>
    <w:uiPriority w:val="99"/>
    <w:pPr>
      <w:spacing w:before="60" w:after="120"/>
    </w:pPr>
    <w:rPr>
      <w:rFonts w:ascii="Arial" w:hAnsi="Arial" w:eastAsia="Calibri"/>
      <w:sz w:val="20"/>
      <w:szCs w:val="20"/>
      <w:lang w:eastAsia="en-US"/>
    </w:rPr>
  </w:style>
  <w:style w:type="character" w:styleId="972" w:customStyle="1">
    <w:name w:val="Основной текст Знак"/>
    <w:link w:val="971"/>
    <w:uiPriority w:val="99"/>
    <w:rPr>
      <w:rFonts w:ascii="Arial" w:hAnsi="Arial" w:eastAsia="Calibri"/>
      <w:lang w:eastAsia="en-US"/>
    </w:rPr>
  </w:style>
  <w:style w:type="paragraph" w:styleId="973" w:customStyle="1">
    <w:name w:val="Название"/>
    <w:basedOn w:val="765"/>
    <w:link w:val="974"/>
    <w:uiPriority w:val="99"/>
    <w:qFormat/>
    <w:pPr>
      <w:jc w:val="center"/>
      <w:widowControl w:val="off"/>
    </w:pPr>
    <w:rPr>
      <w:rFonts w:eastAsia="Calibri"/>
    </w:rPr>
  </w:style>
  <w:style w:type="character" w:styleId="974" w:customStyle="1">
    <w:name w:val="Название Знак"/>
    <w:link w:val="973"/>
    <w:uiPriority w:val="99"/>
    <w:rPr>
      <w:rFonts w:eastAsia="Calibri"/>
      <w:sz w:val="24"/>
      <w:szCs w:val="24"/>
    </w:rPr>
  </w:style>
  <w:style w:type="paragraph" w:styleId="975" w:customStyle="1">
    <w:name w:val="Обычный (веб);Обычный (веб) Знак;Знак Знак2;Обычный (веб) Знак Знак Знак1;Знак Знак Знак;Знак Знак Знак Знак Знак;Обычный (веб) Знак Знак Знак Знак;Знак Знак Знак1 Знак Знак;Обычный (веб) Знак Знак Знак;Знак Знак6;Обычный (Web);Çàã1;BO;ID"/>
    <w:basedOn w:val="765"/>
    <w:link w:val="976"/>
    <w:uiPriority w:val="99"/>
    <w:qFormat/>
    <w:pPr>
      <w:spacing w:before="100" w:beforeAutospacing="1" w:after="100" w:afterAutospacing="1"/>
    </w:pPr>
    <w:rPr>
      <w:lang w:val="en-US" w:eastAsia="en-US"/>
    </w:rPr>
  </w:style>
  <w:style w:type="character" w:styleId="976" w:customStyle="1">
    <w:name w:val="Обычный (веб) Знак1;Обычный (веб) Знак Знак;Знак Знак2 Знак;Обычный (веб) Знак Знак Знак1 Знак;Знак Знак Знак Знак;Знак Знак Знак Знак Знак Знак;Обычный (веб) Знак Знак Знак Знак Знак;Знак Знак Знак1 Знак Знак Знак;Обычный (веб) Знак Знак Знак Знак1"/>
    <w:link w:val="975"/>
    <w:uiPriority w:val="99"/>
    <w:rPr>
      <w:sz w:val="24"/>
      <w:szCs w:val="24"/>
    </w:rPr>
  </w:style>
  <w:style w:type="character" w:styleId="977" w:customStyle="1">
    <w:name w:val="Основной текст (4)_"/>
    <w:link w:val="978"/>
    <w:uiPriority w:val="99"/>
    <w:rPr>
      <w:shd w:val="clear" w:color="auto" w:fill="ffffff"/>
    </w:rPr>
  </w:style>
  <w:style w:type="paragraph" w:styleId="978" w:customStyle="1">
    <w:name w:val="Основной текст (4)1"/>
    <w:basedOn w:val="765"/>
    <w:link w:val="977"/>
    <w:uiPriority w:val="99"/>
    <w:pPr>
      <w:jc w:val="both"/>
      <w:spacing w:before="420" w:line="263" w:lineRule="exact"/>
      <w:shd w:val="clear" w:color="auto" w:fill="ffffff"/>
      <w:widowControl w:val="off"/>
    </w:pPr>
    <w:rPr>
      <w:sz w:val="20"/>
      <w:szCs w:val="20"/>
    </w:r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cs="Courier New"/>
      <w:lang w:eastAsia="ru-RU"/>
    </w:rPr>
  </w:style>
  <w:style w:type="character" w:styleId="980" w:customStyle="1">
    <w:name w:val="Верхний колонтитул Знак"/>
    <w:link w:val="811"/>
    <w:uiPriority w:val="99"/>
    <w:rPr>
      <w:sz w:val="24"/>
      <w:szCs w:val="24"/>
    </w:rPr>
  </w:style>
  <w:style w:type="character" w:styleId="981" w:customStyle="1">
    <w:name w:val="Нижний колонтитул Знак"/>
    <w:link w:val="813"/>
    <w:uiPriority w:val="99"/>
    <w:rPr>
      <w:sz w:val="24"/>
      <w:szCs w:val="24"/>
    </w:rPr>
  </w:style>
  <w:style w:type="paragraph" w:styleId="982">
    <w:name w:val="Balloon Text"/>
    <w:basedOn w:val="765"/>
    <w:link w:val="983"/>
    <w:semiHidden/>
    <w:unhideWhenUsed/>
    <w:rPr>
      <w:rFonts w:ascii="Segoe UI" w:hAnsi="Segoe UI" w:cs="Segoe UI"/>
      <w:sz w:val="18"/>
      <w:szCs w:val="18"/>
    </w:rPr>
  </w:style>
  <w:style w:type="character" w:styleId="983" w:customStyle="1">
    <w:name w:val="Текст выноски Знак"/>
    <w:link w:val="982"/>
    <w:semiHidden/>
    <w:rPr>
      <w:rFonts w:ascii="Segoe UI" w:hAnsi="Segoe UI" w:cs="Segoe UI"/>
      <w:sz w:val="18"/>
      <w:szCs w:val="18"/>
    </w:rPr>
  </w:style>
  <w:style w:type="paragraph" w:styleId="984">
    <w:name w:val="Body Text Indent 2"/>
    <w:basedOn w:val="765"/>
    <w:link w:val="985"/>
    <w:unhideWhenUsed/>
    <w:pPr>
      <w:ind w:left="283"/>
      <w:spacing w:after="120" w:line="480" w:lineRule="auto"/>
    </w:pPr>
  </w:style>
  <w:style w:type="character" w:styleId="985" w:customStyle="1">
    <w:name w:val="Основной текст с отступом 2 Знак"/>
    <w:link w:val="984"/>
    <w:rPr>
      <w:sz w:val="24"/>
      <w:szCs w:val="24"/>
    </w:rPr>
  </w:style>
  <w:style w:type="paragraph" w:styleId="986">
    <w:name w:val="Body Text 2"/>
    <w:basedOn w:val="765"/>
    <w:link w:val="987"/>
    <w:semiHidden/>
    <w:unhideWhenUsed/>
    <w:pPr>
      <w:spacing w:after="120" w:line="480" w:lineRule="auto"/>
    </w:pPr>
  </w:style>
  <w:style w:type="character" w:styleId="987" w:customStyle="1">
    <w:name w:val="Основной текст 2 Знак"/>
    <w:link w:val="986"/>
    <w:semiHidden/>
    <w:rPr>
      <w:sz w:val="24"/>
      <w:szCs w:val="24"/>
    </w:rPr>
  </w:style>
  <w:style w:type="table" w:styleId="988" w:customStyle="1">
    <w:name w:val="TableGrid1"/>
    <w:rPr>
      <w:rFonts w:ascii="Calibri" w:hAnsi="Calibri"/>
      <w:sz w:val="22"/>
      <w:szCs w:val="22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989">
    <w:name w:val="annotation reference"/>
    <w:uiPriority w:val="99"/>
    <w:semiHidden/>
    <w:unhideWhenUsed/>
    <w:rPr>
      <w:sz w:val="16"/>
      <w:szCs w:val="16"/>
    </w:rPr>
  </w:style>
  <w:style w:type="paragraph" w:styleId="990">
    <w:name w:val="Body Text Indent"/>
    <w:basedOn w:val="765"/>
    <w:link w:val="991"/>
    <w:unhideWhenUsed/>
    <w:pPr>
      <w:ind w:left="283"/>
      <w:spacing w:after="120"/>
    </w:pPr>
  </w:style>
  <w:style w:type="character" w:styleId="991" w:customStyle="1">
    <w:name w:val="Основной текст с отступом Знак"/>
    <w:link w:val="990"/>
    <w:rPr>
      <w:sz w:val="24"/>
      <w:szCs w:val="24"/>
    </w:rPr>
  </w:style>
  <w:style w:type="paragraph" w:styleId="992" w:customStyle="1">
    <w:name w:val="rel"/>
    <w:basedOn w:val="765"/>
    <w:rPr>
      <w:rFonts w:ascii="Verdana" w:hAnsi="Verdana" w:cs="Verdana"/>
      <w:color w:val="333333"/>
      <w:sz w:val="20"/>
      <w:szCs w:val="20"/>
      <w:lang w:eastAsia="ar-SA"/>
    </w:rPr>
  </w:style>
  <w:style w:type="character" w:styleId="993" w:customStyle="1">
    <w:name w:val="Основной текст (2)"/>
    <w:rPr>
      <w:rFonts w:ascii="Times New Roman" w:hAnsi="Times New Roman" w:eastAsia="Times New Roman" w:cs="Times New Roman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994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styleId="995" w:customStyle="1">
    <w:name w:val="Lb1"/>
    <w:basedOn w:val="765"/>
    <w:pPr>
      <w:numPr>
        <w:ilvl w:val="0"/>
        <w:numId w:val="41"/>
      </w:numPr>
      <w:spacing w:line="240" w:lineRule="atLeast"/>
    </w:pPr>
    <w:rPr>
      <w:rFonts w:ascii="Tahoma" w:hAnsi="Tahoma" w:cs="Tahoma"/>
      <w:sz w:val="18"/>
      <w:szCs w:val="20"/>
      <w:lang w:val="en-US" w:eastAsia="zh-CN"/>
    </w:rPr>
  </w:style>
  <w:style w:type="paragraph" w:styleId="996" w:customStyle="1">
    <w:name w:val="Описание курса - заголовок раздела"/>
    <w:basedOn w:val="766"/>
    <w:pPr>
      <w:keepLines w:val="0"/>
      <w:spacing w:before="240" w:after="60" w:line="240" w:lineRule="atLeast"/>
    </w:pPr>
    <w:rPr>
      <w:rFonts w:ascii="Arial" w:hAnsi="Arial" w:cs="Arial"/>
      <w:color w:val="000000"/>
      <w:sz w:val="32"/>
      <w:szCs w:val="32"/>
      <w:lang w:eastAsia="zh-CN"/>
    </w:rPr>
  </w:style>
  <w:style w:type="paragraph" w:styleId="997" w:customStyle="1">
    <w:name w:val="Описание курса - абзац"/>
    <w:basedOn w:val="765"/>
    <w:pPr>
      <w:spacing w:before="60" w:after="60" w:line="240" w:lineRule="atLeast"/>
    </w:pPr>
    <w:rPr>
      <w:rFonts w:ascii="Arial" w:hAnsi="Arial" w:cs="Arial"/>
      <w:sz w:val="18"/>
      <w:szCs w:val="20"/>
      <w:lang w:eastAsia="zh-CN"/>
    </w:rPr>
  </w:style>
  <w:style w:type="paragraph" w:styleId="998" w:customStyle="1">
    <w:name w:val="Описание курса - список"/>
    <w:basedOn w:val="995"/>
    <w:rPr>
      <w:rFonts w:ascii="Arial" w:hAnsi="Arial" w:cs="Arial"/>
    </w:rPr>
  </w:style>
  <w:style w:type="paragraph" w:styleId="999" w:customStyle="1">
    <w:name w:val="Modul"/>
    <w:basedOn w:val="996"/>
  </w:style>
  <w:style w:type="paragraph" w:styleId="1000" w:customStyle="1">
    <w:name w:val="Theme"/>
    <w:basedOn w:val="999"/>
    <w:pPr>
      <w:spacing w:before="120" w:after="0"/>
    </w:pPr>
    <w:rPr>
      <w:sz w:val="18"/>
    </w:rPr>
  </w:style>
  <w:style w:type="character" w:styleId="1001">
    <w:name w:val="Strong"/>
    <w:uiPriority w:val="22"/>
    <w:qFormat/>
    <w:rPr>
      <w:b/>
      <w:bCs/>
    </w:rPr>
  </w:style>
  <w:style w:type="character" w:styleId="1002">
    <w:name w:val="Emphasis"/>
    <w:uiPriority w:val="20"/>
    <w:qFormat/>
    <w:rPr>
      <w:i/>
      <w:iCs/>
    </w:rPr>
  </w:style>
  <w:style w:type="character" w:styleId="1003" w:customStyle="1">
    <w:name w:val="wmi-callto"/>
    <w:basedOn w:val="775"/>
  </w:style>
  <w:style w:type="paragraph" w:styleId="1004">
    <w:name w:val="Revision"/>
    <w:hidden/>
    <w:uiPriority w:val="99"/>
    <w:semiHidden/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consultantplus://offline/ref=86DD3AFC91B43B35B10D19A69FC4F0D092A142AD68463121B0FD4592ED4DDBFE6E1BDA897DC940F0m6MBM" TargetMode="External"/><Relationship Id="rId11" Type="http://schemas.openxmlformats.org/officeDocument/2006/relationships/hyperlink" Target="consultantplus://offline/ref=86DD3AFC91B43B35B10D19A69FC4F0D092A042A16D473121B0FD4592EDm4MDM" TargetMode="External"/><Relationship Id="rId12" Type="http://schemas.openxmlformats.org/officeDocument/2006/relationships/hyperlink" Target="consultantplus://offline/ref=86DD3AFC91B43B35B10D19A69FC4F0D092A142AD68463121B0FD4592EDm4MDM" TargetMode="External"/><Relationship Id="rId13" Type="http://schemas.openxmlformats.org/officeDocument/2006/relationships/hyperlink" Target="consultantplus://offline/ref=86DD3AFC91B43B35B10D19A69FC4F0D092A142AD68463121B0FD4592ED4DDBFE6E1BDA897DC941FEm6M5M" TargetMode="External"/><Relationship Id="rId14" Type="http://schemas.openxmlformats.org/officeDocument/2006/relationships/hyperlink" Target="mailto:Info@112lo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user45</dc:creator>
  <cp:lastModifiedBy>yug_dzhioeva</cp:lastModifiedBy>
  <cp:revision>12</cp:revision>
  <dcterms:created xsi:type="dcterms:W3CDTF">2026-02-04T05:43:00Z</dcterms:created>
  <dcterms:modified xsi:type="dcterms:W3CDTF">2026-10-07T12:37:55Z</dcterms:modified>
  <cp:version>1048576</cp:version>
</cp:coreProperties>
</file>