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5000" w:type="pct"/>
        <w:tblInd w:w="0" w:type="dxa"/>
        <w:tblLayout w:type="fixed"/>
        <w:tblLook w:val="04A0" w:firstRow="1" w:lastRow="0" w:firstColumn="1" w:lastColumn="0" w:noHBand="0" w:noVBand="1"/>
      </w:tblPr>
      <w:tblGrid>
        <w:gridCol w:w="313"/>
        <w:gridCol w:w="314"/>
        <w:gridCol w:w="314"/>
        <w:gridCol w:w="312"/>
        <w:gridCol w:w="312"/>
        <w:gridCol w:w="314"/>
        <w:gridCol w:w="312"/>
        <w:gridCol w:w="313"/>
        <w:gridCol w:w="312"/>
        <w:gridCol w:w="313"/>
        <w:gridCol w:w="313"/>
        <w:gridCol w:w="312"/>
        <w:gridCol w:w="314"/>
        <w:gridCol w:w="312"/>
        <w:gridCol w:w="312"/>
        <w:gridCol w:w="313"/>
        <w:gridCol w:w="313"/>
        <w:gridCol w:w="313"/>
        <w:gridCol w:w="312"/>
        <w:gridCol w:w="314"/>
        <w:gridCol w:w="312"/>
        <w:gridCol w:w="312"/>
        <w:gridCol w:w="313"/>
        <w:gridCol w:w="313"/>
        <w:gridCol w:w="313"/>
        <w:gridCol w:w="312"/>
        <w:gridCol w:w="312"/>
        <w:gridCol w:w="314"/>
        <w:gridCol w:w="312"/>
        <w:gridCol w:w="313"/>
        <w:gridCol w:w="313"/>
        <w:gridCol w:w="250"/>
        <w:gridCol w:w="312"/>
        <w:gridCol w:w="313"/>
        <w:gridCol w:w="201"/>
      </w:tblGrid>
      <w:tr w:rsidR="009B0FD7">
        <w:trPr>
          <w:cantSplit/>
        </w:trPr>
        <w:tc>
          <w:tcPr>
            <w:tcW w:w="10769" w:type="dxa"/>
            <w:gridSpan w:val="35"/>
            <w:shd w:val="clear" w:color="auto" w:fill="auto"/>
            <w:vAlign w:val="center"/>
          </w:tcPr>
          <w:p w:rsidR="00DE36E1" w:rsidRDefault="00E92E80">
            <w:pPr>
              <w:jc w:val="center"/>
              <w:rPr>
                <w:rFonts w:ascii="Times New Roman" w:hAnsi="Times New Roman"/>
                <w:b/>
                <w:kern w:val="0"/>
                <w:sz w:val="19"/>
                <w:szCs w:val="19"/>
              </w:rPr>
            </w:pPr>
            <w:r>
              <w:rPr>
                <w:rFonts w:ascii="Times New Roman" w:hAnsi="Times New Roman"/>
                <w:b/>
                <w:kern w:val="0"/>
                <w:sz w:val="19"/>
                <w:szCs w:val="19"/>
              </w:rPr>
              <w:t>Договор №</w:t>
            </w:r>
          </w:p>
          <w:p w:rsidR="009B0FD7" w:rsidRDefault="00E92E80">
            <w:pPr>
              <w:jc w:val="center"/>
              <w:rPr>
                <w:rFonts w:ascii="Arial" w:hAnsi="Arial"/>
                <w:kern w:val="0"/>
                <w:szCs w:val="20"/>
              </w:rPr>
            </w:pPr>
            <w:r>
              <w:rPr>
                <w:rFonts w:ascii="Times New Roman" w:hAnsi="Times New Roman"/>
                <w:b/>
                <w:kern w:val="0"/>
                <w:sz w:val="19"/>
                <w:szCs w:val="19"/>
              </w:rPr>
              <w:t>на оказание разовой услуги по сопровождению</w:t>
            </w:r>
          </w:p>
          <w:p w:rsidR="009B0FD7" w:rsidRDefault="00E92E80">
            <w:pPr>
              <w:jc w:val="center"/>
              <w:rPr>
                <w:rFonts w:ascii="Arial" w:hAnsi="Arial"/>
                <w:kern w:val="0"/>
                <w:szCs w:val="20"/>
              </w:rPr>
            </w:pPr>
            <w:r>
              <w:rPr>
                <w:rFonts w:ascii="Times New Roman" w:hAnsi="Times New Roman"/>
                <w:b/>
                <w:kern w:val="0"/>
                <w:sz w:val="19"/>
                <w:szCs w:val="19"/>
              </w:rPr>
              <w:t>программного продукта «1С:Предприятие»</w:t>
            </w:r>
          </w:p>
        </w:tc>
      </w:tr>
      <w:tr w:rsidR="009B0FD7">
        <w:trPr>
          <w:cantSplit/>
        </w:trPr>
        <w:tc>
          <w:tcPr>
            <w:tcW w:w="4065" w:type="dxa"/>
            <w:gridSpan w:val="13"/>
            <w:shd w:val="clear" w:color="auto" w:fill="auto"/>
            <w:vAlign w:val="bottom"/>
          </w:tcPr>
          <w:p w:rsidR="009B0FD7" w:rsidRDefault="00DE36E1">
            <w:pPr>
              <w:rPr>
                <w:rFonts w:ascii="Arial" w:hAnsi="Arial"/>
                <w:kern w:val="0"/>
                <w:szCs w:val="20"/>
              </w:rPr>
            </w:pPr>
            <w:r>
              <w:rPr>
                <w:rFonts w:ascii="Arial" w:hAnsi="Arial"/>
                <w:kern w:val="0"/>
                <w:szCs w:val="20"/>
              </w:rPr>
              <w:t>Г.</w:t>
            </w:r>
          </w:p>
        </w:tc>
        <w:tc>
          <w:tcPr>
            <w:tcW w:w="312"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5454" w:type="dxa"/>
            <w:gridSpan w:val="18"/>
            <w:shd w:val="clear" w:color="auto" w:fill="auto"/>
            <w:vAlign w:val="bottom"/>
          </w:tcPr>
          <w:p w:rsidR="009B0FD7" w:rsidRDefault="00E92E80">
            <w:pPr>
              <w:jc w:val="right"/>
              <w:rPr>
                <w:rFonts w:ascii="Arial" w:hAnsi="Arial"/>
                <w:kern w:val="0"/>
                <w:szCs w:val="20"/>
              </w:rPr>
            </w:pPr>
            <w:r>
              <w:rPr>
                <w:rFonts w:ascii="Times New Roman" w:hAnsi="Times New Roman"/>
                <w:kern w:val="0"/>
                <w:sz w:val="19"/>
                <w:szCs w:val="19"/>
              </w:rPr>
              <w:t>« ___ » __________ 20___ г.</w:t>
            </w:r>
          </w:p>
        </w:tc>
      </w:tr>
      <w:tr w:rsidR="009B0FD7">
        <w:trPr>
          <w:cantSplit/>
          <w:trHeight w:val="133"/>
        </w:trPr>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4"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4"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4"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4"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250" w:type="dxa"/>
            <w:shd w:val="clear" w:color="auto" w:fill="auto"/>
            <w:vAlign w:val="bottom"/>
          </w:tcPr>
          <w:p w:rsidR="009B0FD7" w:rsidRDefault="009B0FD7">
            <w:pPr>
              <w:jc w:val="both"/>
              <w:rPr>
                <w:rFonts w:ascii="Arial" w:hAnsi="Arial"/>
                <w:kern w:val="0"/>
                <w:szCs w:val="20"/>
              </w:rPr>
            </w:pPr>
          </w:p>
        </w:tc>
        <w:tc>
          <w:tcPr>
            <w:tcW w:w="312" w:type="dxa"/>
            <w:shd w:val="clear" w:color="auto" w:fill="auto"/>
            <w:vAlign w:val="bottom"/>
          </w:tcPr>
          <w:p w:rsidR="009B0FD7" w:rsidRDefault="009B0FD7">
            <w:pPr>
              <w:jc w:val="both"/>
              <w:rPr>
                <w:rFonts w:ascii="Arial" w:hAnsi="Arial"/>
                <w:kern w:val="0"/>
                <w:szCs w:val="20"/>
              </w:rPr>
            </w:pPr>
          </w:p>
        </w:tc>
        <w:tc>
          <w:tcPr>
            <w:tcW w:w="313" w:type="dxa"/>
            <w:shd w:val="clear" w:color="auto" w:fill="auto"/>
            <w:vAlign w:val="bottom"/>
          </w:tcPr>
          <w:p w:rsidR="009B0FD7" w:rsidRDefault="009B0FD7">
            <w:pPr>
              <w:jc w:val="both"/>
              <w:rPr>
                <w:rFonts w:ascii="Arial" w:hAnsi="Arial"/>
                <w:kern w:val="0"/>
                <w:szCs w:val="20"/>
              </w:rPr>
            </w:pPr>
          </w:p>
        </w:tc>
        <w:tc>
          <w:tcPr>
            <w:tcW w:w="201" w:type="dxa"/>
            <w:shd w:val="clear" w:color="auto" w:fill="auto"/>
            <w:vAlign w:val="bottom"/>
          </w:tcPr>
          <w:p w:rsidR="009B0FD7" w:rsidRDefault="009B0FD7">
            <w:pPr>
              <w:jc w:val="both"/>
              <w:rPr>
                <w:rFonts w:ascii="Arial" w:hAnsi="Arial"/>
                <w:kern w:val="0"/>
                <w:szCs w:val="20"/>
              </w:rPr>
            </w:pPr>
          </w:p>
        </w:tc>
      </w:tr>
      <w:tr w:rsidR="009B0FD7">
        <w:trPr>
          <w:cantSplit/>
        </w:trPr>
        <w:tc>
          <w:tcPr>
            <w:tcW w:w="10769" w:type="dxa"/>
            <w:gridSpan w:val="35"/>
            <w:shd w:val="clear" w:color="auto" w:fill="auto"/>
          </w:tcPr>
          <w:p w:rsidR="009B0FD7" w:rsidRPr="001B789C" w:rsidRDefault="00DE36E1" w:rsidP="00DE36E1">
            <w:pPr>
              <w:jc w:val="both"/>
              <w:rPr>
                <w:rFonts w:ascii="Arial" w:hAnsi="Arial"/>
                <w:kern w:val="0"/>
                <w:szCs w:val="20"/>
              </w:rPr>
            </w:pPr>
            <w:r w:rsidRPr="001B789C">
              <w:rPr>
                <w:rFonts w:ascii="Times New Roman" w:hAnsi="Times New Roman"/>
                <w:kern w:val="0"/>
                <w:sz w:val="19"/>
                <w:szCs w:val="19"/>
              </w:rPr>
              <w:t xml:space="preserve">                                                                 </w:t>
            </w:r>
            <w:r w:rsidR="00E92E80" w:rsidRPr="001B789C">
              <w:rPr>
                <w:rFonts w:ascii="Times New Roman" w:hAnsi="Times New Roman"/>
                <w:kern w:val="0"/>
                <w:sz w:val="19"/>
                <w:szCs w:val="19"/>
              </w:rPr>
              <w:t>" (далее – Исполнитель)  , в лице</w:t>
            </w:r>
            <w:r w:rsidRPr="001B789C">
              <w:rPr>
                <w:rFonts w:ascii="Times New Roman" w:hAnsi="Times New Roman"/>
                <w:kern w:val="0"/>
                <w:sz w:val="19"/>
                <w:szCs w:val="19"/>
              </w:rPr>
              <w:t xml:space="preserve">                                      </w:t>
            </w:r>
            <w:r w:rsidR="00E92E80" w:rsidRPr="001B789C">
              <w:rPr>
                <w:rFonts w:ascii="Times New Roman" w:hAnsi="Times New Roman"/>
                <w:kern w:val="0"/>
                <w:sz w:val="19"/>
                <w:szCs w:val="19"/>
              </w:rPr>
              <w:t xml:space="preserve">, действующего на основании </w:t>
            </w:r>
            <w:r w:rsidRPr="001B789C">
              <w:rPr>
                <w:rFonts w:ascii="Times New Roman" w:hAnsi="Times New Roman"/>
                <w:kern w:val="0"/>
                <w:sz w:val="19"/>
                <w:szCs w:val="19"/>
              </w:rPr>
              <w:t xml:space="preserve">                </w:t>
            </w:r>
            <w:r w:rsidR="00E92E80" w:rsidRPr="001B789C">
              <w:rPr>
                <w:rFonts w:ascii="Times New Roman" w:hAnsi="Times New Roman"/>
                <w:kern w:val="0"/>
                <w:sz w:val="19"/>
                <w:szCs w:val="19"/>
              </w:rPr>
              <w:t>, с одной стороны, и Комитет по образованию администрации муниципального образования Тихвинский муниципальный район Ленинградской области</w:t>
            </w:r>
            <w:r w:rsidRPr="001B789C">
              <w:rPr>
                <w:rFonts w:ascii="Times New Roman" w:hAnsi="Times New Roman"/>
                <w:kern w:val="0"/>
                <w:sz w:val="19"/>
                <w:szCs w:val="19"/>
              </w:rPr>
              <w:t xml:space="preserve"> от имени муниципального образования Тихвинский муниципальный район Ленинградской области</w:t>
            </w:r>
            <w:r w:rsidR="00E92E80" w:rsidRPr="001B789C">
              <w:rPr>
                <w:rFonts w:ascii="Times New Roman" w:hAnsi="Times New Roman"/>
                <w:kern w:val="0"/>
                <w:sz w:val="19"/>
                <w:szCs w:val="19"/>
              </w:rPr>
              <w:t>, именуемое в дальнейшем "Заказчик", в лице Председателя комитета Марины Геннадьевны Ткаченко,</w:t>
            </w:r>
          </w:p>
        </w:tc>
      </w:tr>
      <w:tr w:rsidR="009B0FD7">
        <w:trPr>
          <w:cantSplit/>
        </w:trPr>
        <w:tc>
          <w:tcPr>
            <w:tcW w:w="10769" w:type="dxa"/>
            <w:gridSpan w:val="35"/>
            <w:shd w:val="clear" w:color="auto" w:fill="auto"/>
          </w:tcPr>
          <w:p w:rsidR="009B0FD7" w:rsidRPr="001B789C" w:rsidRDefault="00E92E80" w:rsidP="00DE36E1">
            <w:pPr>
              <w:jc w:val="both"/>
              <w:rPr>
                <w:rFonts w:ascii="Arial" w:hAnsi="Arial"/>
                <w:kern w:val="0"/>
                <w:szCs w:val="20"/>
              </w:rPr>
            </w:pPr>
            <w:r w:rsidRPr="001B789C">
              <w:rPr>
                <w:rFonts w:ascii="Times New Roman" w:hAnsi="Times New Roman"/>
                <w:kern w:val="0"/>
                <w:sz w:val="19"/>
                <w:szCs w:val="19"/>
              </w:rPr>
              <w:t xml:space="preserve">действующего на основании  </w:t>
            </w:r>
            <w:r w:rsidR="00DE36E1" w:rsidRPr="001B789C">
              <w:rPr>
                <w:rFonts w:ascii="Times New Roman" w:hAnsi="Times New Roman"/>
                <w:kern w:val="0"/>
                <w:sz w:val="19"/>
                <w:szCs w:val="19"/>
              </w:rPr>
              <w:t xml:space="preserve">Положения, </w:t>
            </w:r>
            <w:r w:rsidRPr="001B789C">
              <w:rPr>
                <w:rFonts w:ascii="Times New Roman" w:hAnsi="Times New Roman"/>
                <w:kern w:val="0"/>
                <w:sz w:val="19"/>
                <w:szCs w:val="19"/>
              </w:rPr>
              <w:t xml:space="preserve"> с другой стороны,  заключили настоящий Договор о нижеследующем:</w:t>
            </w:r>
          </w:p>
        </w:tc>
      </w:tr>
      <w:tr w:rsidR="009B0FD7">
        <w:trPr>
          <w:cantSplit/>
        </w:trPr>
        <w:tc>
          <w:tcPr>
            <w:tcW w:w="10769" w:type="dxa"/>
            <w:gridSpan w:val="35"/>
            <w:shd w:val="clear" w:color="auto" w:fill="auto"/>
          </w:tcPr>
          <w:p w:rsidR="009B0FD7" w:rsidRPr="001B789C" w:rsidRDefault="00E92E80">
            <w:pPr>
              <w:jc w:val="center"/>
              <w:rPr>
                <w:rFonts w:ascii="Arial" w:hAnsi="Arial"/>
                <w:kern w:val="0"/>
                <w:szCs w:val="20"/>
              </w:rPr>
            </w:pPr>
            <w:r w:rsidRPr="001B789C">
              <w:rPr>
                <w:rFonts w:ascii="Times New Roman" w:hAnsi="Times New Roman"/>
                <w:b/>
                <w:kern w:val="0"/>
                <w:sz w:val="19"/>
                <w:szCs w:val="19"/>
              </w:rPr>
              <w:t>1. ПРЕДМЕТ ДОГОВОРА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1.1. Исполнитель обязуется оказать услуги по сопровождению программного продукта "1С:Предприятие" 1С:Бухгалтерия государственного учреждения 8 (далее-ПП), после его адаптации под потребности Заказчика.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1.2. Заказчик поручает, а Исполнитель принимает на себя обязательство оказать следующие виды услуг (далее-услуги):</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1.2.2. Сопровождение ПП экспертом 3 часа</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2. ПРАВА И ОБЯЗАННОСТИ ИСПОЛНИТЕЛЯ</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2.1. Исполнитель обязуется оказать услуги на территории и компьютерах Заказчика.</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3. ПРАВА И ОБЯЗАННОСТИ ЗАКАЗЧИКА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3.1. Заказчик обязуется своевременно принять и оплатить услуги в размере и сроки, предусмотренные в разделах 4 и 5настоящего Договора.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3.2. Заказчик обязуется обеспечить Исполнителю свободный доступ к компьютерам, необходимым для оказания услуг, предусмотренных настоящим Договором.</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3.3. В процессе эксплуатации ПП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3.4. Архивная копия, упомянутая в п. 3.3 настоящего Договора, создается и хранится Заказчиком на магнитном носителе, отличном от носителя рабочей базы данных.</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3.5. Заказчик полностью несет ответственность за правильность его методологии, управленческого и бухгалтерского учета.</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4. ПОРЯДОК СДАЧИ-ПРИЕМКИ  УСЛУГ</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4.1. По окончании срока оказания услуг Стороны составляют Акт выполненных работ (оказанных услуг) или универсальный передаточный документ. Заказчик обязуется подписать Акт выполненных работ (оказанных услуг) или универсальный передаточный документ или направить мотивированный отказ не позднее 3 (трех) календарных дней с момента его выставления.</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4.2. Заказчик, обнаруживший недостатки в оказанных услугах Исполнителя при их сдаче-приемке вправе ссылаться на них только в случаях, если в Акте выполненных работ (оказанных услуг) или универсальном передаточном документе были оговорены указанные недостатки.</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4.3. Заказчик, принявший услуги Исполнителя без проверки, лишается права ссылаться на недостатки услуг, которые могли и должны были быть установлены при обычных условиях приемки услуг по настоящему Договору (явные недостатки).</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4.4. Заказчик, обнаруживший после приемки услуг отступления от условий настоящего Договора или иные недостатки, которые не могли быть установлены при обычном способе приемки (скрытые недостатки), обязан известить об этом Исполнителя в течение одного месяца с момента сдачи-приемки услуг.</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4.5. При основательности претензий Заказчика Исполнитель обязан своими силами и за свой счет в десятидневный срок устранить недоделки и недостатки услуг.</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4.6. При отсутствии в установленный настоящим Договором срок обоснованного мотивированного отказа и/или  подписанного Акта выполненных работ (оказанных услуг) или универсального передаточного документа,  услуги считаются оказанными Исполнителем в полном объеме и с надлежащим качеством и принятыми Заказчиком на указанную Исполнителем в Акте выполненных работ (оказанных услуг) или универсальном передаточном документе дату и подлежат оплате в установленный настоящим Договором срок.</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 xml:space="preserve">4.7. Заказчик и </w:t>
            </w:r>
            <w:proofErr w:type="gramStart"/>
            <w:r>
              <w:rPr>
                <w:rFonts w:ascii="Times New Roman" w:hAnsi="Times New Roman"/>
                <w:kern w:val="0"/>
                <w:sz w:val="19"/>
                <w:szCs w:val="19"/>
              </w:rPr>
              <w:t>Исполнитель  согласились</w:t>
            </w:r>
            <w:proofErr w:type="gramEnd"/>
            <w:r>
              <w:rPr>
                <w:rFonts w:ascii="Times New Roman" w:hAnsi="Times New Roman"/>
                <w:kern w:val="0"/>
                <w:sz w:val="19"/>
                <w:szCs w:val="19"/>
              </w:rPr>
              <w:t>, что для первичных учетных документов, оформляемых в процессе  исполнения настоящего Договора, может применяться электронный документооборот. Первичные учетные документы оформляются Сторонами в соответствии с действующим законодательством, в том числе в соответствии с Федеральным законом от 6 апреля 2011 г. № 63-ФЗ "Об электронной подписи". Первичный учетный документ в электронной форме, подписанный квалифицированной электронной подписью, признается электронным документом, равнозначным первичному учетному документу на бумажном носителе, подписанному собственноручной подписью и заверенному оттиском печати Стороны (при необходимости). Стороны несут ответственность за соблюдение конфиденциальности ключа электронной  подписи  и за его использование в соответствии с полномочиями.</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5. СТОИМОСТЬ УСЛУГ И ПОРЯДОК ОПЛАТЫ</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5.1. Стоимость услуг, подлежащих оплате по настоящему Договору, определяется на основании действующего Ценового листа.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 xml:space="preserve">5.2. Стоимость услуг, указанных в п. 1.2. настоящего Договора, составляет 11 148,00 руб. (Одиннадцать тысяч сто сорок восемь рублей 00 копеек), в </w:t>
            </w:r>
            <w:proofErr w:type="spellStart"/>
            <w:r>
              <w:rPr>
                <w:rFonts w:ascii="Times New Roman" w:hAnsi="Times New Roman"/>
                <w:kern w:val="0"/>
                <w:sz w:val="19"/>
                <w:szCs w:val="19"/>
              </w:rPr>
              <w:t>т.ч</w:t>
            </w:r>
            <w:proofErr w:type="spellEnd"/>
            <w:r>
              <w:rPr>
                <w:rFonts w:ascii="Times New Roman" w:hAnsi="Times New Roman"/>
                <w:kern w:val="0"/>
                <w:sz w:val="19"/>
                <w:szCs w:val="19"/>
              </w:rPr>
              <w:t>. НДС 5%.</w:t>
            </w:r>
          </w:p>
        </w:tc>
      </w:tr>
      <w:tr w:rsidR="009B0FD7">
        <w:trPr>
          <w:cantSplit/>
        </w:trPr>
        <w:tc>
          <w:tcPr>
            <w:tcW w:w="10769" w:type="dxa"/>
            <w:gridSpan w:val="35"/>
            <w:shd w:val="clear" w:color="auto" w:fill="auto"/>
          </w:tcPr>
          <w:p w:rsidR="009B0FD7" w:rsidRPr="00DE36E1" w:rsidRDefault="00E92E80" w:rsidP="00DE36E1">
            <w:pPr>
              <w:jc w:val="both"/>
              <w:rPr>
                <w:rFonts w:ascii="Arial" w:hAnsi="Arial"/>
                <w:kern w:val="0"/>
                <w:szCs w:val="20"/>
                <w:highlight w:val="yellow"/>
              </w:rPr>
            </w:pPr>
            <w:r w:rsidRPr="001B789C">
              <w:rPr>
                <w:rFonts w:ascii="Times New Roman" w:hAnsi="Times New Roman"/>
                <w:kern w:val="0"/>
                <w:sz w:val="19"/>
                <w:szCs w:val="19"/>
              </w:rPr>
              <w:t xml:space="preserve">5.3. Оплата услуг по настоящему Договору осуществляется в течение </w:t>
            </w:r>
            <w:r w:rsidR="00DE36E1" w:rsidRPr="001B789C">
              <w:rPr>
                <w:rFonts w:ascii="Times New Roman" w:hAnsi="Times New Roman"/>
                <w:kern w:val="0"/>
                <w:sz w:val="19"/>
                <w:szCs w:val="19"/>
              </w:rPr>
              <w:t>10 (десяти</w:t>
            </w:r>
            <w:r w:rsidRPr="001B789C">
              <w:rPr>
                <w:rFonts w:ascii="Times New Roman" w:hAnsi="Times New Roman"/>
                <w:kern w:val="0"/>
                <w:sz w:val="19"/>
                <w:szCs w:val="19"/>
              </w:rPr>
              <w:t xml:space="preserve">) банковских дней </w:t>
            </w:r>
            <w:r w:rsidR="00DE36E1" w:rsidRPr="001B789C">
              <w:rPr>
                <w:rFonts w:ascii="Times New Roman" w:hAnsi="Times New Roman"/>
                <w:kern w:val="0"/>
                <w:sz w:val="19"/>
                <w:szCs w:val="19"/>
              </w:rPr>
              <w:t>после подписания акта приемки работ, на основании счета.</w:t>
            </w:r>
            <w:r w:rsidRPr="001B789C">
              <w:rPr>
                <w:rFonts w:ascii="Times New Roman" w:hAnsi="Times New Roman"/>
                <w:kern w:val="0"/>
                <w:sz w:val="19"/>
                <w:szCs w:val="19"/>
              </w:rPr>
              <w:t xml:space="preserve">  Обязательство Заказчика по оплате считается исполненным в момент зачисления денежных средств на расчетный счет Исполнителя.</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5.4. Все дополнительные услуги рассчитываются и оплачиваются отдельно согласно действующего Ценового листа. При этом Стороны подписывают дополнительное соглашение к настоящему Договору.</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6. СРОК ДЕЙСТВИЯ ДОГОВОРА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6.1. Настоящий Договор вступает в силу с момента подписания и действует до полного исполнения все обязательств.</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7. ОТВЕТСТВЕННОСТЬ СТОРОН</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7.1. Исполнитель несет ответственность за качество оказанных им услуг.</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7.2. В случае сбоя в настройках ПП, происшедшего не по вине Исполнителя, все работы по диагностике и восстановлению работоспособности настройки выполняются за счет Заказчика.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7.3. Заказчик не должен осуществлять действия, направленные на привлечение специалистов Исполнителя к работе у Заказчика с переходом к ним на работу, как  штатным сотрудником, так и совместителем, а также заключать с ними гражданско-правовые договоры.</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lastRenderedPageBreak/>
              <w:t>7.4. В случае нарушения Заказчиком условий, указанных в п.7.3 настоящего Договора,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7.5. По окончанию срока действия Договора стороны осуществляют сверку расчетов по договору. Акт сверки составляется Исполнителем и направляется Заказчику. Заказчик обязан не позднее 7(семи) рабочих дней с даты получения акта направить в адрес Исполнителя подписанный экземпляр акта или мотивированные возражения по акту. Если в указанный срок Заказчик не направит Исполнителю подписанный со своей стороны акт сверки или мотивированные возражения по акту, акт сверки будет считаться принятым Покупателем в редакции Исполнителя.</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7.6. Исполнитель не несет ответственности за нарушение сроков выполнения работ, вызванных действиями или бездействиями со стороны Заказчика, выразившимися в нарушении Заказчиком своих обязанностей, предусмотренных настоящим Договором и/или заданиями.</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8. ОБСТОЯТЕЛЬСТВА НЕПРЕОДОЛИМОЙ СИЛЫ</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 xml:space="preserve">8.1. 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непреодолимое при данных условиях обстоятельство (непреодолимая сила), такие обстоятельства как: землетрясения, пожары, наводнения, </w:t>
            </w:r>
            <w:proofErr w:type="spellStart"/>
            <w:r>
              <w:rPr>
                <w:rFonts w:ascii="Times New Roman" w:hAnsi="Times New Roman"/>
                <w:kern w:val="0"/>
                <w:sz w:val="19"/>
                <w:szCs w:val="19"/>
              </w:rPr>
              <w:t>про¬чие</w:t>
            </w:r>
            <w:proofErr w:type="spellEnd"/>
            <w:r>
              <w:rPr>
                <w:rFonts w:ascii="Times New Roman" w:hAnsi="Times New Roman"/>
                <w:kern w:val="0"/>
                <w:sz w:val="19"/>
                <w:szCs w:val="19"/>
              </w:rPr>
              <w:t xml:space="preserve"> стихийные бедствия, эпидемии, аварии, взрывы, военные </w:t>
            </w:r>
            <w:proofErr w:type="spellStart"/>
            <w:r>
              <w:rPr>
                <w:rFonts w:ascii="Times New Roman" w:hAnsi="Times New Roman"/>
                <w:kern w:val="0"/>
                <w:sz w:val="19"/>
                <w:szCs w:val="19"/>
              </w:rPr>
              <w:t>дейст¬вия</w:t>
            </w:r>
            <w:proofErr w:type="spellEnd"/>
            <w:r>
              <w:rPr>
                <w:rFonts w:ascii="Times New Roman" w:hAnsi="Times New Roman"/>
                <w:kern w:val="0"/>
                <w:sz w:val="19"/>
                <w:szCs w:val="19"/>
              </w:rPr>
              <w:t xml:space="preserve">, а также изменения законодательства, повлекшие за собой </w:t>
            </w:r>
            <w:proofErr w:type="spellStart"/>
            <w:r>
              <w:rPr>
                <w:rFonts w:ascii="Times New Roman" w:hAnsi="Times New Roman"/>
                <w:kern w:val="0"/>
                <w:sz w:val="19"/>
                <w:szCs w:val="19"/>
              </w:rPr>
              <w:t>невоз¬можность</w:t>
            </w:r>
            <w:proofErr w:type="spellEnd"/>
            <w:r>
              <w:rPr>
                <w:rFonts w:ascii="Times New Roman" w:hAnsi="Times New Roman"/>
                <w:kern w:val="0"/>
                <w:sz w:val="19"/>
                <w:szCs w:val="19"/>
              </w:rPr>
              <w:t xml:space="preserve"> выполнения Сторонами своих обязательств по настоящему Договору.</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8.3. 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8.4. Если обстоятельства непреодолимой силы действуют на протяжении 3 (трех) последовательных месяцев и не обнаруживают признаков прекращения, настоящий Договор может быть расторгнут Заказчиком и Исполнителем путем направления уведомления другой Стороне.</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9. РАЗРЕШЕНИЕ СПОРОВ</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9.1. 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переговоров на основе действующего законодательства РФ.</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9.2. При не урегулировании спорных вопросов в процессе переговоров, споры разрешаются в арбитражном суде, в порядке, установленном законодательством РФ.</w:t>
            </w:r>
          </w:p>
        </w:tc>
      </w:tr>
      <w:tr w:rsidR="009B0FD7">
        <w:trPr>
          <w:cantSplit/>
        </w:trPr>
        <w:tc>
          <w:tcPr>
            <w:tcW w:w="10769" w:type="dxa"/>
            <w:gridSpan w:val="35"/>
            <w:shd w:val="clear" w:color="auto" w:fill="auto"/>
          </w:tcPr>
          <w:p w:rsidR="009B0FD7" w:rsidRDefault="00E92E80">
            <w:pPr>
              <w:jc w:val="center"/>
              <w:rPr>
                <w:rFonts w:ascii="Arial" w:hAnsi="Arial"/>
                <w:kern w:val="0"/>
                <w:szCs w:val="20"/>
              </w:rPr>
            </w:pPr>
            <w:r>
              <w:rPr>
                <w:rFonts w:ascii="Times New Roman" w:hAnsi="Times New Roman"/>
                <w:b/>
                <w:kern w:val="0"/>
                <w:sz w:val="19"/>
                <w:szCs w:val="19"/>
              </w:rPr>
              <w:t>10. ПРОЧИЕ УСЛОВИЯ</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10.1. Настоящий Договор не может быть изменен в одностороннем порядке.</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10.2. Изменения, вносимые в текст настоящего Договора, и оформленные дополнительным соглашением, должны быть заверены подписями уполномоченных на то лиц с указанием даты внесения изменений и печатями Сторон.</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10.3. Исполнитель имеет право привлекать на условиях субподряда фирмы специализирующиеся на работах по настройке ПП.</w:t>
            </w:r>
          </w:p>
        </w:tc>
      </w:tr>
      <w:tr w:rsidR="009B0FD7">
        <w:trPr>
          <w:cantSplit/>
        </w:trPr>
        <w:tc>
          <w:tcPr>
            <w:tcW w:w="10769" w:type="dxa"/>
            <w:gridSpan w:val="35"/>
            <w:shd w:val="clear" w:color="auto" w:fill="auto"/>
          </w:tcPr>
          <w:p w:rsidR="009B0FD7" w:rsidRDefault="00E92E80">
            <w:pPr>
              <w:jc w:val="both"/>
              <w:rPr>
                <w:rFonts w:ascii="Arial" w:hAnsi="Arial"/>
                <w:kern w:val="0"/>
                <w:szCs w:val="20"/>
              </w:rPr>
            </w:pPr>
            <w:r>
              <w:rPr>
                <w:rFonts w:ascii="Times New Roman" w:hAnsi="Times New Roman"/>
                <w:kern w:val="0"/>
                <w:sz w:val="19"/>
                <w:szCs w:val="19"/>
              </w:rPr>
              <w:t>10.4. В целях реализации настоящего Договора Заказчик дает Исполнителю разрешение на использование, хранение, обработку и распространение персональных данных: своих собственных и своих работников тем способом и в той мере, в которой это необходимо для исполнения условий настоящего Договора. Исполнитель не разглашает полученную информацию третьим лицам для рекламных и маркетинговых целей, за исключением случаев, когда информация может быть разглашена с предварительного письменного согласия Заказчика.</w:t>
            </w:r>
          </w:p>
        </w:tc>
      </w:tr>
      <w:tr w:rsidR="009B0FD7">
        <w:trPr>
          <w:cantSplit/>
        </w:trPr>
        <w:tc>
          <w:tcPr>
            <w:tcW w:w="312" w:type="dxa"/>
            <w:shd w:val="clear" w:color="auto" w:fill="auto"/>
            <w:vAlign w:val="bottom"/>
          </w:tcPr>
          <w:p w:rsidR="009B0FD7" w:rsidRDefault="009B0FD7">
            <w:pPr>
              <w:rPr>
                <w:rFonts w:ascii="Arial" w:hAnsi="Arial"/>
                <w:kern w:val="0"/>
                <w:szCs w:val="20"/>
              </w:rPr>
            </w:pPr>
          </w:p>
        </w:tc>
        <w:tc>
          <w:tcPr>
            <w:tcW w:w="10457" w:type="dxa"/>
            <w:gridSpan w:val="34"/>
            <w:shd w:val="clear" w:color="auto" w:fill="auto"/>
            <w:vAlign w:val="bottom"/>
          </w:tcPr>
          <w:p w:rsidR="009B0FD7" w:rsidRDefault="00E92E80">
            <w:pPr>
              <w:jc w:val="center"/>
              <w:rPr>
                <w:rFonts w:ascii="Arial" w:hAnsi="Arial"/>
                <w:kern w:val="0"/>
                <w:szCs w:val="20"/>
              </w:rPr>
            </w:pPr>
            <w:r>
              <w:rPr>
                <w:rFonts w:ascii="Times New Roman" w:hAnsi="Times New Roman"/>
                <w:b/>
                <w:kern w:val="0"/>
                <w:sz w:val="17"/>
                <w:szCs w:val="17"/>
              </w:rPr>
              <w:t>12. РЕКВИЗИТЫ СТОРОН</w:t>
            </w:r>
          </w:p>
        </w:tc>
      </w:tr>
      <w:tr w:rsidR="009B0FD7">
        <w:trPr>
          <w:cantSplit/>
          <w:trHeight w:val="327"/>
        </w:trPr>
        <w:tc>
          <w:tcPr>
            <w:tcW w:w="5315" w:type="dxa"/>
            <w:gridSpan w:val="17"/>
            <w:shd w:val="clear" w:color="auto" w:fill="auto"/>
            <w:vAlign w:val="bottom"/>
          </w:tcPr>
          <w:p w:rsidR="009B0FD7" w:rsidRDefault="00E92E80">
            <w:pPr>
              <w:rPr>
                <w:rFonts w:ascii="Arial" w:hAnsi="Arial"/>
                <w:kern w:val="0"/>
                <w:szCs w:val="20"/>
              </w:rPr>
            </w:pPr>
            <w:r>
              <w:rPr>
                <w:rFonts w:ascii="Times New Roman" w:hAnsi="Times New Roman"/>
                <w:b/>
                <w:kern w:val="0"/>
                <w:sz w:val="17"/>
                <w:szCs w:val="17"/>
                <w:u w:val="single"/>
              </w:rPr>
              <w:t>Исполнитель:</w:t>
            </w:r>
          </w:p>
        </w:tc>
        <w:tc>
          <w:tcPr>
            <w:tcW w:w="313" w:type="dxa"/>
            <w:shd w:val="clear" w:color="auto" w:fill="auto"/>
            <w:vAlign w:val="bottom"/>
          </w:tcPr>
          <w:p w:rsidR="009B0FD7" w:rsidRDefault="009B0FD7">
            <w:pPr>
              <w:rPr>
                <w:rFonts w:ascii="Arial" w:hAnsi="Arial"/>
                <w:kern w:val="0"/>
                <w:szCs w:val="20"/>
              </w:rPr>
            </w:pPr>
          </w:p>
        </w:tc>
        <w:tc>
          <w:tcPr>
            <w:tcW w:w="938" w:type="dxa"/>
            <w:gridSpan w:val="3"/>
            <w:shd w:val="clear" w:color="auto" w:fill="auto"/>
            <w:vAlign w:val="bottom"/>
          </w:tcPr>
          <w:p w:rsidR="009B0FD7" w:rsidRDefault="00E92E80">
            <w:pPr>
              <w:rPr>
                <w:rFonts w:ascii="Arial" w:hAnsi="Arial"/>
                <w:kern w:val="0"/>
                <w:szCs w:val="20"/>
              </w:rPr>
            </w:pPr>
            <w:r>
              <w:rPr>
                <w:rFonts w:ascii="Times New Roman" w:hAnsi="Times New Roman"/>
                <w:b/>
                <w:kern w:val="0"/>
                <w:sz w:val="17"/>
                <w:szCs w:val="17"/>
                <w:u w:val="single"/>
              </w:rPr>
              <w:t>Заказчик:</w:t>
            </w: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50"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01" w:type="dxa"/>
            <w:shd w:val="clear" w:color="auto" w:fill="auto"/>
            <w:vAlign w:val="bottom"/>
          </w:tcPr>
          <w:p w:rsidR="009B0FD7" w:rsidRDefault="009B0FD7">
            <w:pPr>
              <w:rPr>
                <w:rFonts w:ascii="Arial" w:hAnsi="Arial"/>
                <w:kern w:val="0"/>
                <w:szCs w:val="20"/>
              </w:rPr>
            </w:pP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7"/>
                <w:szCs w:val="17"/>
              </w:rPr>
              <w:t>Комитет по образованию администрации муниципального образования Тихвинский муниципальный район Ленинградской области</w:t>
            </w:r>
          </w:p>
        </w:tc>
      </w:tr>
      <w:tr w:rsidR="009B0FD7">
        <w:trPr>
          <w:cantSplit/>
        </w:trPr>
        <w:tc>
          <w:tcPr>
            <w:tcW w:w="5315" w:type="dxa"/>
            <w:gridSpan w:val="17"/>
            <w:shd w:val="clear" w:color="auto" w:fill="auto"/>
          </w:tcPr>
          <w:p w:rsidR="009B0FD7" w:rsidRDefault="009B0FD7">
            <w:pPr>
              <w:rPr>
                <w:rFonts w:ascii="Arial" w:hAnsi="Arial"/>
                <w:kern w:val="0"/>
                <w:szCs w:val="20"/>
              </w:rPr>
            </w:pPr>
          </w:p>
        </w:tc>
        <w:tc>
          <w:tcPr>
            <w:tcW w:w="313" w:type="dxa"/>
            <w:shd w:val="clear" w:color="auto" w:fill="auto"/>
          </w:tcPr>
          <w:p w:rsidR="009B0FD7" w:rsidRDefault="009B0FD7">
            <w:pPr>
              <w:rPr>
                <w:rFonts w:ascii="Arial" w:hAnsi="Arial"/>
                <w:kern w:val="0"/>
                <w:szCs w:val="20"/>
              </w:rPr>
            </w:pPr>
          </w:p>
        </w:tc>
        <w:tc>
          <w:tcPr>
            <w:tcW w:w="5141" w:type="dxa"/>
            <w:gridSpan w:val="17"/>
            <w:shd w:val="clear" w:color="auto" w:fill="auto"/>
          </w:tcPr>
          <w:p w:rsidR="009B0FD7" w:rsidRDefault="00E92E80">
            <w:pPr>
              <w:rPr>
                <w:rFonts w:ascii="Arial" w:hAnsi="Arial"/>
                <w:kern w:val="0"/>
                <w:szCs w:val="20"/>
              </w:rPr>
            </w:pPr>
            <w:r>
              <w:rPr>
                <w:rFonts w:ascii="Times New Roman" w:hAnsi="Times New Roman"/>
                <w:kern w:val="0"/>
                <w:sz w:val="17"/>
                <w:szCs w:val="17"/>
                <w:u w:val="single"/>
              </w:rPr>
              <w:t>Юридический адрес:</w:t>
            </w: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7"/>
                <w:szCs w:val="17"/>
              </w:rPr>
              <w:t xml:space="preserve">187555, Ленинградская область, р-н Тихвинский, г Тихвин, </w:t>
            </w:r>
            <w:proofErr w:type="spellStart"/>
            <w:r>
              <w:rPr>
                <w:rFonts w:ascii="Times New Roman" w:hAnsi="Times New Roman"/>
                <w:kern w:val="0"/>
                <w:sz w:val="17"/>
                <w:szCs w:val="17"/>
              </w:rPr>
              <w:t>ул</w:t>
            </w:r>
            <w:proofErr w:type="spellEnd"/>
            <w:r>
              <w:rPr>
                <w:rFonts w:ascii="Times New Roman" w:hAnsi="Times New Roman"/>
                <w:kern w:val="0"/>
                <w:sz w:val="17"/>
                <w:szCs w:val="17"/>
              </w:rPr>
              <w:t xml:space="preserve"> Советская, д. 48</w:t>
            </w: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7"/>
                <w:szCs w:val="17"/>
              </w:rPr>
              <w:t>Тел./факс: 8 (81367) 51-748</w:t>
            </w: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7"/>
                <w:szCs w:val="17"/>
                <w:u w:val="single"/>
              </w:rPr>
              <w:t>Банковские реквизиты:</w:t>
            </w: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7"/>
                <w:szCs w:val="17"/>
              </w:rPr>
              <w:t>р/с 03231643416450004500</w:t>
            </w: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7"/>
                <w:szCs w:val="17"/>
              </w:rPr>
              <w:t>ОТДЕЛЕНИЕ ЛЕНИНГРАДСКОЕ БАНКА РОССИИ//УФК по Ленинградской области</w:t>
            </w:r>
          </w:p>
        </w:tc>
      </w:tr>
      <w:tr w:rsidR="009B0FD7">
        <w:trPr>
          <w:cantSplit/>
          <w:trHeight w:val="240"/>
        </w:trPr>
        <w:tc>
          <w:tcPr>
            <w:tcW w:w="3126" w:type="dxa"/>
            <w:gridSpan w:val="10"/>
            <w:shd w:val="clear" w:color="auto" w:fill="auto"/>
            <w:vAlign w:val="bottom"/>
          </w:tcPr>
          <w:p w:rsidR="009B0FD7" w:rsidRDefault="009B0FD7">
            <w:pPr>
              <w:rPr>
                <w:rFonts w:ascii="Arial" w:hAnsi="Arial"/>
                <w:kern w:val="0"/>
                <w:szCs w:val="20"/>
              </w:rPr>
            </w:pPr>
          </w:p>
        </w:tc>
        <w:tc>
          <w:tcPr>
            <w:tcW w:w="2189" w:type="dxa"/>
            <w:gridSpan w:val="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Pr="001B789C" w:rsidRDefault="009B0FD7">
            <w:pPr>
              <w:rPr>
                <w:rFonts w:ascii="Arial" w:hAnsi="Arial"/>
                <w:kern w:val="0"/>
                <w:szCs w:val="20"/>
              </w:rPr>
            </w:pPr>
          </w:p>
        </w:tc>
        <w:tc>
          <w:tcPr>
            <w:tcW w:w="2813" w:type="dxa"/>
            <w:gridSpan w:val="9"/>
            <w:shd w:val="clear" w:color="auto" w:fill="auto"/>
            <w:vAlign w:val="bottom"/>
          </w:tcPr>
          <w:p w:rsidR="009B0FD7" w:rsidRPr="001B789C" w:rsidRDefault="00E92E80" w:rsidP="00DE36E1">
            <w:pPr>
              <w:rPr>
                <w:rFonts w:ascii="Arial" w:hAnsi="Arial"/>
                <w:kern w:val="0"/>
                <w:szCs w:val="20"/>
              </w:rPr>
            </w:pPr>
            <w:r w:rsidRPr="001B789C">
              <w:rPr>
                <w:rFonts w:ascii="Times New Roman" w:hAnsi="Times New Roman"/>
                <w:kern w:val="0"/>
                <w:sz w:val="17"/>
                <w:szCs w:val="17"/>
              </w:rPr>
              <w:t xml:space="preserve">к/с </w:t>
            </w:r>
            <w:r w:rsidR="00DE36E1" w:rsidRPr="001B789C">
              <w:rPr>
                <w:rFonts w:ascii="Times New Roman" w:hAnsi="Times New Roman"/>
                <w:kern w:val="0"/>
                <w:sz w:val="17"/>
                <w:szCs w:val="17"/>
              </w:rPr>
              <w:t>40102810745370000098</w:t>
            </w:r>
          </w:p>
        </w:tc>
        <w:tc>
          <w:tcPr>
            <w:tcW w:w="2127" w:type="dxa"/>
            <w:gridSpan w:val="7"/>
            <w:shd w:val="clear" w:color="auto" w:fill="auto"/>
            <w:vAlign w:val="bottom"/>
          </w:tcPr>
          <w:p w:rsidR="009B0FD7" w:rsidRPr="001B789C" w:rsidRDefault="00E92E80" w:rsidP="00DE36E1">
            <w:pPr>
              <w:rPr>
                <w:rFonts w:ascii="Arial" w:hAnsi="Arial"/>
                <w:kern w:val="0"/>
                <w:szCs w:val="20"/>
              </w:rPr>
            </w:pPr>
            <w:r w:rsidRPr="001B789C">
              <w:rPr>
                <w:rFonts w:ascii="Times New Roman" w:hAnsi="Times New Roman"/>
                <w:kern w:val="0"/>
                <w:sz w:val="17"/>
                <w:szCs w:val="17"/>
              </w:rPr>
              <w:t xml:space="preserve">БИК  </w:t>
            </w:r>
            <w:r w:rsidR="00DE36E1" w:rsidRPr="001B789C">
              <w:rPr>
                <w:rFonts w:ascii="Times New Roman" w:hAnsi="Times New Roman"/>
                <w:kern w:val="0"/>
                <w:sz w:val="17"/>
                <w:szCs w:val="17"/>
              </w:rPr>
              <w:t>04403098</w:t>
            </w:r>
          </w:p>
        </w:tc>
        <w:tc>
          <w:tcPr>
            <w:tcW w:w="201" w:type="dxa"/>
            <w:shd w:val="clear" w:color="auto" w:fill="auto"/>
            <w:vAlign w:val="bottom"/>
          </w:tcPr>
          <w:p w:rsidR="009B0FD7" w:rsidRPr="001B789C" w:rsidRDefault="009B0FD7">
            <w:pPr>
              <w:rPr>
                <w:rFonts w:ascii="Arial" w:hAnsi="Arial"/>
                <w:kern w:val="0"/>
                <w:szCs w:val="20"/>
              </w:rPr>
            </w:pPr>
          </w:p>
        </w:tc>
      </w:tr>
      <w:tr w:rsidR="009B0FD7">
        <w:trPr>
          <w:cantSplit/>
        </w:trPr>
        <w:tc>
          <w:tcPr>
            <w:tcW w:w="3126" w:type="dxa"/>
            <w:gridSpan w:val="10"/>
            <w:shd w:val="clear" w:color="auto" w:fill="auto"/>
            <w:vAlign w:val="bottom"/>
          </w:tcPr>
          <w:p w:rsidR="009B0FD7" w:rsidRDefault="009B0FD7">
            <w:pPr>
              <w:rPr>
                <w:rFonts w:ascii="Arial" w:hAnsi="Arial"/>
                <w:kern w:val="0"/>
                <w:szCs w:val="20"/>
              </w:rPr>
            </w:pPr>
          </w:p>
        </w:tc>
        <w:tc>
          <w:tcPr>
            <w:tcW w:w="2189" w:type="dxa"/>
            <w:gridSpan w:val="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Pr="001B789C" w:rsidRDefault="009B0FD7">
            <w:pPr>
              <w:rPr>
                <w:rFonts w:ascii="Arial" w:hAnsi="Arial"/>
                <w:kern w:val="0"/>
                <w:szCs w:val="20"/>
              </w:rPr>
            </w:pPr>
          </w:p>
        </w:tc>
        <w:tc>
          <w:tcPr>
            <w:tcW w:w="2813" w:type="dxa"/>
            <w:gridSpan w:val="9"/>
            <w:shd w:val="clear" w:color="auto" w:fill="auto"/>
            <w:vAlign w:val="bottom"/>
          </w:tcPr>
          <w:p w:rsidR="009B0FD7" w:rsidRPr="001B789C" w:rsidRDefault="00E92E80">
            <w:pPr>
              <w:rPr>
                <w:rFonts w:ascii="Arial" w:hAnsi="Arial"/>
                <w:kern w:val="0"/>
                <w:szCs w:val="20"/>
              </w:rPr>
            </w:pPr>
            <w:r w:rsidRPr="001B789C">
              <w:rPr>
                <w:rFonts w:ascii="Times New Roman" w:hAnsi="Times New Roman"/>
                <w:kern w:val="0"/>
                <w:sz w:val="17"/>
                <w:szCs w:val="17"/>
              </w:rPr>
              <w:t>ИНН 4715016133</w:t>
            </w:r>
          </w:p>
        </w:tc>
        <w:tc>
          <w:tcPr>
            <w:tcW w:w="2328" w:type="dxa"/>
            <w:gridSpan w:val="8"/>
            <w:shd w:val="clear" w:color="auto" w:fill="auto"/>
            <w:vAlign w:val="bottom"/>
          </w:tcPr>
          <w:p w:rsidR="009B0FD7" w:rsidRPr="001B789C" w:rsidRDefault="00E92E80">
            <w:pPr>
              <w:rPr>
                <w:rFonts w:ascii="Arial" w:hAnsi="Arial"/>
                <w:kern w:val="0"/>
                <w:szCs w:val="20"/>
              </w:rPr>
            </w:pPr>
            <w:r w:rsidRPr="001B789C">
              <w:rPr>
                <w:rFonts w:ascii="Times New Roman" w:hAnsi="Times New Roman"/>
                <w:kern w:val="0"/>
                <w:sz w:val="17"/>
                <w:szCs w:val="17"/>
              </w:rPr>
              <w:t>КПП 471501001</w:t>
            </w:r>
            <w:bookmarkStart w:id="0" w:name="_GoBack"/>
            <w:bookmarkEnd w:id="0"/>
          </w:p>
        </w:tc>
      </w:tr>
      <w:tr w:rsidR="009B0FD7">
        <w:trPr>
          <w:cantSplit/>
        </w:trPr>
        <w:tc>
          <w:tcPr>
            <w:tcW w:w="3126" w:type="dxa"/>
            <w:gridSpan w:val="10"/>
            <w:shd w:val="clear" w:color="auto" w:fill="auto"/>
            <w:vAlign w:val="bottom"/>
          </w:tcPr>
          <w:p w:rsidR="009B0FD7" w:rsidRDefault="009B0FD7">
            <w:pPr>
              <w:rPr>
                <w:rFonts w:ascii="Arial" w:hAnsi="Arial"/>
                <w:kern w:val="0"/>
                <w:szCs w:val="20"/>
              </w:rPr>
            </w:pPr>
          </w:p>
        </w:tc>
        <w:tc>
          <w:tcPr>
            <w:tcW w:w="2189" w:type="dxa"/>
            <w:gridSpan w:val="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501" w:type="dxa"/>
            <w:gridSpan w:val="8"/>
            <w:shd w:val="clear" w:color="auto" w:fill="auto"/>
            <w:vAlign w:val="bottom"/>
          </w:tcPr>
          <w:p w:rsidR="009B0FD7" w:rsidRDefault="00E92E80">
            <w:pPr>
              <w:rPr>
                <w:rFonts w:ascii="Arial" w:hAnsi="Arial"/>
                <w:kern w:val="0"/>
                <w:szCs w:val="20"/>
              </w:rPr>
            </w:pPr>
            <w:r>
              <w:rPr>
                <w:rFonts w:ascii="Times New Roman" w:hAnsi="Times New Roman"/>
                <w:kern w:val="0"/>
                <w:sz w:val="17"/>
                <w:szCs w:val="17"/>
              </w:rPr>
              <w:t>ОГРН 1054701512832</w:t>
            </w:r>
          </w:p>
        </w:tc>
        <w:tc>
          <w:tcPr>
            <w:tcW w:w="312" w:type="dxa"/>
            <w:shd w:val="clear" w:color="auto" w:fill="auto"/>
            <w:vAlign w:val="bottom"/>
          </w:tcPr>
          <w:p w:rsidR="009B0FD7" w:rsidRDefault="009B0FD7">
            <w:pPr>
              <w:rPr>
                <w:rFonts w:ascii="Arial" w:hAnsi="Arial"/>
                <w:kern w:val="0"/>
                <w:szCs w:val="20"/>
              </w:rPr>
            </w:pPr>
          </w:p>
        </w:tc>
        <w:tc>
          <w:tcPr>
            <w:tcW w:w="2328" w:type="dxa"/>
            <w:gridSpan w:val="8"/>
            <w:shd w:val="clear" w:color="auto" w:fill="auto"/>
            <w:vAlign w:val="bottom"/>
          </w:tcPr>
          <w:p w:rsidR="009B0FD7" w:rsidRDefault="009B0FD7">
            <w:pPr>
              <w:rPr>
                <w:rFonts w:ascii="Times New Roman" w:hAnsi="Times New Roman"/>
                <w:sz w:val="17"/>
                <w:szCs w:val="17"/>
              </w:rPr>
            </w:pPr>
          </w:p>
        </w:tc>
      </w:tr>
      <w:tr w:rsidR="009B0FD7">
        <w:trPr>
          <w:cantSplit/>
          <w:trHeight w:val="119"/>
        </w:trPr>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50"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01" w:type="dxa"/>
            <w:shd w:val="clear" w:color="auto" w:fill="auto"/>
            <w:vAlign w:val="bottom"/>
          </w:tcPr>
          <w:p w:rsidR="009B0FD7" w:rsidRDefault="009B0FD7">
            <w:pPr>
              <w:rPr>
                <w:rFonts w:ascii="Arial" w:hAnsi="Arial"/>
                <w:kern w:val="0"/>
                <w:szCs w:val="20"/>
              </w:rPr>
            </w:pPr>
          </w:p>
        </w:tc>
      </w:tr>
      <w:tr w:rsidR="009B0FD7">
        <w:trPr>
          <w:cantSplit/>
        </w:trPr>
        <w:tc>
          <w:tcPr>
            <w:tcW w:w="5315" w:type="dxa"/>
            <w:gridSpan w:val="17"/>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5141" w:type="dxa"/>
            <w:gridSpan w:val="17"/>
            <w:shd w:val="clear" w:color="auto" w:fill="auto"/>
            <w:vAlign w:val="bottom"/>
          </w:tcPr>
          <w:p w:rsidR="009B0FD7" w:rsidRDefault="00E92E80">
            <w:pPr>
              <w:rPr>
                <w:rFonts w:ascii="Arial" w:hAnsi="Arial"/>
                <w:kern w:val="0"/>
                <w:szCs w:val="20"/>
              </w:rPr>
            </w:pPr>
            <w:r>
              <w:rPr>
                <w:rFonts w:ascii="Times New Roman" w:hAnsi="Times New Roman"/>
                <w:kern w:val="0"/>
                <w:sz w:val="19"/>
                <w:szCs w:val="19"/>
              </w:rPr>
              <w:t>_____________________________/ М. Г. Ткаченко</w:t>
            </w:r>
          </w:p>
        </w:tc>
      </w:tr>
      <w:tr w:rsidR="009B0FD7">
        <w:trPr>
          <w:cantSplit/>
        </w:trPr>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624" w:type="dxa"/>
            <w:gridSpan w:val="2"/>
            <w:shd w:val="clear" w:color="auto" w:fill="auto"/>
            <w:vAlign w:val="bottom"/>
          </w:tcPr>
          <w:p w:rsidR="009B0FD7" w:rsidRDefault="00E92E80">
            <w:pPr>
              <w:rPr>
                <w:rFonts w:ascii="Arial" w:hAnsi="Arial"/>
                <w:kern w:val="0"/>
                <w:szCs w:val="20"/>
              </w:rPr>
            </w:pPr>
            <w:r>
              <w:rPr>
                <w:rFonts w:ascii="Times New Roman" w:hAnsi="Times New Roman"/>
                <w:kern w:val="0"/>
                <w:sz w:val="19"/>
                <w:szCs w:val="19"/>
              </w:rPr>
              <w:t>М.П.</w:t>
            </w: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4"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27" w:type="dxa"/>
            <w:gridSpan w:val="10"/>
            <w:shd w:val="clear" w:color="auto" w:fill="auto"/>
            <w:vAlign w:val="bottom"/>
          </w:tcPr>
          <w:p w:rsidR="009B0FD7" w:rsidRDefault="00E92E80">
            <w:pPr>
              <w:jc w:val="center"/>
              <w:rPr>
                <w:rFonts w:ascii="Arial" w:hAnsi="Arial"/>
                <w:kern w:val="0"/>
                <w:szCs w:val="20"/>
              </w:rPr>
            </w:pPr>
            <w:r>
              <w:rPr>
                <w:rFonts w:ascii="Times New Roman" w:hAnsi="Times New Roman"/>
                <w:kern w:val="0"/>
                <w:sz w:val="19"/>
                <w:szCs w:val="19"/>
              </w:rPr>
              <w:t>М.П.</w:t>
            </w: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50" w:type="dxa"/>
            <w:shd w:val="clear" w:color="auto" w:fill="auto"/>
            <w:vAlign w:val="bottom"/>
          </w:tcPr>
          <w:p w:rsidR="009B0FD7" w:rsidRDefault="009B0FD7">
            <w:pPr>
              <w:rPr>
                <w:rFonts w:ascii="Arial" w:hAnsi="Arial"/>
                <w:kern w:val="0"/>
                <w:szCs w:val="20"/>
              </w:rPr>
            </w:pPr>
          </w:p>
        </w:tc>
        <w:tc>
          <w:tcPr>
            <w:tcW w:w="312" w:type="dxa"/>
            <w:shd w:val="clear" w:color="auto" w:fill="auto"/>
            <w:vAlign w:val="bottom"/>
          </w:tcPr>
          <w:p w:rsidR="009B0FD7" w:rsidRDefault="009B0FD7">
            <w:pPr>
              <w:rPr>
                <w:rFonts w:ascii="Arial" w:hAnsi="Arial"/>
                <w:kern w:val="0"/>
                <w:szCs w:val="20"/>
              </w:rPr>
            </w:pPr>
          </w:p>
        </w:tc>
        <w:tc>
          <w:tcPr>
            <w:tcW w:w="313" w:type="dxa"/>
            <w:shd w:val="clear" w:color="auto" w:fill="auto"/>
            <w:vAlign w:val="bottom"/>
          </w:tcPr>
          <w:p w:rsidR="009B0FD7" w:rsidRDefault="009B0FD7">
            <w:pPr>
              <w:rPr>
                <w:rFonts w:ascii="Arial" w:hAnsi="Arial"/>
                <w:kern w:val="0"/>
                <w:szCs w:val="20"/>
              </w:rPr>
            </w:pPr>
          </w:p>
        </w:tc>
        <w:tc>
          <w:tcPr>
            <w:tcW w:w="201" w:type="dxa"/>
            <w:shd w:val="clear" w:color="auto" w:fill="auto"/>
            <w:vAlign w:val="bottom"/>
          </w:tcPr>
          <w:p w:rsidR="009B0FD7" w:rsidRDefault="009B0FD7">
            <w:pPr>
              <w:rPr>
                <w:rFonts w:ascii="Arial" w:hAnsi="Arial"/>
                <w:kern w:val="0"/>
                <w:szCs w:val="20"/>
              </w:rPr>
            </w:pPr>
          </w:p>
        </w:tc>
      </w:tr>
    </w:tbl>
    <w:p w:rsidR="00CE01BE" w:rsidRDefault="00CE01BE"/>
    <w:sectPr w:rsidR="00CE01BE">
      <w:pgSz w:w="11906" w:h="16838"/>
      <w:pgMar w:top="567" w:right="567" w:bottom="567" w:left="567" w:header="0" w:footer="0" w:gutter="0"/>
      <w:cols w:space="720"/>
      <w:formProt w:val="0"/>
      <w:docGrid w:linePitch="100" w:charSpace="-40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FD7"/>
    <w:rsid w:val="001B789C"/>
    <w:rsid w:val="009B0FD7"/>
    <w:rsid w:val="00CE01BE"/>
    <w:rsid w:val="00DE36E1"/>
    <w:rsid w:val="00E92E8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DED26-521B-4E34-B0BC-1DBBCF63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NSimSun" w:hAnsi="Calibri" w:cs="Arial"/>
        <w:kern w:val="2"/>
        <w:sz w:val="22"/>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sz w:val="24"/>
    </w:rPr>
  </w:style>
  <w:style w:type="paragraph" w:styleId="a7">
    <w:name w:val="index heading"/>
    <w:basedOn w:val="a"/>
    <w:qFormat/>
    <w:pPr>
      <w:suppressLineNumbers/>
    </w:pPr>
  </w:style>
  <w:style w:type="table" w:customStyle="1" w:styleId="TableStyle0">
    <w:name w:val="TableStyle0"/>
    <w:rPr>
      <w:sz w:val="15"/>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1550</Words>
  <Characters>8841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3</cp:revision>
  <dcterms:created xsi:type="dcterms:W3CDTF">2025-08-14T12:02:00Z</dcterms:created>
  <dcterms:modified xsi:type="dcterms:W3CDTF">2025-08-21T05:20:00Z</dcterms:modified>
  <dc:language>ru-RU</dc:language>
</cp:coreProperties>
</file>