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DDDC84">
      <w:pPr>
        <w:pStyle w:val="3"/>
        <w:spacing w:before="240"/>
        <w:jc w:val="center"/>
        <w:rPr>
          <w:rFonts w:ascii="Verdana" w:hAnsi="Verdana"/>
          <w:i w:val="0"/>
          <w:color w:val="auto"/>
          <w:sz w:val="16"/>
          <w:szCs w:val="16"/>
        </w:rPr>
      </w:pPr>
      <w:r>
        <w:rPr>
          <w:rFonts w:ascii="Verdana" w:hAnsi="Verdana"/>
          <w:i w:val="0"/>
          <w:color w:val="auto"/>
          <w:sz w:val="16"/>
          <w:szCs w:val="16"/>
        </w:rPr>
        <w:t xml:space="preserve">Контракт (договор) возмездного оказания разовых услуг </w:t>
      </w:r>
    </w:p>
    <w:p w14:paraId="6F6169C0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bCs/>
          <w:sz w:val="16"/>
          <w:szCs w:val="16"/>
        </w:rPr>
        <w:tab/>
      </w:r>
      <w:r>
        <w:rPr>
          <w:rFonts w:ascii="Verdana" w:hAnsi="Verdana"/>
          <w:bCs/>
          <w:sz w:val="16"/>
          <w:szCs w:val="16"/>
        </w:rPr>
        <w:t xml:space="preserve">             </w:t>
      </w:r>
      <w:r>
        <w:rPr>
          <w:rFonts w:hint="default" w:ascii="Verdana" w:hAnsi="Verdana"/>
          <w:bCs/>
          <w:sz w:val="16"/>
          <w:szCs w:val="16"/>
          <w:lang w:val="ru-RU"/>
        </w:rPr>
        <w:t xml:space="preserve">              </w:t>
      </w:r>
      <w:r>
        <w:rPr>
          <w:rFonts w:ascii="Verdana" w:hAnsi="Verdana"/>
          <w:bCs/>
          <w:sz w:val="16"/>
          <w:szCs w:val="16"/>
        </w:rPr>
        <w:t xml:space="preserve">             «_____» </w:t>
      </w:r>
      <w:r>
        <w:rPr>
          <w:rFonts w:ascii="Verdana" w:hAnsi="Verdana"/>
          <w:bCs/>
          <w:sz w:val="16"/>
          <w:szCs w:val="16"/>
          <w:lang w:val="ru-RU"/>
        </w:rPr>
        <w:t>сентября</w:t>
      </w:r>
      <w:r>
        <w:rPr>
          <w:rFonts w:ascii="Verdana" w:hAnsi="Verdana"/>
          <w:sz w:val="16"/>
          <w:szCs w:val="16"/>
        </w:rPr>
        <w:t xml:space="preserve"> 2026г.</w:t>
      </w:r>
    </w:p>
    <w:p w14:paraId="659ECD0E">
      <w:pPr>
        <w:rPr>
          <w:rFonts w:ascii="Verdana" w:hAnsi="Verdana"/>
          <w:sz w:val="16"/>
          <w:szCs w:val="16"/>
        </w:rPr>
      </w:pPr>
    </w:p>
    <w:p w14:paraId="5E43CAED">
      <w:pPr>
        <w:pStyle w:val="4"/>
        <w:spacing w:before="0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color w:val="auto"/>
          <w:sz w:val="16"/>
          <w:szCs w:val="16"/>
        </w:rPr>
        <w:t xml:space="preserve">_________________________________________________________________________________________________________, с одной стороны, и администрация муниципального образования Борское сельское поселение Тихвинского муниципального района Ленинградской области от имени муниципального образования Борское сельское поселение Тихвинского муниципального района Ленинградской области на основании п. 4 ч.1 ст.93 Федерального закона РФ от 05.04.2013 г. № 44-ФЗ «О контрактной системе в сфере закупок товаров, работ, услуг для обеспечения государственных и муниципальных нужд», именуемое в дальнейшем «Заказчик»  в лице главы администрации Борского сельского поселения Евпак Елены Анатольевны, действующего на основании Положения об администрации, именуемое в дальнейшем </w:t>
      </w:r>
      <w:r>
        <w:rPr>
          <w:rFonts w:ascii="Verdana" w:hAnsi="Verdana"/>
          <w:b/>
          <w:bCs/>
          <w:color w:val="auto"/>
          <w:sz w:val="16"/>
          <w:szCs w:val="16"/>
        </w:rPr>
        <w:t>«Заказчик»</w:t>
      </w:r>
      <w:r>
        <w:rPr>
          <w:rFonts w:ascii="Verdana" w:hAnsi="Verdana"/>
          <w:color w:val="auto"/>
          <w:sz w:val="16"/>
          <w:szCs w:val="16"/>
        </w:rPr>
        <w:t xml:space="preserve">, </w:t>
      </w:r>
      <w:bookmarkStart w:id="0" w:name="_Hlk29470341"/>
      <w:r>
        <w:rPr>
          <w:rFonts w:ascii="Verdana" w:hAnsi="Verdana"/>
          <w:color w:val="auto"/>
          <w:sz w:val="16"/>
          <w:szCs w:val="16"/>
        </w:rPr>
        <w:t>с другой стороны</w:t>
      </w:r>
      <w:bookmarkEnd w:id="0"/>
      <w:r>
        <w:rPr>
          <w:rFonts w:ascii="Verdana" w:hAnsi="Verdana"/>
          <w:color w:val="auto"/>
          <w:sz w:val="16"/>
          <w:szCs w:val="16"/>
        </w:rPr>
        <w:t xml:space="preserve">, совместно именуемые </w:t>
      </w:r>
      <w:r>
        <w:rPr>
          <w:rFonts w:ascii="Verdana" w:hAnsi="Verdana"/>
          <w:b/>
          <w:bCs/>
          <w:color w:val="auto"/>
          <w:sz w:val="16"/>
          <w:szCs w:val="16"/>
        </w:rPr>
        <w:t>«Стороны»</w:t>
      </w:r>
      <w:r>
        <w:rPr>
          <w:rFonts w:ascii="Verdana" w:hAnsi="Verdana"/>
          <w:bCs/>
          <w:color w:val="auto"/>
          <w:sz w:val="16"/>
          <w:szCs w:val="16"/>
        </w:rPr>
        <w:t>, заключили настоящий контракт (далее - Контракт) о нижеследующем:</w:t>
      </w:r>
    </w:p>
    <w:p w14:paraId="69CCC6E7">
      <w:pPr>
        <w:pStyle w:val="5"/>
        <w:spacing w:before="120"/>
        <w:jc w:val="center"/>
        <w:rPr>
          <w:rFonts w:ascii="Verdana" w:hAnsi="Verdana"/>
          <w:b/>
          <w:i w:val="0"/>
          <w:color w:val="auto"/>
          <w:sz w:val="16"/>
          <w:szCs w:val="16"/>
        </w:rPr>
      </w:pPr>
      <w:r>
        <w:rPr>
          <w:rFonts w:ascii="Verdana" w:hAnsi="Verdana"/>
          <w:b/>
          <w:i w:val="0"/>
          <w:color w:val="auto"/>
          <w:sz w:val="16"/>
          <w:szCs w:val="16"/>
        </w:rPr>
        <w:t xml:space="preserve">1. ПРЕДМЕТ </w:t>
      </w:r>
      <w:bookmarkStart w:id="1" w:name="_Hlk29462698"/>
      <w:r>
        <w:rPr>
          <w:rFonts w:ascii="Verdana" w:hAnsi="Verdana"/>
          <w:b/>
          <w:i w:val="0"/>
          <w:color w:val="auto"/>
          <w:sz w:val="16"/>
          <w:szCs w:val="16"/>
        </w:rPr>
        <w:t>КОНТРАКТА</w:t>
      </w:r>
      <w:bookmarkEnd w:id="1"/>
    </w:p>
    <w:p w14:paraId="02A99E4D">
      <w:pPr>
        <w:contextualSpacing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1.1. Исполнитель обязуется по заданию Заказчика оказать консультационные услуги путем проведения семинара/конференции по теме: </w:t>
      </w:r>
      <w:r>
        <w:rPr>
          <w:rFonts w:hint="default" w:ascii="Verdana" w:hAnsi="Verdana"/>
          <w:bCs/>
          <w:sz w:val="16"/>
          <w:szCs w:val="16"/>
          <w:lang w:val="ru-RU"/>
        </w:rPr>
        <w:t xml:space="preserve">1С: Бухгалтерия для государственных учреждений </w:t>
      </w:r>
      <w:r>
        <w:rPr>
          <w:rFonts w:ascii="Verdana" w:hAnsi="Verdana"/>
          <w:sz w:val="16"/>
          <w:szCs w:val="16"/>
        </w:rPr>
        <w:t xml:space="preserve">(далее – </w:t>
      </w:r>
      <w:r>
        <w:rPr>
          <w:rFonts w:ascii="Verdana" w:hAnsi="Verdana"/>
          <w:b/>
          <w:bCs/>
          <w:sz w:val="16"/>
          <w:szCs w:val="16"/>
        </w:rPr>
        <w:t>«Услуги»</w:t>
      </w:r>
      <w:r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bCs/>
          <w:sz w:val="16"/>
          <w:szCs w:val="16"/>
        </w:rPr>
        <w:t xml:space="preserve">, </w:t>
      </w:r>
      <w:r>
        <w:rPr>
          <w:rFonts w:ascii="Verdana" w:hAnsi="Verdana"/>
          <w:sz w:val="16"/>
          <w:szCs w:val="16"/>
        </w:rPr>
        <w:t>а Заказчик принять и оплатить данные услуги.</w:t>
      </w:r>
    </w:p>
    <w:p w14:paraId="402A8EB2">
      <w:pPr>
        <w:pStyle w:val="12"/>
        <w:spacing w:after="0" w:line="240" w:lineRule="auto"/>
        <w:rPr>
          <w:rFonts w:ascii="Verdana" w:hAnsi="Verdana"/>
          <w:bCs/>
          <w:color w:val="auto"/>
          <w:sz w:val="16"/>
          <w:szCs w:val="16"/>
          <w:lang w:val="ru-RU"/>
        </w:rPr>
      </w:pPr>
      <w:r>
        <w:rPr>
          <w:rFonts w:ascii="Verdana" w:hAnsi="Verdana"/>
          <w:bCs/>
          <w:color w:val="auto"/>
          <w:sz w:val="16"/>
          <w:szCs w:val="16"/>
          <w:lang w:val="ru-RU"/>
        </w:rPr>
        <w:t>1.2. После окончания оказания Услуг Сторонами подписывается универсальный передаточный документ (УПД).</w:t>
      </w:r>
    </w:p>
    <w:p w14:paraId="3BB10846">
      <w:pPr>
        <w:pStyle w:val="5"/>
        <w:spacing w:before="120"/>
        <w:jc w:val="center"/>
        <w:rPr>
          <w:rFonts w:ascii="Verdana" w:hAnsi="Verdana"/>
          <w:b/>
          <w:i w:val="0"/>
          <w:color w:val="auto"/>
          <w:sz w:val="16"/>
          <w:szCs w:val="16"/>
        </w:rPr>
      </w:pPr>
      <w:r>
        <w:rPr>
          <w:rFonts w:ascii="Verdana" w:hAnsi="Verdana"/>
          <w:b/>
          <w:i w:val="0"/>
          <w:color w:val="auto"/>
          <w:sz w:val="16"/>
          <w:szCs w:val="16"/>
        </w:rPr>
        <w:t>2. СТОИМОСТЬ УСЛУГ И ПОРЯДОК РАСЧЕТОВ</w:t>
      </w:r>
    </w:p>
    <w:p w14:paraId="11974C76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2.1. Цена Услуг по настоящему </w:t>
      </w:r>
      <w:r>
        <w:rPr>
          <w:rFonts w:ascii="Verdana" w:hAnsi="Verdana"/>
          <w:sz w:val="16"/>
          <w:szCs w:val="16"/>
        </w:rPr>
        <w:t>Контракту</w:t>
      </w:r>
      <w:r>
        <w:rPr>
          <w:rFonts w:ascii="Verdana" w:hAnsi="Verdana"/>
          <w:bCs/>
          <w:sz w:val="16"/>
          <w:szCs w:val="16"/>
        </w:rPr>
        <w:t xml:space="preserve"> составляет </w:t>
      </w:r>
      <w:r>
        <w:rPr>
          <w:rFonts w:hint="default" w:ascii="Verdana" w:hAnsi="Verdana"/>
          <w:bCs/>
          <w:sz w:val="16"/>
          <w:szCs w:val="16"/>
          <w:lang w:val="ru-RU"/>
        </w:rPr>
        <w:t>7000</w:t>
      </w:r>
      <w:r>
        <w:rPr>
          <w:rFonts w:ascii="Verdana" w:hAnsi="Verdana"/>
          <w:bCs/>
          <w:sz w:val="16"/>
          <w:szCs w:val="16"/>
        </w:rPr>
        <w:t xml:space="preserve"> (</w:t>
      </w:r>
      <w:r>
        <w:rPr>
          <w:rFonts w:ascii="Verdana" w:hAnsi="Verdana"/>
          <w:bCs/>
          <w:sz w:val="16"/>
          <w:szCs w:val="16"/>
          <w:lang w:val="ru-RU"/>
        </w:rPr>
        <w:t>семь</w:t>
      </w:r>
      <w:r>
        <w:rPr>
          <w:rFonts w:hint="default" w:ascii="Verdana" w:hAnsi="Verdana"/>
          <w:bCs/>
          <w:sz w:val="16"/>
          <w:szCs w:val="16"/>
          <w:lang w:val="ru-RU"/>
        </w:rPr>
        <w:t xml:space="preserve"> тысяч</w:t>
      </w:r>
      <w:r>
        <w:rPr>
          <w:rFonts w:ascii="Verdana" w:hAnsi="Verdana"/>
          <w:bCs/>
          <w:sz w:val="16"/>
          <w:szCs w:val="16"/>
        </w:rPr>
        <w:t xml:space="preserve">) рублей. НДС </w:t>
      </w:r>
      <w:r>
        <w:rPr>
          <w:rFonts w:hint="default" w:ascii="Verdana" w:hAnsi="Verdana"/>
          <w:bCs/>
          <w:sz w:val="16"/>
          <w:szCs w:val="16"/>
          <w:lang w:val="ru-RU"/>
        </w:rPr>
        <w:t>__________________</w:t>
      </w:r>
      <w:r>
        <w:rPr>
          <w:rFonts w:ascii="Verdana" w:hAnsi="Verdana"/>
          <w:bCs/>
          <w:sz w:val="16"/>
          <w:szCs w:val="16"/>
        </w:rPr>
        <w:t xml:space="preserve">рублей в связи с применением УСН в соответствии </w:t>
      </w:r>
      <w:bookmarkStart w:id="2" w:name="_Hlk217907037"/>
      <w:r>
        <w:rPr>
          <w:rFonts w:ascii="Verdana" w:hAnsi="Verdana"/>
          <w:bCs/>
          <w:sz w:val="16"/>
          <w:szCs w:val="16"/>
        </w:rPr>
        <w:t>с п.5, ст. 145 и п.8 ст. 164 НК РФ</w:t>
      </w:r>
      <w:bookmarkEnd w:id="2"/>
      <w:r>
        <w:rPr>
          <w:rFonts w:ascii="Verdana" w:hAnsi="Verdana"/>
          <w:bCs/>
          <w:sz w:val="16"/>
          <w:szCs w:val="16"/>
        </w:rPr>
        <w:t>.</w:t>
      </w:r>
    </w:p>
    <w:p w14:paraId="745CF4F9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2.2. Цена </w:t>
      </w:r>
      <w:r>
        <w:rPr>
          <w:rFonts w:ascii="Verdana" w:hAnsi="Verdana"/>
          <w:sz w:val="16"/>
          <w:szCs w:val="16"/>
        </w:rPr>
        <w:t>Контракта</w:t>
      </w:r>
      <w:r>
        <w:rPr>
          <w:rFonts w:ascii="Verdana" w:hAnsi="Verdana"/>
          <w:bCs/>
          <w:sz w:val="16"/>
          <w:szCs w:val="16"/>
        </w:rPr>
        <w:t xml:space="preserve"> является твердой и определяется на весь срок исполнения </w:t>
      </w:r>
      <w:r>
        <w:rPr>
          <w:rFonts w:ascii="Verdana" w:hAnsi="Verdana"/>
          <w:sz w:val="16"/>
          <w:szCs w:val="16"/>
        </w:rPr>
        <w:t>Контракта</w:t>
      </w:r>
      <w:r>
        <w:rPr>
          <w:rFonts w:ascii="Verdana" w:hAnsi="Verdana"/>
          <w:bCs/>
          <w:sz w:val="16"/>
          <w:szCs w:val="16"/>
        </w:rPr>
        <w:t>.</w:t>
      </w:r>
    </w:p>
    <w:p w14:paraId="2D2EF7CF">
      <w:pPr>
        <w:contextualSpacing/>
        <w:jc w:val="both"/>
        <w:rPr>
          <w:rFonts w:ascii="Verdana" w:hAnsi="Verdana"/>
          <w:bCs/>
          <w:spacing w:val="-4"/>
          <w:w w:val="95"/>
          <w:sz w:val="16"/>
          <w:szCs w:val="16"/>
        </w:rPr>
      </w:pPr>
      <w:r>
        <w:rPr>
          <w:rFonts w:ascii="Verdana" w:hAnsi="Verdana"/>
          <w:bCs/>
          <w:spacing w:val="-4"/>
          <w:w w:val="95"/>
          <w:sz w:val="16"/>
          <w:szCs w:val="16"/>
        </w:rPr>
        <w:t xml:space="preserve">2.3. Срок оплаты – со дня подписания Контракта, но не позднее 7 рабочих дней со дня подписания </w:t>
      </w:r>
      <w:r>
        <w:rPr>
          <w:rFonts w:ascii="Verdana" w:hAnsi="Verdana"/>
          <w:bCs/>
          <w:sz w:val="16"/>
          <w:szCs w:val="16"/>
        </w:rPr>
        <w:t>универсального передаточного документа (УПД).</w:t>
      </w:r>
    </w:p>
    <w:p w14:paraId="7DE583B5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2.4. Заказчик в течение 5 (пяти) рабочих дней после получения универсального передаточного документа (УПД) обязан подписать его и направить один экземпляр Исполнителю, либо представить в этот срок Исполнителю письменные мотивированные возражения в случае отказа подписать универсальный передаточный документ (УПД) . В случае, если в указанный срок Заказчик не подписывает и/или не возвращает Исполнителю Акт сдачи-приемки оказанных услуг, а также не представляет письменных мотивированных возражений отказа подписать универсальный передаточный документ (УПД), Услуги считаются оказанными и Исполнитель вправе подписать универсальный передаточный документ в одностороннем порядке.</w:t>
      </w:r>
    </w:p>
    <w:p w14:paraId="590344AE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2.5. Форма оплаты – в безналичной форме на расчетный счет исполнителя. </w:t>
      </w:r>
    </w:p>
    <w:p w14:paraId="73529D4E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2.6. Источник финансирования – </w:t>
      </w:r>
      <w:r>
        <w:rPr>
          <w:rFonts w:ascii="Verdana" w:hAnsi="Verdana"/>
          <w:bCs/>
          <w:sz w:val="16"/>
          <w:szCs w:val="16"/>
          <w:u w:val="single"/>
        </w:rPr>
        <w:t>местный бюджет</w:t>
      </w:r>
      <w:r>
        <w:rPr>
          <w:rFonts w:ascii="Verdana" w:hAnsi="Verdana"/>
          <w:bCs/>
          <w:sz w:val="16"/>
          <w:szCs w:val="16"/>
        </w:rPr>
        <w:t xml:space="preserve">, </w:t>
      </w:r>
      <w:r>
        <w:rPr>
          <w:rFonts w:ascii="Verdana" w:hAnsi="Verdana"/>
          <w:bCs/>
          <w:sz w:val="16"/>
          <w:szCs w:val="16"/>
          <w:u w:val="single"/>
        </w:rPr>
        <w:t>ИКЗ 263471501608447150100100020000000244</w:t>
      </w:r>
      <w:r>
        <w:rPr>
          <w:rFonts w:ascii="Verdana" w:hAnsi="Verdana"/>
          <w:bCs/>
          <w:sz w:val="16"/>
          <w:szCs w:val="16"/>
        </w:rPr>
        <w:t>.</w:t>
      </w:r>
    </w:p>
    <w:p w14:paraId="4369B15F">
      <w:pPr>
        <w:jc w:val="center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3. СРОК ДЕЙСТВИЯ КОНТРАКТА</w:t>
      </w:r>
      <w:bookmarkStart w:id="7" w:name="_GoBack"/>
      <w:bookmarkEnd w:id="7"/>
    </w:p>
    <w:p w14:paraId="48C6630D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3.1. Настоящий Контракт вступает в силу с момента его подписания и действует до 31.12.2026г.</w:t>
      </w:r>
    </w:p>
    <w:p w14:paraId="7DD2C5E2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3.2. Отношения между сторонами прекращаются при выполнении ими всех условий настоящего Контракта.</w:t>
      </w:r>
    </w:p>
    <w:p w14:paraId="19FE58FA">
      <w:pPr>
        <w:pStyle w:val="5"/>
        <w:spacing w:before="120"/>
        <w:jc w:val="center"/>
        <w:rPr>
          <w:rFonts w:ascii="Verdana" w:hAnsi="Verdana"/>
          <w:b/>
          <w:i w:val="0"/>
          <w:color w:val="auto"/>
          <w:sz w:val="16"/>
          <w:szCs w:val="16"/>
        </w:rPr>
      </w:pPr>
      <w:r>
        <w:rPr>
          <w:rFonts w:ascii="Verdana" w:hAnsi="Verdana"/>
          <w:b/>
          <w:i w:val="0"/>
          <w:color w:val="auto"/>
          <w:sz w:val="16"/>
          <w:szCs w:val="16"/>
        </w:rPr>
        <w:t>4. ДОПОЛНИТЕЛЬНЫЕ УСЛОВИЯ</w:t>
      </w:r>
    </w:p>
    <w:p w14:paraId="4DA83B9F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 xml:space="preserve">4.1. </w:t>
      </w:r>
      <w:r>
        <w:rPr>
          <w:rFonts w:ascii="Verdana" w:hAnsi="Verdana"/>
          <w:color w:val="auto"/>
          <w:sz w:val="16"/>
          <w:szCs w:val="16"/>
        </w:rPr>
        <w:t xml:space="preserve">Заказчик </w:t>
      </w:r>
      <w:r>
        <w:rPr>
          <w:rFonts w:ascii="Verdana" w:hAnsi="Verdana"/>
          <w:bCs/>
          <w:color w:val="auto"/>
          <w:sz w:val="16"/>
          <w:szCs w:val="16"/>
        </w:rPr>
        <w:t>обязуется  обеспечить посещение своих представителей на семинаре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/конференции</w:t>
      </w:r>
      <w:r>
        <w:rPr>
          <w:rFonts w:ascii="Verdana" w:hAnsi="Verdana"/>
          <w:bCs/>
          <w:color w:val="auto"/>
          <w:sz w:val="16"/>
          <w:szCs w:val="16"/>
        </w:rPr>
        <w:t>.</w:t>
      </w:r>
    </w:p>
    <w:p w14:paraId="4A042392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 xml:space="preserve">4.2. Заказчик обязан обеспечить оплату оказанных Услуг в соответствии с условиями настоящего </w:t>
      </w:r>
      <w:r>
        <w:rPr>
          <w:rFonts w:ascii="Verdana" w:hAnsi="Verdana"/>
          <w:color w:val="auto"/>
          <w:sz w:val="16"/>
          <w:szCs w:val="16"/>
        </w:rPr>
        <w:t>Контракт</w:t>
      </w:r>
      <w:r>
        <w:rPr>
          <w:rFonts w:ascii="Verdana" w:hAnsi="Verdana"/>
          <w:color w:val="auto"/>
          <w:sz w:val="16"/>
          <w:szCs w:val="16"/>
          <w:lang w:val="ru-RU"/>
        </w:rPr>
        <w:t>а</w:t>
      </w:r>
      <w:r>
        <w:rPr>
          <w:rFonts w:ascii="Verdana" w:hAnsi="Verdana"/>
          <w:bCs/>
          <w:color w:val="auto"/>
          <w:sz w:val="16"/>
          <w:szCs w:val="16"/>
        </w:rPr>
        <w:t>.</w:t>
      </w:r>
    </w:p>
    <w:p w14:paraId="1BD56598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>4.3. Исполнитель обязуется своевременно и качественно оказать Услуги, указанные в п.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 xml:space="preserve"> </w:t>
      </w:r>
      <w:r>
        <w:rPr>
          <w:rFonts w:ascii="Verdana" w:hAnsi="Verdana"/>
          <w:bCs/>
          <w:color w:val="auto"/>
          <w:sz w:val="16"/>
          <w:szCs w:val="16"/>
        </w:rPr>
        <w:t xml:space="preserve">1.1. настоящего </w:t>
      </w:r>
      <w:r>
        <w:rPr>
          <w:rFonts w:ascii="Verdana" w:hAnsi="Verdana"/>
          <w:color w:val="auto"/>
          <w:sz w:val="16"/>
          <w:szCs w:val="16"/>
        </w:rPr>
        <w:t>Контракт</w:t>
      </w:r>
      <w:r>
        <w:rPr>
          <w:rFonts w:ascii="Verdana" w:hAnsi="Verdana"/>
          <w:color w:val="auto"/>
          <w:sz w:val="16"/>
          <w:szCs w:val="16"/>
          <w:lang w:val="ru-RU"/>
        </w:rPr>
        <w:t>а</w:t>
      </w:r>
      <w:r>
        <w:rPr>
          <w:rFonts w:ascii="Verdana" w:hAnsi="Verdana"/>
          <w:bCs/>
          <w:color w:val="auto"/>
          <w:sz w:val="16"/>
          <w:szCs w:val="16"/>
        </w:rPr>
        <w:t>.</w:t>
      </w:r>
    </w:p>
    <w:p w14:paraId="64A72B9E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>4.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4</w:t>
      </w:r>
      <w:r>
        <w:rPr>
          <w:rFonts w:ascii="Verdana" w:hAnsi="Verdana"/>
          <w:bCs/>
          <w:color w:val="auto"/>
          <w:sz w:val="16"/>
          <w:szCs w:val="16"/>
        </w:rPr>
        <w:t xml:space="preserve">. За неисполнение 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либо</w:t>
      </w:r>
      <w:r>
        <w:rPr>
          <w:rFonts w:ascii="Verdana" w:hAnsi="Verdana"/>
          <w:bCs/>
          <w:color w:val="auto"/>
          <w:sz w:val="16"/>
          <w:szCs w:val="16"/>
        </w:rPr>
        <w:t xml:space="preserve"> ненадлежащее исполнение принятых на себя обязательств 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С</w:t>
      </w:r>
      <w:r>
        <w:rPr>
          <w:rFonts w:ascii="Verdana" w:hAnsi="Verdana"/>
          <w:bCs/>
          <w:color w:val="auto"/>
          <w:sz w:val="16"/>
          <w:szCs w:val="16"/>
        </w:rPr>
        <w:t>тороны несут ответственность в соответствии с законодательством РФ.</w:t>
      </w:r>
    </w:p>
    <w:p w14:paraId="7C413D76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 xml:space="preserve">4.5. Изменение существенных условий Контракта при его исполнении не допускается, за исключением случаев, предусмотренных ст. 95 ФЗ № 44-ФЗ, гражданским законодательством РФ. </w:t>
      </w:r>
    </w:p>
    <w:p w14:paraId="6DDFDBBD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>4.6. Контракт может быть расторгнут по соглашению сторон или в иных случаях, предусмотренных законодательством РФ.</w:t>
      </w:r>
    </w:p>
    <w:p w14:paraId="6E7A264F">
      <w:pPr>
        <w:pStyle w:val="12"/>
        <w:spacing w:after="0" w:line="240" w:lineRule="auto"/>
        <w:jc w:val="both"/>
        <w:rPr>
          <w:rFonts w:ascii="Verdana" w:hAnsi="Verdana"/>
          <w:bCs/>
          <w:color w:val="auto"/>
          <w:sz w:val="16"/>
          <w:szCs w:val="16"/>
        </w:rPr>
      </w:pPr>
      <w:r>
        <w:rPr>
          <w:rFonts w:ascii="Verdana" w:hAnsi="Verdana"/>
          <w:bCs/>
          <w:color w:val="auto"/>
          <w:sz w:val="16"/>
          <w:szCs w:val="16"/>
        </w:rPr>
        <w:t xml:space="preserve">4.7. По соглашению Сторон Договор может быть составлен в форме электронного документа, подписанного усиленными электронными подписями Заказчика и 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Исполнителя</w:t>
      </w:r>
      <w:r>
        <w:rPr>
          <w:rFonts w:ascii="Verdana" w:hAnsi="Verdana"/>
          <w:bCs/>
          <w:color w:val="auto"/>
          <w:sz w:val="16"/>
          <w:szCs w:val="16"/>
        </w:rPr>
        <w:t xml:space="preserve">. Все документы (договор, счет, </w:t>
      </w:r>
      <w:r>
        <w:rPr>
          <w:rFonts w:ascii="Verdana" w:hAnsi="Verdana"/>
          <w:bCs/>
          <w:color w:val="auto"/>
          <w:sz w:val="16"/>
          <w:szCs w:val="16"/>
          <w:lang w:val="ru-RU"/>
        </w:rPr>
        <w:t>упд</w:t>
      </w:r>
      <w:r>
        <w:rPr>
          <w:rFonts w:ascii="Verdana" w:hAnsi="Verdana"/>
          <w:bCs/>
          <w:color w:val="auto"/>
          <w:sz w:val="16"/>
          <w:szCs w:val="16"/>
        </w:rPr>
        <w:t>), отправленные через систему ЭДО, считаются юридически значимыми и имеют ту же силу, что и документы, подписанные на бумаге.</w:t>
      </w:r>
    </w:p>
    <w:p w14:paraId="3FFDD5E0">
      <w:pPr>
        <w:pStyle w:val="5"/>
        <w:spacing w:before="120"/>
        <w:jc w:val="center"/>
        <w:rPr>
          <w:rFonts w:ascii="Verdana" w:hAnsi="Verdana"/>
          <w:b/>
          <w:i w:val="0"/>
          <w:color w:val="auto"/>
          <w:sz w:val="16"/>
          <w:szCs w:val="16"/>
        </w:rPr>
      </w:pPr>
      <w:r>
        <w:rPr>
          <w:rFonts w:ascii="Verdana" w:hAnsi="Verdana"/>
          <w:b/>
          <w:i w:val="0"/>
          <w:color w:val="auto"/>
          <w:sz w:val="16"/>
          <w:szCs w:val="16"/>
        </w:rPr>
        <w:t>5. ЮРИДИЧЕСКИЕ АДРЕСА И БАНКОВСКИЕ РЕКВИЗИТЫ</w:t>
      </w:r>
    </w:p>
    <w:p w14:paraId="70A73AE9">
      <w:pPr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ИСПОЛНИТЕЛЬ:</w:t>
      </w:r>
      <w:r>
        <w:rPr>
          <w:rFonts w:ascii="Verdana" w:hAnsi="Verdana"/>
          <w:bCs/>
          <w:sz w:val="16"/>
          <w:szCs w:val="16"/>
        </w:rPr>
        <w:t xml:space="preserve"> </w:t>
      </w:r>
    </w:p>
    <w:p w14:paraId="3BDFF3B4">
      <w:pPr>
        <w:jc w:val="both"/>
        <w:rPr>
          <w:rFonts w:ascii="Verdana" w:hAnsi="Verdana"/>
          <w:bCs/>
          <w:sz w:val="16"/>
          <w:szCs w:val="16"/>
        </w:rPr>
      </w:pPr>
    </w:p>
    <w:p w14:paraId="4D0288A2">
      <w:pPr>
        <w:jc w:val="both"/>
        <w:rPr>
          <w:rFonts w:ascii="Verdana" w:hAnsi="Verdana"/>
          <w:bCs/>
          <w:sz w:val="16"/>
          <w:szCs w:val="16"/>
        </w:rPr>
      </w:pPr>
    </w:p>
    <w:p w14:paraId="4B48B409">
      <w:pPr>
        <w:jc w:val="both"/>
        <w:rPr>
          <w:rFonts w:ascii="Verdana" w:hAnsi="Verdana"/>
          <w:bCs/>
          <w:sz w:val="16"/>
          <w:szCs w:val="16"/>
        </w:rPr>
      </w:pPr>
    </w:p>
    <w:p w14:paraId="1500DEA8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bookmarkStart w:id="3" w:name="_Hlk536022646"/>
      <w:r>
        <w:rPr>
          <w:rFonts w:ascii="Verdana" w:hAnsi="Verdana"/>
          <w:b/>
          <w:bCs/>
          <w:sz w:val="16"/>
          <w:szCs w:val="16"/>
        </w:rPr>
        <w:t>ЗАКАЗЧИК</w:t>
      </w:r>
      <w:r>
        <w:rPr>
          <w:rFonts w:ascii="Verdana" w:hAnsi="Verdana"/>
          <w:bCs/>
          <w:sz w:val="16"/>
          <w:szCs w:val="16"/>
        </w:rPr>
        <w:t xml:space="preserve">: Администрации муниципального образования Борское сельское поселение Тихвинского муниципального района Ленинградской области ИНН 4715016084, КПП 471501001, ОГРН </w:t>
      </w:r>
      <w:bookmarkStart w:id="4" w:name="OLE_LINK1"/>
      <w:r>
        <w:rPr>
          <w:rFonts w:ascii="Verdana" w:hAnsi="Verdana"/>
          <w:bCs/>
          <w:sz w:val="16"/>
          <w:szCs w:val="16"/>
        </w:rPr>
        <w:t>1054701512645</w:t>
      </w:r>
      <w:bookmarkEnd w:id="4"/>
      <w:r>
        <w:rPr>
          <w:rFonts w:ascii="Verdana" w:hAnsi="Verdana"/>
          <w:bCs/>
          <w:sz w:val="16"/>
          <w:szCs w:val="16"/>
        </w:rPr>
        <w:t xml:space="preserve">, ОКПО 04183552, ОКАТО 41245810000, ОКТМО 41645410, </w:t>
      </w:r>
    </w:p>
    <w:p w14:paraId="080F7E64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р/сч 03231643416454104500 </w:t>
      </w:r>
      <w:bookmarkStart w:id="5" w:name="_Hlk213398673"/>
      <w:r>
        <w:rPr>
          <w:rFonts w:ascii="Verdana" w:hAnsi="Verdana"/>
          <w:bCs/>
          <w:sz w:val="16"/>
          <w:szCs w:val="16"/>
        </w:rPr>
        <w:t xml:space="preserve">Северо-Западное ГУ Банка России//УФК по Ленинградской области, г. Санкт-Петербург </w:t>
      </w:r>
    </w:p>
    <w:bookmarkEnd w:id="5"/>
    <w:p w14:paraId="59720E54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 xml:space="preserve">БИК 044030098, к/сч </w:t>
      </w:r>
      <w:bookmarkStart w:id="6" w:name="_Hlk213398645"/>
      <w:r>
        <w:rPr>
          <w:rFonts w:ascii="Verdana" w:hAnsi="Verdana"/>
          <w:bCs/>
          <w:sz w:val="16"/>
          <w:szCs w:val="16"/>
        </w:rPr>
        <w:t>40102810745370000098</w:t>
      </w:r>
      <w:bookmarkEnd w:id="6"/>
    </w:p>
    <w:p w14:paraId="079CA3E1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Наименование банка: ОКЦ № 1 Северо-Западного ГУ Банка России//УФК по   Ленинградской области, г. Санкт-Петербург</w:t>
      </w:r>
    </w:p>
    <w:p w14:paraId="1F47AFC7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лицевой счет 03901003310 в Комитете финансов Тихвинского района</w:t>
      </w:r>
    </w:p>
    <w:p w14:paraId="1C2F323F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юридический адрес: 187515, деревня Бор, дом 24, Офис 1, Тихвинский района, Ленинградской области</w:t>
      </w:r>
    </w:p>
    <w:p w14:paraId="59A76344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почтовый адрес: 187515, деревня Бор, дом 24, Тихвинский район, Ленинградской области</w:t>
      </w:r>
    </w:p>
    <w:p w14:paraId="362C2464">
      <w:pPr>
        <w:tabs>
          <w:tab w:val="right" w:leader="underscore" w:pos="7088"/>
        </w:tabs>
        <w:spacing w:line="276" w:lineRule="auto"/>
        <w:jc w:val="both"/>
        <w:rPr>
          <w:rFonts w:ascii="Verdana" w:hAnsi="Verdana"/>
          <w:b/>
          <w:bCs/>
          <w:sz w:val="16"/>
          <w:szCs w:val="16"/>
          <w:u w:val="single"/>
        </w:rPr>
      </w:pPr>
      <w:r>
        <w:rPr>
          <w:rFonts w:ascii="Verdana" w:hAnsi="Verdana"/>
          <w:bCs/>
          <w:sz w:val="16"/>
          <w:szCs w:val="16"/>
        </w:rPr>
        <w:t xml:space="preserve">телефон: 8 (81367) 46133; 8 (81367) 46248, </w:t>
      </w:r>
      <w:r>
        <w:rPr>
          <w:rFonts w:ascii="Verdana" w:hAnsi="Verdana"/>
          <w:bCs/>
          <w:sz w:val="16"/>
          <w:szCs w:val="16"/>
          <w:u w:val="single"/>
        </w:rPr>
        <w:t>sp-bor@team47.ru</w:t>
      </w:r>
    </w:p>
    <w:p w14:paraId="3FE62022">
      <w:pPr>
        <w:spacing w:line="276" w:lineRule="auto"/>
        <w:rPr>
          <w:rFonts w:ascii="Verdana" w:hAnsi="Verdana"/>
          <w:bCs/>
          <w:sz w:val="16"/>
          <w:szCs w:val="16"/>
        </w:rPr>
      </w:pPr>
    </w:p>
    <w:bookmarkEnd w:id="3"/>
    <w:tbl>
      <w:tblPr>
        <w:tblStyle w:val="7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1"/>
        <w:gridCol w:w="4681"/>
      </w:tblGrid>
      <w:tr w14:paraId="101A2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7" w:hRule="atLeast"/>
        </w:trPr>
        <w:tc>
          <w:tcPr>
            <w:tcW w:w="5671" w:type="dxa"/>
          </w:tcPr>
          <w:p w14:paraId="35654371">
            <w:pPr>
              <w:spacing w:line="276" w:lineRule="auto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ИСПОЛНИТЕЛЬ:</w:t>
            </w:r>
          </w:p>
        </w:tc>
        <w:tc>
          <w:tcPr>
            <w:tcW w:w="4681" w:type="dxa"/>
          </w:tcPr>
          <w:p w14:paraId="08D90BE3">
            <w:pPr>
              <w:keepNext/>
              <w:keepLines/>
              <w:spacing w:line="276" w:lineRule="auto"/>
              <w:outlineLvl w:val="5"/>
              <w:rPr>
                <w:rFonts w:ascii="Verdana" w:hAnsi="Verdana" w:eastAsia="Times New Roman"/>
                <w:b/>
                <w:bCs/>
                <w:iCs/>
                <w:sz w:val="16"/>
                <w:szCs w:val="16"/>
              </w:rPr>
            </w:pPr>
            <w:r>
              <w:rPr>
                <w:rFonts w:ascii="Verdana" w:hAnsi="Verdana" w:eastAsia="Times New Roman"/>
                <w:b/>
                <w:bCs/>
                <w:iCs/>
                <w:sz w:val="16"/>
                <w:szCs w:val="16"/>
              </w:rPr>
              <w:t>ЗАКАЗЧИК</w:t>
            </w:r>
          </w:p>
          <w:p w14:paraId="09A9C209">
            <w:pPr>
              <w:spacing w:line="276" w:lineRule="auto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                                                М.П.</w:t>
            </w:r>
          </w:p>
          <w:p w14:paraId="239B4690">
            <w:pPr>
              <w:spacing w:line="276" w:lineRule="auto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Глава администрации</w:t>
            </w:r>
          </w:p>
          <w:p w14:paraId="2BA954EB">
            <w:pPr>
              <w:spacing w:line="276" w:lineRule="auto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Борского сельского поселения </w:t>
            </w:r>
          </w:p>
          <w:p w14:paraId="12C870E7">
            <w:pPr>
              <w:spacing w:line="276" w:lineRule="auto"/>
              <w:rPr>
                <w:rFonts w:ascii="Verdana" w:hAnsi="Verdana"/>
                <w:bCs/>
                <w:sz w:val="16"/>
                <w:szCs w:val="16"/>
              </w:rPr>
            </w:pPr>
          </w:p>
          <w:p w14:paraId="1A2B7452">
            <w:pPr>
              <w:spacing w:line="276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_________________/Е.А. Евпак/</w:t>
            </w:r>
          </w:p>
        </w:tc>
      </w:tr>
    </w:tbl>
    <w:p w14:paraId="55BFFC45">
      <w:pPr>
        <w:rPr>
          <w:rFonts w:ascii="Verdana" w:hAnsi="Verdana"/>
          <w:sz w:val="16"/>
          <w:szCs w:val="16"/>
          <w:lang w:val="it-IT"/>
        </w:rPr>
      </w:pPr>
    </w:p>
    <w:sectPr>
      <w:footerReference r:id="rId3" w:type="even"/>
      <w:pgSz w:w="11900" w:h="16840"/>
      <w:pgMar w:top="567" w:right="567" w:bottom="567" w:left="567" w:header="397" w:footer="391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Grande CY">
    <w:altName w:val="Times New Roman"/>
    <w:panose1 w:val="00000000000000000000"/>
    <w:charset w:val="59"/>
    <w:family w:val="auto"/>
    <w:pitch w:val="default"/>
    <w:sig w:usb0="00000000" w:usb1="00000000" w:usb2="00000000" w:usb3="00000000" w:csb0="000001B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ionPro-Regular">
    <w:altName w:val="Segoe Print"/>
    <w:panose1 w:val="00000000000000000000"/>
    <w:charset w:val="4D"/>
    <w:family w:val="auto"/>
    <w:pitch w:val="default"/>
    <w:sig w:usb0="00000000" w:usb1="00000000" w:usb2="00000000" w:usb3="00000000" w:csb0="00000001" w:csb1="00000000"/>
  </w:font>
  <w:font w:name="Minion Pr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Arial Black">
    <w:panose1 w:val="020B0A04020102020204"/>
    <w:charset w:val="CC"/>
    <w:family w:val="swiss"/>
    <w:pitch w:val="default"/>
    <w:sig w:usb0="A00002AF" w:usb1="400078FB" w:usb2="00000000" w:usb3="00000000" w:csb0="6000009F" w:csb1="DFD7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pPr w:leftFromText="187" w:rightFromText="187" w:bottomFromText="200" w:vertAnchor="text" w:tblpY="1"/>
      <w:tblW w:w="5000" w:type="pct"/>
      <w:tblInd w:w="0" w:type="dxa"/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4485"/>
      <w:gridCol w:w="1796"/>
      <w:gridCol w:w="4485"/>
    </w:tblGrid>
    <w:tr w14:paraId="73C3973A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1" w:hRule="atLeast"/>
      </w:trPr>
      <w:tc>
        <w:tcPr>
          <w:tcW w:w="2250" w:type="pct"/>
          <w:tcBorders>
            <w:top w:val="nil"/>
            <w:left w:val="nil"/>
            <w:bottom w:val="single" w:color="4F81BD" w:sz="4" w:space="0"/>
            <w:right w:val="nil"/>
          </w:tcBorders>
        </w:tcPr>
        <w:p w14:paraId="79CEDF88">
          <w:pPr>
            <w:pStyle w:val="11"/>
            <w:spacing w:line="276" w:lineRule="auto"/>
            <w:rPr>
              <w:rFonts w:ascii="Calibri" w:hAnsi="Calibri" w:eastAsia="MS Gothic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1062649D">
          <w:pPr>
            <w:pStyle w:val="20"/>
            <w:spacing w:line="276" w:lineRule="auto"/>
            <w:rPr>
              <w:rFonts w:ascii="Calibri" w:hAnsi="Calibri"/>
              <w:color w:val="365F91"/>
            </w:rPr>
          </w:pPr>
          <w:r>
            <w:rPr>
              <w:rFonts w:ascii="Cambria" w:hAnsi="Cambria"/>
              <w:color w:val="365F91"/>
            </w:rPr>
            <w:t>[Введите текст]</w:t>
          </w:r>
        </w:p>
      </w:tc>
      <w:tc>
        <w:tcPr>
          <w:tcW w:w="2250" w:type="pct"/>
          <w:tcBorders>
            <w:top w:val="nil"/>
            <w:left w:val="nil"/>
            <w:bottom w:val="single" w:color="4F81BD" w:sz="4" w:space="0"/>
            <w:right w:val="nil"/>
          </w:tcBorders>
        </w:tcPr>
        <w:p w14:paraId="29BA866C">
          <w:pPr>
            <w:pStyle w:val="11"/>
            <w:spacing w:line="276" w:lineRule="auto"/>
            <w:rPr>
              <w:rFonts w:ascii="Calibri" w:hAnsi="Calibri" w:eastAsia="MS Gothic"/>
              <w:b/>
              <w:bCs/>
              <w:color w:val="4F81BD"/>
            </w:rPr>
          </w:pPr>
        </w:p>
      </w:tc>
    </w:tr>
    <w:tr w14:paraId="02E64848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0" w:hRule="atLeast"/>
      </w:trPr>
      <w:tc>
        <w:tcPr>
          <w:tcW w:w="2250" w:type="pct"/>
          <w:tcBorders>
            <w:top w:val="single" w:color="4F81BD" w:sz="4" w:space="0"/>
            <w:left w:val="nil"/>
            <w:bottom w:val="nil"/>
            <w:right w:val="nil"/>
          </w:tcBorders>
        </w:tcPr>
        <w:p w14:paraId="318D7C8A">
          <w:pPr>
            <w:pStyle w:val="11"/>
            <w:spacing w:line="276" w:lineRule="auto"/>
            <w:rPr>
              <w:rFonts w:ascii="Calibri" w:hAnsi="Calibri" w:eastAsia="MS Gothic"/>
              <w:b/>
              <w:bCs/>
              <w:color w:val="4F81BD"/>
            </w:rPr>
          </w:pPr>
        </w:p>
      </w:tc>
      <w:tc>
        <w:tcPr>
          <w:tcW w:w="0" w:type="auto"/>
          <w:vMerge w:val="continue"/>
          <w:vAlign w:val="center"/>
        </w:tcPr>
        <w:p w14:paraId="1BEF8656">
          <w:pPr>
            <w:rPr>
              <w:rFonts w:ascii="Calibri" w:hAnsi="Calibri"/>
              <w:color w:val="365F91"/>
              <w:sz w:val="22"/>
              <w:szCs w:val="22"/>
            </w:rPr>
          </w:pPr>
        </w:p>
      </w:tc>
      <w:tc>
        <w:tcPr>
          <w:tcW w:w="2250" w:type="pct"/>
          <w:tcBorders>
            <w:top w:val="single" w:color="4F81BD" w:sz="4" w:space="0"/>
            <w:left w:val="nil"/>
            <w:bottom w:val="nil"/>
            <w:right w:val="nil"/>
          </w:tcBorders>
        </w:tcPr>
        <w:p w14:paraId="4F0160AA">
          <w:pPr>
            <w:pStyle w:val="11"/>
            <w:spacing w:line="276" w:lineRule="auto"/>
            <w:rPr>
              <w:rFonts w:ascii="Calibri" w:hAnsi="Calibri" w:eastAsia="MS Gothic"/>
              <w:b/>
              <w:bCs/>
              <w:color w:val="4F81BD"/>
            </w:rPr>
          </w:pPr>
        </w:p>
      </w:tc>
    </w:tr>
  </w:tbl>
  <w:p w14:paraId="576FA28F">
    <w:pPr>
      <w:pStyle w:val="1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forms" w:enforcement="0"/>
  <w:defaultTabStop w:val="708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89"/>
    <w:rsid w:val="00000507"/>
    <w:rsid w:val="00000693"/>
    <w:rsid w:val="00006FAA"/>
    <w:rsid w:val="00025325"/>
    <w:rsid w:val="00040892"/>
    <w:rsid w:val="00044946"/>
    <w:rsid w:val="00053C21"/>
    <w:rsid w:val="000611F9"/>
    <w:rsid w:val="00062159"/>
    <w:rsid w:val="00066FF3"/>
    <w:rsid w:val="00075015"/>
    <w:rsid w:val="00085688"/>
    <w:rsid w:val="000A1E75"/>
    <w:rsid w:val="000B4BE3"/>
    <w:rsid w:val="000B78E9"/>
    <w:rsid w:val="000C3A08"/>
    <w:rsid w:val="000D62F2"/>
    <w:rsid w:val="000E29BE"/>
    <w:rsid w:val="000E435D"/>
    <w:rsid w:val="000E4A68"/>
    <w:rsid w:val="000E5EEF"/>
    <w:rsid w:val="0010158D"/>
    <w:rsid w:val="00106639"/>
    <w:rsid w:val="00115A1E"/>
    <w:rsid w:val="00151677"/>
    <w:rsid w:val="00153C71"/>
    <w:rsid w:val="001610B2"/>
    <w:rsid w:val="00170D01"/>
    <w:rsid w:val="001742E2"/>
    <w:rsid w:val="001939A7"/>
    <w:rsid w:val="001A2C6C"/>
    <w:rsid w:val="001B1EF3"/>
    <w:rsid w:val="001C3DD2"/>
    <w:rsid w:val="001E0B96"/>
    <w:rsid w:val="001E60EC"/>
    <w:rsid w:val="001F6019"/>
    <w:rsid w:val="002030FB"/>
    <w:rsid w:val="002037B0"/>
    <w:rsid w:val="00237E09"/>
    <w:rsid w:val="002556D0"/>
    <w:rsid w:val="00270F39"/>
    <w:rsid w:val="00272C4B"/>
    <w:rsid w:val="002859B8"/>
    <w:rsid w:val="00295029"/>
    <w:rsid w:val="002B515C"/>
    <w:rsid w:val="002C0F9C"/>
    <w:rsid w:val="00303ADE"/>
    <w:rsid w:val="003145D7"/>
    <w:rsid w:val="0034607C"/>
    <w:rsid w:val="00351BE5"/>
    <w:rsid w:val="00364E8B"/>
    <w:rsid w:val="0037437A"/>
    <w:rsid w:val="00384D23"/>
    <w:rsid w:val="00391B9E"/>
    <w:rsid w:val="003A23FF"/>
    <w:rsid w:val="003A6FEF"/>
    <w:rsid w:val="003B24D4"/>
    <w:rsid w:val="003B3869"/>
    <w:rsid w:val="003B700D"/>
    <w:rsid w:val="003C74D5"/>
    <w:rsid w:val="003E50F3"/>
    <w:rsid w:val="003F4049"/>
    <w:rsid w:val="004000A4"/>
    <w:rsid w:val="004066E6"/>
    <w:rsid w:val="004176A0"/>
    <w:rsid w:val="00422708"/>
    <w:rsid w:val="00436398"/>
    <w:rsid w:val="00444359"/>
    <w:rsid w:val="0044714F"/>
    <w:rsid w:val="004B209C"/>
    <w:rsid w:val="004D349C"/>
    <w:rsid w:val="004E2E68"/>
    <w:rsid w:val="004E4CFF"/>
    <w:rsid w:val="00510393"/>
    <w:rsid w:val="00522C0A"/>
    <w:rsid w:val="00535557"/>
    <w:rsid w:val="00536C8A"/>
    <w:rsid w:val="0056055B"/>
    <w:rsid w:val="0056059C"/>
    <w:rsid w:val="00587FDB"/>
    <w:rsid w:val="005907BE"/>
    <w:rsid w:val="00593F64"/>
    <w:rsid w:val="005A47FA"/>
    <w:rsid w:val="005A6BCF"/>
    <w:rsid w:val="005E01B1"/>
    <w:rsid w:val="005E596C"/>
    <w:rsid w:val="00616BCF"/>
    <w:rsid w:val="00621C0D"/>
    <w:rsid w:val="00622EB1"/>
    <w:rsid w:val="0064547F"/>
    <w:rsid w:val="006456F8"/>
    <w:rsid w:val="00661FEA"/>
    <w:rsid w:val="006B69BE"/>
    <w:rsid w:val="006C5F06"/>
    <w:rsid w:val="006D320B"/>
    <w:rsid w:val="006F174F"/>
    <w:rsid w:val="00705E69"/>
    <w:rsid w:val="007328F4"/>
    <w:rsid w:val="007338A0"/>
    <w:rsid w:val="00733B70"/>
    <w:rsid w:val="00754365"/>
    <w:rsid w:val="0077397B"/>
    <w:rsid w:val="0077673A"/>
    <w:rsid w:val="00781C56"/>
    <w:rsid w:val="007824E3"/>
    <w:rsid w:val="00782F2E"/>
    <w:rsid w:val="007A7E13"/>
    <w:rsid w:val="007C2725"/>
    <w:rsid w:val="007D5769"/>
    <w:rsid w:val="007D6DBB"/>
    <w:rsid w:val="008009DA"/>
    <w:rsid w:val="00804B67"/>
    <w:rsid w:val="00813520"/>
    <w:rsid w:val="008153F5"/>
    <w:rsid w:val="00831E2F"/>
    <w:rsid w:val="0085461D"/>
    <w:rsid w:val="00865372"/>
    <w:rsid w:val="008911A7"/>
    <w:rsid w:val="008915B1"/>
    <w:rsid w:val="008954AE"/>
    <w:rsid w:val="008A4F94"/>
    <w:rsid w:val="008A6B31"/>
    <w:rsid w:val="008B666D"/>
    <w:rsid w:val="008B7A42"/>
    <w:rsid w:val="008C0E22"/>
    <w:rsid w:val="008E024A"/>
    <w:rsid w:val="008E7FD8"/>
    <w:rsid w:val="008F5F80"/>
    <w:rsid w:val="00900633"/>
    <w:rsid w:val="0090166B"/>
    <w:rsid w:val="009144ED"/>
    <w:rsid w:val="0092748E"/>
    <w:rsid w:val="0093183C"/>
    <w:rsid w:val="00936605"/>
    <w:rsid w:val="00960600"/>
    <w:rsid w:val="00963B23"/>
    <w:rsid w:val="00982C7B"/>
    <w:rsid w:val="009A60A1"/>
    <w:rsid w:val="009B0B95"/>
    <w:rsid w:val="009B6DA5"/>
    <w:rsid w:val="009B74DC"/>
    <w:rsid w:val="009C0C60"/>
    <w:rsid w:val="009F70FD"/>
    <w:rsid w:val="009F7561"/>
    <w:rsid w:val="00A35EBD"/>
    <w:rsid w:val="00A460FA"/>
    <w:rsid w:val="00A557EF"/>
    <w:rsid w:val="00A577D4"/>
    <w:rsid w:val="00A600C6"/>
    <w:rsid w:val="00A64AC6"/>
    <w:rsid w:val="00A702E9"/>
    <w:rsid w:val="00A71489"/>
    <w:rsid w:val="00A7774F"/>
    <w:rsid w:val="00AA5BC3"/>
    <w:rsid w:val="00AC4CE0"/>
    <w:rsid w:val="00AC5403"/>
    <w:rsid w:val="00AE184E"/>
    <w:rsid w:val="00AF3B04"/>
    <w:rsid w:val="00AF5998"/>
    <w:rsid w:val="00AF767B"/>
    <w:rsid w:val="00B10DEE"/>
    <w:rsid w:val="00B1719F"/>
    <w:rsid w:val="00B24EF1"/>
    <w:rsid w:val="00B350C2"/>
    <w:rsid w:val="00B50BCC"/>
    <w:rsid w:val="00B72448"/>
    <w:rsid w:val="00B81E33"/>
    <w:rsid w:val="00B91D9B"/>
    <w:rsid w:val="00B96B9B"/>
    <w:rsid w:val="00BA65FB"/>
    <w:rsid w:val="00BB1190"/>
    <w:rsid w:val="00BB3128"/>
    <w:rsid w:val="00BE193E"/>
    <w:rsid w:val="00BE5FA8"/>
    <w:rsid w:val="00BE7ECC"/>
    <w:rsid w:val="00C0425C"/>
    <w:rsid w:val="00C051DE"/>
    <w:rsid w:val="00C40DEA"/>
    <w:rsid w:val="00C42142"/>
    <w:rsid w:val="00C44C60"/>
    <w:rsid w:val="00C47223"/>
    <w:rsid w:val="00C55580"/>
    <w:rsid w:val="00C5563D"/>
    <w:rsid w:val="00C6135C"/>
    <w:rsid w:val="00C62B27"/>
    <w:rsid w:val="00C7361E"/>
    <w:rsid w:val="00C90CC7"/>
    <w:rsid w:val="00CB1664"/>
    <w:rsid w:val="00CC4BBC"/>
    <w:rsid w:val="00CC5161"/>
    <w:rsid w:val="00CD08DB"/>
    <w:rsid w:val="00CD0EFE"/>
    <w:rsid w:val="00CE568B"/>
    <w:rsid w:val="00CF42CF"/>
    <w:rsid w:val="00CF5737"/>
    <w:rsid w:val="00D15D00"/>
    <w:rsid w:val="00D268EB"/>
    <w:rsid w:val="00D37CE1"/>
    <w:rsid w:val="00D60B0A"/>
    <w:rsid w:val="00D671B9"/>
    <w:rsid w:val="00D80A72"/>
    <w:rsid w:val="00D81D14"/>
    <w:rsid w:val="00D83C4F"/>
    <w:rsid w:val="00D9602D"/>
    <w:rsid w:val="00DC02BA"/>
    <w:rsid w:val="00DC544D"/>
    <w:rsid w:val="00DD4D4D"/>
    <w:rsid w:val="00DF65D9"/>
    <w:rsid w:val="00DF735B"/>
    <w:rsid w:val="00E05068"/>
    <w:rsid w:val="00E21A97"/>
    <w:rsid w:val="00E366FF"/>
    <w:rsid w:val="00E50F33"/>
    <w:rsid w:val="00E51A0C"/>
    <w:rsid w:val="00E533D5"/>
    <w:rsid w:val="00E8643E"/>
    <w:rsid w:val="00EA39C8"/>
    <w:rsid w:val="00EA5785"/>
    <w:rsid w:val="00EA62AF"/>
    <w:rsid w:val="00EB146C"/>
    <w:rsid w:val="00EB43DD"/>
    <w:rsid w:val="00EF58E4"/>
    <w:rsid w:val="00EF7F5B"/>
    <w:rsid w:val="00F031ED"/>
    <w:rsid w:val="00F13A62"/>
    <w:rsid w:val="00F1611B"/>
    <w:rsid w:val="00F17405"/>
    <w:rsid w:val="00F419AC"/>
    <w:rsid w:val="00F51F5C"/>
    <w:rsid w:val="00F74BC9"/>
    <w:rsid w:val="00F821C2"/>
    <w:rsid w:val="00F82A89"/>
    <w:rsid w:val="00F92530"/>
    <w:rsid w:val="00FA277F"/>
    <w:rsid w:val="00FA2F1D"/>
    <w:rsid w:val="00FA724B"/>
    <w:rsid w:val="00FC61B7"/>
    <w:rsid w:val="00FE125F"/>
    <w:rsid w:val="00FF43F0"/>
    <w:rsid w:val="2C8E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iPriority="99" w:semiHidden="0" w:name="Placeholder Text"/>
  </w:latentStyles>
  <w:style w:type="paragraph" w:default="1" w:styleId="1">
    <w:name w:val="Normal"/>
    <w:qFormat/>
    <w:uiPriority w:val="0"/>
    <w:rPr>
      <w:rFonts w:ascii="Cambria" w:hAnsi="Cambria" w:eastAsia="MS Mincho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outlineLvl w:val="0"/>
    </w:pPr>
    <w:rPr>
      <w:rFonts w:ascii="Times New Roman" w:hAnsi="Times New Roman" w:eastAsia="Times New Roman"/>
      <w:b/>
      <w:bCs/>
    </w:rPr>
  </w:style>
  <w:style w:type="paragraph" w:styleId="3">
    <w:name w:val="heading 4"/>
    <w:basedOn w:val="1"/>
    <w:next w:val="1"/>
    <w:link w:val="27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4">
    <w:name w:val="heading 5"/>
    <w:basedOn w:val="1"/>
    <w:next w:val="1"/>
    <w:link w:val="25"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5">
    <w:name w:val="heading 6"/>
    <w:basedOn w:val="1"/>
    <w:next w:val="1"/>
    <w:link w:val="26"/>
    <w:unhideWhenUsed/>
    <w:qFormat/>
    <w:uiPriority w:val="9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unhideWhenUsed/>
    <w:uiPriority w:val="99"/>
    <w:rPr>
      <w:color w:val="0000FF"/>
      <w:u w:val="single"/>
    </w:rPr>
  </w:style>
  <w:style w:type="paragraph" w:styleId="9">
    <w:name w:val="Balloon Text"/>
    <w:basedOn w:val="1"/>
    <w:link w:val="17"/>
    <w:semiHidden/>
    <w:unhideWhenUsed/>
    <w:qFormat/>
    <w:uiPriority w:val="99"/>
    <w:rPr>
      <w:rFonts w:ascii="Lucida Grande CY" w:hAnsi="Lucida Grande CY"/>
      <w:sz w:val="18"/>
      <w:szCs w:val="18"/>
    </w:rPr>
  </w:style>
  <w:style w:type="paragraph" w:styleId="10">
    <w:name w:val="Body Text 2"/>
    <w:basedOn w:val="1"/>
    <w:link w:val="28"/>
    <w:unhideWhenUsed/>
    <w:uiPriority w:val="99"/>
    <w:pPr>
      <w:spacing w:after="120" w:line="480" w:lineRule="auto"/>
    </w:pPr>
  </w:style>
  <w:style w:type="paragraph" w:styleId="11">
    <w:name w:val="header"/>
    <w:basedOn w:val="1"/>
    <w:link w:val="15"/>
    <w:unhideWhenUsed/>
    <w:uiPriority w:val="99"/>
    <w:pPr>
      <w:tabs>
        <w:tab w:val="center" w:pos="4677"/>
        <w:tab w:val="right" w:pos="9355"/>
      </w:tabs>
    </w:pPr>
  </w:style>
  <w:style w:type="paragraph" w:styleId="12">
    <w:name w:val="Body Text"/>
    <w:basedOn w:val="1"/>
    <w:link w:val="18"/>
    <w:qFormat/>
    <w:uiPriority w:val="0"/>
    <w:pPr>
      <w:spacing w:after="220" w:line="264" w:lineRule="auto"/>
    </w:pPr>
    <w:rPr>
      <w:color w:val="595959"/>
      <w:sz w:val="22"/>
      <w:lang w:val="it-IT" w:eastAsia="en-US"/>
    </w:rPr>
  </w:style>
  <w:style w:type="paragraph" w:styleId="13">
    <w:name w:val="footer"/>
    <w:basedOn w:val="1"/>
    <w:link w:val="16"/>
    <w:unhideWhenUsed/>
    <w:uiPriority w:val="99"/>
    <w:pPr>
      <w:tabs>
        <w:tab w:val="center" w:pos="4677"/>
        <w:tab w:val="right" w:pos="9355"/>
      </w:tabs>
    </w:pPr>
  </w:style>
  <w:style w:type="table" w:styleId="14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Верхний колонтитул Знак"/>
    <w:basedOn w:val="6"/>
    <w:link w:val="11"/>
    <w:qFormat/>
    <w:uiPriority w:val="99"/>
  </w:style>
  <w:style w:type="character" w:customStyle="1" w:styleId="16">
    <w:name w:val="Нижний колонтитул Знак"/>
    <w:basedOn w:val="6"/>
    <w:link w:val="13"/>
    <w:qFormat/>
    <w:uiPriority w:val="99"/>
  </w:style>
  <w:style w:type="character" w:customStyle="1" w:styleId="17">
    <w:name w:val="Текст выноски Знак"/>
    <w:link w:val="9"/>
    <w:semiHidden/>
    <w:uiPriority w:val="99"/>
    <w:rPr>
      <w:rFonts w:ascii="Lucida Grande CY" w:hAnsi="Lucida Grande CY"/>
      <w:sz w:val="18"/>
      <w:szCs w:val="18"/>
    </w:rPr>
  </w:style>
  <w:style w:type="character" w:customStyle="1" w:styleId="18">
    <w:name w:val="Основной текст Знак"/>
    <w:link w:val="12"/>
    <w:qFormat/>
    <w:uiPriority w:val="0"/>
    <w:rPr>
      <w:color w:val="595959"/>
      <w:sz w:val="22"/>
      <w:lang w:val="it-IT" w:eastAsia="en-US"/>
    </w:rPr>
  </w:style>
  <w:style w:type="paragraph" w:customStyle="1" w:styleId="19">
    <w:name w:val="Name"/>
    <w:basedOn w:val="1"/>
    <w:qFormat/>
    <w:uiPriority w:val="0"/>
    <w:pPr>
      <w:spacing w:after="40"/>
      <w:jc w:val="center"/>
    </w:pPr>
    <w:rPr>
      <w:color w:val="1F497D"/>
      <w:lang w:val="it-IT" w:eastAsia="en-US"/>
    </w:rPr>
  </w:style>
  <w:style w:type="paragraph" w:customStyle="1" w:styleId="20">
    <w:name w:val="Без интервала1"/>
    <w:link w:val="21"/>
    <w:qFormat/>
    <w:uiPriority w:val="0"/>
    <w:rPr>
      <w:rFonts w:ascii="PMingLiU" w:hAnsi="PMingLiU" w:eastAsia="MS Mincho" w:cs="Times New Roman"/>
      <w:sz w:val="22"/>
      <w:szCs w:val="22"/>
      <w:lang w:val="ru-RU" w:eastAsia="ru-RU" w:bidi="ar-SA"/>
    </w:rPr>
  </w:style>
  <w:style w:type="character" w:customStyle="1" w:styleId="21">
    <w:name w:val="Без интервала Знак"/>
    <w:link w:val="20"/>
    <w:qFormat/>
    <w:uiPriority w:val="0"/>
    <w:rPr>
      <w:rFonts w:ascii="PMingLiU" w:hAnsi="PMingLiU"/>
      <w:sz w:val="22"/>
      <w:szCs w:val="22"/>
    </w:rPr>
  </w:style>
  <w:style w:type="paragraph" w:customStyle="1" w:styleId="22">
    <w:name w:val="[Основной абзац]"/>
    <w:basedOn w:val="1"/>
    <w:qFormat/>
    <w:uiPriority w:val="9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23">
    <w:name w:val="Заголовок 1 Знак"/>
    <w:basedOn w:val="6"/>
    <w:link w:val="2"/>
    <w:uiPriority w:val="0"/>
    <w:rPr>
      <w:rFonts w:ascii="Times New Roman" w:hAnsi="Times New Roman" w:eastAsia="Times New Roman"/>
      <w:b/>
      <w:bCs/>
      <w:sz w:val="24"/>
      <w:szCs w:val="24"/>
    </w:rPr>
  </w:style>
  <w:style w:type="character" w:styleId="24">
    <w:name w:val="Placeholder Text"/>
    <w:basedOn w:val="6"/>
    <w:unhideWhenUsed/>
    <w:qFormat/>
    <w:uiPriority w:val="99"/>
    <w:rPr>
      <w:color w:val="808080"/>
    </w:rPr>
  </w:style>
  <w:style w:type="character" w:customStyle="1" w:styleId="25">
    <w:name w:val="Заголовок 5 Знак"/>
    <w:basedOn w:val="6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customStyle="1" w:styleId="26">
    <w:name w:val="Заголовок 6 Знак"/>
    <w:basedOn w:val="6"/>
    <w:link w:val="5"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  <w:sz w:val="24"/>
      <w:szCs w:val="24"/>
    </w:rPr>
  </w:style>
  <w:style w:type="character" w:customStyle="1" w:styleId="27">
    <w:name w:val="Заголовок 4 Знак"/>
    <w:basedOn w:val="6"/>
    <w:link w:val="3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8">
    <w:name w:val="Основной текст 2 Знак"/>
    <w:basedOn w:val="6"/>
    <w:link w:val="10"/>
    <w:qFormat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6D7271-41B9-48AC-9237-035E81DB3F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</Pages>
  <Words>656</Words>
  <Characters>4755</Characters>
  <Lines>39</Lines>
  <Paragraphs>11</Paragraphs>
  <TotalTime>105</TotalTime>
  <ScaleCrop>false</ScaleCrop>
  <LinksUpToDate>false</LinksUpToDate>
  <CharactersWithSpaces>5480</CharactersWithSpaces>
  <Application>WPS Office_12.1.0.26886_F1E327BC-269C-435d-A152-05C5408002CA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2026-08-13T13:53:00Z</dcterms:created>
  <dc:creator>Leon Rush</dc:creator>
  <cp:lastModifiedBy>User</cp:lastModifiedBy>
  <cp:lastPrinted>2026-02-26T12:19:00Z</cp:lastPrinted>
  <dcterms:modified xsi:type="dcterms:W3CDTF">2026-09-08T13:42:42Z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eyJoZGlkIjoiNWQyYzAwMTUyZmJmYTEyMjE5ZDc4ZGM2NDhiOTE4YTMifQ==</vt:lpwstr>
  </property>
  <property fmtid="{D5CDD505-2E9C-101B-9397-08002B2CF9AE}" pid="3" name="KSOProductBuildVer">
    <vt:lpwstr>1049-12.1.0.26886</vt:lpwstr>
  </property>
  <property fmtid="{D5CDD505-2E9C-101B-9397-08002B2CF9AE}" pid="4" name="ICV">
    <vt:lpwstr>E46DEF17B579496AAC300370D2C1E68A_12</vt:lpwstr>
  </property>
</Properties>
</file>