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8647" w:leader="none"/>
        </w:tabs>
        <w:spacing w:before="0" w:after="0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sz w:val="24"/>
        </w:rPr>
        <w:t xml:space="preserve">Генеральный Договор N </w:t>
      </w:r>
      <w:r>
        <w:rPr>
          <w:rFonts w:eastAsia="Times New Roman"/>
          <w:b/>
          <w:color w:themeColor="text1" w:val="000000"/>
          <w:sz w:val="24"/>
        </w:rPr>
        <w:t xml:space="preserve">             </w:t>
      </w:r>
      <w:r>
        <w:rPr>
          <w:rFonts w:eastAsia="Times New Roman"/>
          <w:b/>
          <w:sz w:val="24"/>
        </w:rPr>
        <w:t xml:space="preserve">       </w:t>
      </w:r>
      <w:r>
        <w:rPr>
          <w:rFonts w:eastAsia="Times New Roman"/>
          <w:b/>
          <w:caps/>
          <w:sz w:val="24"/>
        </w:rPr>
        <w:t xml:space="preserve"> </w:t>
      </w:r>
    </w:p>
    <w:p>
      <w:pPr>
        <w:pStyle w:val="Normal"/>
        <w:ind w:end="-1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                      </w:t>
      </w:r>
      <w:r>
        <w:rPr>
          <w:rFonts w:eastAsia="Times New Roman"/>
          <w:sz w:val="24"/>
        </w:rPr>
        <w:tab/>
        <w:tab/>
        <w:tab/>
        <w:tab/>
        <w:tab/>
        <w:t xml:space="preserve">                                            .08.2026 г.</w:t>
      </w:r>
    </w:p>
    <w:p>
      <w:pPr>
        <w:pStyle w:val="Normal"/>
        <w:ind w:firstLine="567" w:end="-1"/>
        <w:rPr>
          <w:rFonts w:eastAsia="Times New Roman"/>
          <w:sz w:val="24"/>
        </w:rPr>
      </w:pPr>
      <w:r>
        <w:rPr>
          <w:rFonts w:eastAsia="Times New Roman"/>
          <w:sz w:val="24"/>
        </w:rPr>
      </w:r>
    </w:p>
    <w:p>
      <w:pPr>
        <w:pStyle w:val="Normal"/>
        <w:shd w:val="clear" w:color="auto" w:fill="FFFFFF"/>
        <w:rPr>
          <w:color w:val="002060"/>
          <w:sz w:val="24"/>
          <w:szCs w:val="24"/>
        </w:rPr>
      </w:pPr>
      <w:r>
        <w:rPr>
          <w:rFonts w:eastAsia="Times New Roman"/>
          <w:sz w:val="24"/>
        </w:rPr>
        <w:t>____________, именуемое в дальнейшем «</w:t>
      </w:r>
      <w:r>
        <w:rPr>
          <w:rFonts w:eastAsia="Times New Roman"/>
          <w:b/>
          <w:sz w:val="24"/>
        </w:rPr>
        <w:t>Страховщик»</w:t>
      </w:r>
      <w:r>
        <w:rPr>
          <w:rFonts w:eastAsia="Times New Roman"/>
          <w:sz w:val="24"/>
        </w:rPr>
        <w:t xml:space="preserve">, в лице </w:t>
      </w:r>
      <w:r>
        <w:rPr>
          <w:sz w:val="24"/>
          <w:szCs w:val="24"/>
        </w:rPr>
        <w:t>__________</w:t>
      </w:r>
      <w:r>
        <w:rPr>
          <w:rFonts w:eastAsia="Times New Roman"/>
          <w:sz w:val="24"/>
        </w:rPr>
        <w:t xml:space="preserve"> , действующей на основании_____, с одной стороны и </w:t>
      </w:r>
      <w:r>
        <w:rPr>
          <w:rFonts w:eastAsia="" w:eastAsiaTheme="majorEastAsia"/>
          <w:bCs/>
          <w:sz w:val="24"/>
          <w:szCs w:val="24"/>
        </w:rPr>
        <w:t>Муниципальное общеобразовательное бюджетное учреждение «       средняя общеобразовательная школа»</w:t>
      </w:r>
      <w:r>
        <w:rPr>
          <w:rFonts w:eastAsia="Times New Roman"/>
          <w:b/>
          <w:sz w:val="24"/>
        </w:rPr>
        <w:t>,</w:t>
      </w:r>
      <w:r>
        <w:rPr>
          <w:rFonts w:eastAsia="Times New Roman"/>
          <w:sz w:val="24"/>
        </w:rPr>
        <w:t xml:space="preserve"> именуемое в дальнейшем «</w:t>
      </w:r>
      <w:r>
        <w:rPr>
          <w:rFonts w:eastAsia="Times New Roman"/>
          <w:b/>
          <w:sz w:val="24"/>
        </w:rPr>
        <w:t>Страхователь</w:t>
      </w:r>
      <w:r>
        <w:rPr>
          <w:rFonts w:eastAsia="Times New Roman"/>
          <w:sz w:val="24"/>
        </w:rPr>
        <w:t>», в лице директора  ФИО, действующего на основании Устава , с другой стороны, 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(исполнителя, подрядчика) (идентификационный код закупки:</w:t>
      </w:r>
      <w:r>
        <w:rPr/>
        <w:t xml:space="preserve"> </w:t>
      </w:r>
      <w:r>
        <w:rPr>
          <w:sz w:val="24"/>
          <w:szCs w:val="24"/>
        </w:rPr>
        <w:t>2534718009416470201001000</w:t>
      </w:r>
      <w:r>
        <w:rPr>
          <w:sz w:val="24"/>
          <w:szCs w:val="24"/>
        </w:rPr>
        <w:t>6</w:t>
      </w:r>
      <w:r>
        <w:rPr>
          <w:sz w:val="24"/>
          <w:szCs w:val="24"/>
        </w:rPr>
        <w:t>0000000000</w:t>
      </w:r>
      <w:r>
        <w:rPr>
          <w:rFonts w:eastAsia="Times New Roman"/>
          <w:sz w:val="24"/>
        </w:rPr>
        <w:t>) на основании п.4 .ч.1 ст.93 44-ФЗ«О контрактной системе в сфере закупок товаров, работ, услуг для обеспечения государственных и муниципальных нужд» »), заключили настоящий Договор о нижеследующем:</w:t>
      </w:r>
    </w:p>
    <w:p>
      <w:pPr>
        <w:pStyle w:val="Normal"/>
        <w:keepNext w:val="true"/>
        <w:widowControl/>
        <w:numPr>
          <w:ilvl w:val="0"/>
          <w:numId w:val="2"/>
        </w:numPr>
        <w:ind w:hanging="284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ПРЕДМЕТ ДОГОВОРА</w:t>
      </w:r>
    </w:p>
    <w:p>
      <w:pPr>
        <w:pStyle w:val="Normal"/>
        <w:keepNext w:val="true"/>
        <w:ind w:start="927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</w:r>
    </w:p>
    <w:p>
      <w:pPr>
        <w:pStyle w:val="Normal"/>
        <w:suppressAutoHyphens w:val="true"/>
        <w:ind w:firstLine="709" w:end="-1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1.1. Предметом настоящего Договора является организация осуществления сторонами обязательного страхования гражданской ответственности владельцев транспортных средств в соответствии с Федеральным законом «Об обязательном страховании гражданской ответственности владельцев транспортных средств» № 40-ФЗ от «25» апреля 2002 г. (с изменениями и дополнениями) (далее – ФЗ «Об ОСАГО»), «Правилами обязательного страхования гражданской ответственности владельцев транспортных средств», установленными Положением Центрального Банка Российской Федерации (Банком России) от 19 сентября 2014 г. № 431-П (с изменениями и дополнениями) (далее – «Правила»).</w:t>
      </w:r>
    </w:p>
    <w:p>
      <w:pPr>
        <w:pStyle w:val="Normal"/>
        <w:suppressAutoHyphens w:val="true"/>
        <w:ind w:firstLine="709" w:end="-1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Ознакомиться с действующей редакцией Правил можно на сайте Страховщика в сети «Интернет» по адресу </w:t>
      </w:r>
      <w:hyperlink r:id="rId2">
        <w:r>
          <w:rPr>
            <w:rStyle w:val="Style8"/>
            <w:rFonts w:eastAsia="Times New Roman"/>
            <w:color w:val="0000FF"/>
            <w:sz w:val="24"/>
            <w:u w:val="single"/>
          </w:rPr>
          <w:t>https://w</w:t>
        </w:r>
        <w:r>
          <w:rPr>
            <w:rStyle w:val="Style8"/>
            <w:rFonts w:eastAsia="Times New Roman"/>
            <w:vanish/>
            <w:color w:val="0000FF"/>
            <w:sz w:val="24"/>
            <w:u w:val="single"/>
          </w:rPr>
          <w:t>HYPERLINK "https://www-data.rgs.ru/upload/iblock/7f7/Pravila-OSAGO-_red.-ot-15.07.2021_-dlya-sayta.pdf"</w:t>
        </w:r>
        <w:r>
          <w:rPr>
            <w:rStyle w:val="Style8"/>
            <w:rFonts w:eastAsia="Times New Roman"/>
            <w:color w:val="0000FF"/>
            <w:sz w:val="24"/>
            <w:u w:val="single"/>
          </w:rPr>
          <w:t>w</w:t>
        </w:r>
        <w:r>
          <w:rPr>
            <w:rStyle w:val="Style8"/>
            <w:rFonts w:eastAsia="Times New Roman"/>
            <w:vanish/>
            <w:color w:val="0000FF"/>
            <w:sz w:val="24"/>
            <w:u w:val="single"/>
          </w:rPr>
          <w:t>HYPERLINK "https://www-data.rgs.ru/upload/iblock/7f7/Pravila-OSAGO-_red.-ot-15.07.2021_-dlya-sayta.pdf"</w:t>
        </w:r>
        <w:r>
          <w:rPr>
            <w:rStyle w:val="Style8"/>
            <w:rFonts w:eastAsia="Times New Roman"/>
            <w:color w:val="0000FF"/>
            <w:sz w:val="24"/>
            <w:u w:val="single"/>
          </w:rPr>
          <w:t>w-data.rgs.ru/upload/iblock/7f7/Pravila-OSAGO-_red.-ot-15.07.2021_-dlya-sayt</w:t>
        </w:r>
        <w:r>
          <w:rPr>
            <w:rStyle w:val="Style8"/>
            <w:rFonts w:eastAsia="Times New Roman"/>
            <w:vanish/>
            <w:color w:val="0000FF"/>
            <w:sz w:val="24"/>
            <w:u w:val="single"/>
          </w:rPr>
          <w:t>HYPERLINK "https://www-data.rgs.ru/upload/iblock/7f7/Pravila-OSAGO-_red.-ot-15.07.2021_-dlya-sayta.pdf"</w:t>
        </w:r>
        <w:r>
          <w:rPr>
            <w:rStyle w:val="Style8"/>
            <w:rFonts w:eastAsia="Times New Roman"/>
            <w:color w:val="0000FF"/>
            <w:sz w:val="24"/>
            <w:u w:val="single"/>
          </w:rPr>
          <w:t>a.pdf</w:t>
        </w:r>
      </w:hyperlink>
      <w:r>
        <w:rPr>
          <w:rFonts w:eastAsia="Times New Roman"/>
          <w:sz w:val="24"/>
        </w:rPr>
        <w:t xml:space="preserve">. Единственным документом, подтверждающим заключение договора обязательного страхования гражданской ответственности владельцев транспортного средства, является полис обязательного страхования, выданный в соответствии с настоящим договором. 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1.2. В соответствии с настоящим договором Страховщик обязуется за обусловленную договором плату (страховую премию) при наступлении предусмотренного в договоре события (страхового случая) возместить потерпевшим причиненный вследствие этого события вред их жизни, здоровью или имуществу в пределах определенной договором суммы (страховой суммы).</w:t>
      </w:r>
    </w:p>
    <w:p>
      <w:pPr>
        <w:pStyle w:val="Normal"/>
        <w:suppressAutoHyphens w:val="true"/>
        <w:ind w:firstLine="709" w:end="-1"/>
        <w:jc w:val="both"/>
        <w:rPr>
          <w:rFonts w:eastAsia="Times New Roman"/>
          <w:strike/>
          <w:sz w:val="24"/>
        </w:rPr>
      </w:pPr>
      <w:r>
        <w:rPr>
          <w:rFonts w:eastAsia="Times New Roman"/>
          <w:sz w:val="24"/>
        </w:rPr>
        <w:t>1.3. Неотъемлемой частью настоящего договора является Перечень транспортных средств, в отношении которых заключаются договоры ОСАГО, приведенный в Приложении 1 к настоящему Договору.</w:t>
      </w:r>
    </w:p>
    <w:p>
      <w:pPr>
        <w:pStyle w:val="Normal"/>
        <w:ind w:firstLine="709" w:end="45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1.4. В соответствии с настоящим Договором Страховщик обязуется не позднее одного рабочего дня с даты поступления страховой премии выдать Страхователю на каждое транспортное средство, указанное в Приложении 1 к договору, полис обязательного страхования гражданской ответственности владельцев транспортных средств (далее по тексту договора – Полис) по форме, установленной Банком России, осуществляющим функции по выработке государственной политики и нормативно-правовому регулированию в сфере страховой деятельности.</w:t>
      </w:r>
    </w:p>
    <w:p>
      <w:pPr>
        <w:pStyle w:val="Normal"/>
        <w:ind w:firstLine="709" w:end="-1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1.5. За предоставление заведомо ложных сведений и (или) недействительных документов Страхователь несет ответственность в соответствии с законодательством Российской Федерации.</w:t>
      </w:r>
    </w:p>
    <w:p>
      <w:pPr>
        <w:pStyle w:val="Normal"/>
        <w:ind w:firstLine="709" w:end="-1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1.6. Территория страхования: Российская Федерация. Не являются страховыми события, произошедшие вне территории страхования.</w:t>
      </w:r>
    </w:p>
    <w:p>
      <w:pPr>
        <w:pStyle w:val="Normal"/>
        <w:ind w:firstLine="567" w:end="-1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</w:r>
    </w:p>
    <w:p>
      <w:pPr>
        <w:pStyle w:val="Normal"/>
        <w:keepNext w:val="true"/>
        <w:widowControl/>
        <w:numPr>
          <w:ilvl w:val="0"/>
          <w:numId w:val="3"/>
        </w:numPr>
        <w:ind w:hanging="284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ОБЪЕКТЫ СТРАХОВАНИЯ И СТРАХОВЫЕ СЛУЧАИ</w:t>
      </w:r>
    </w:p>
    <w:p>
      <w:pPr>
        <w:pStyle w:val="Normal"/>
        <w:keepNext w:val="true"/>
        <w:ind w:start="927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2.1. Объектом обязательного страхования гражданской ответственности владельцев транспортных средств по Полису, выдаваемому на основании настоящего договора, являются имущественные интересы, связанные с риском гражданской ответственности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указанного в Полисе транспортного средства на территории Российской Федерации.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2.2. Дорожно-транспортным происшествием является событие, произошедшее в процессе движения по дороге транспортного средства и с его участием, при котором погибли или ранены люди, повреждены транспортные средства, сооружения, грузы либо причинен иной материальный ущерб. Положения Правил, регламентирующие поведение участников дорожно-транспортного происшествия, применяются также в случаях причинения вреда потерпевшим при использовании транспортного средства на прилегающих к дорогам территориях.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2.3. Страховым случаем по каждому из Полисов, выдаваемых на основании настоящего договора,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указанного в Полисе транспортного средства, влекущее за собой в соответствии с договором обязательного страхования обязанность Страховщика осуществить страховое возмещение.    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2.4. В соответствии с Правилами по Полисам не возмещается вред, причиненный вследствие: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а) обстоятельств непреодолимой силы либо умысла потерпевшего;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б) воздействия ядерного взрыва, радиации или радиоактивного заражения;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в) военных действий, а также маневров или иных военных мероприятий;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г) гражданской войны, народных волнений или забастовок;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д) иных обстоятельств, освобождающих страховщика от выплаты страхового возмещения по договору обязательного страхования на основании действующего законодательства или Правил.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Вред, причиненный имуществу, принадлежащему лицу, ответственному за причиненный вред, не возмещается.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2.5. Не относится к страховым случаям наступление гражданской ответственности владельцев транспортных средств вследствие: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а) причинения вреда при использовании иного транспортного средства, чем то, которое указано в договоре обязательного страхования (Полисе);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б) причинения морального вреда или возникновения обязанности по возмещению упущенной выгоды;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в) причинения вреда при использовании транспортных средств в ходе соревнований, испытаний или учебной езды в специально отведенных для этого местах;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г) загрязнения окружающей среды;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д) причинения вреда в результате воздействия перевозимого груза, если риск такой ответственности подлежит обязательному страхованию в соответствии с законом о соответствующем виде обязательного страхования;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е) причинения вреда жизни или здоровью работников при исполнении ими трудовых обязанностей,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страхования;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ж) обязанности по возмещению работодателю убытков, вызванных причинением вреда работнику;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з) причинения водителем вреда управляемому им транспортному средству и прицепу к нему, перевозимому ими грузу, установленному на них оборудованию и иному имуществу;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и) причинения вреда при погрузке груза на транспортное средство или его разгрузке;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к) повреждения или уничтожения антикварных и других уникальных предметов, зданий и сооружений, имеющих историко-культурное значение, изделий из драгоценных металлов и драгоценных и полудрагоценных камней, наличных денег, ценных бумаг, предметов религиозного культа, а также произведений науки, литературы и искусства, других объектов интеллектуальной собственности;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л) причинения вреда жизни, здоровью, имуществу пассажиров при их перевозке, если этот вред подлежит возмещению в соответствии с законодательством Российской Федерации об обязательном страховании гражданской ответственности перевозчика за причинение вреда жизни, здоровью, имуществу пассажиров.</w:t>
      </w:r>
    </w:p>
    <w:p>
      <w:pPr>
        <w:pStyle w:val="Normal"/>
        <w:ind w:firstLine="567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</w:r>
    </w:p>
    <w:p>
      <w:pPr>
        <w:pStyle w:val="Normal"/>
        <w:keepNext w:val="true"/>
        <w:widowControl/>
        <w:numPr>
          <w:ilvl w:val="0"/>
          <w:numId w:val="4"/>
        </w:numPr>
        <w:ind w:hanging="284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СТРАХОВАЯ СУММА</w:t>
      </w:r>
    </w:p>
    <w:p>
      <w:pPr>
        <w:pStyle w:val="Normal"/>
        <w:keepNext w:val="true"/>
        <w:ind w:start="927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</w:r>
    </w:p>
    <w:p>
      <w:pPr>
        <w:pStyle w:val="Normal"/>
        <w:keepNext w:val="true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caps/>
          <w:sz w:val="24"/>
        </w:rPr>
        <w:t xml:space="preserve">3.1. </w:t>
      </w:r>
      <w:r>
        <w:rPr>
          <w:rFonts w:eastAsia="Times New Roman"/>
          <w:sz w:val="24"/>
        </w:rPr>
        <w:t>Страховая сумма, в пределах которой страховщик при наступлении каждого страхового случая (независимо от их числа в течение срока действия полиса обязательного страхования) обязуется возместить потерпевшим причиненный вред, определяется в соответствии со ст. 7 Федерального закона «Об обязательном страховании гражданской ответственности владельцев транспортных средств» № 40-ФЗ от «25» апреля 2002 г. в редакции, действующей на момент заключения договора страхования (полиса).</w:t>
      </w:r>
    </w:p>
    <w:p>
      <w:pPr>
        <w:pStyle w:val="Normal"/>
        <w:ind w:firstLine="567" w:end="-1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</w:r>
    </w:p>
    <w:p>
      <w:pPr>
        <w:pStyle w:val="Normal"/>
        <w:keepNext w:val="true"/>
        <w:widowControl/>
        <w:numPr>
          <w:ilvl w:val="0"/>
          <w:numId w:val="5"/>
        </w:numPr>
        <w:ind w:hanging="284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СТРАХОВАЯ ПРЕМИЯ</w:t>
      </w:r>
    </w:p>
    <w:p>
      <w:pPr>
        <w:pStyle w:val="Normal"/>
        <w:keepNext w:val="true"/>
        <w:ind w:start="927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</w:r>
    </w:p>
    <w:p>
      <w:pPr>
        <w:pStyle w:val="Normal"/>
        <w:ind w:firstLine="284"/>
        <w:rPr>
          <w:color w:val="FF0000"/>
          <w:sz w:val="24"/>
          <w:szCs w:val="24"/>
        </w:rPr>
      </w:pPr>
      <w:r>
        <w:rPr>
          <w:rFonts w:eastAsia="Times New Roman"/>
          <w:sz w:val="24"/>
        </w:rPr>
        <w:t xml:space="preserve">4.1.  Общая страховая премия по настоящему Договору рассчитывается в соответствии с пунктом 4.2 Договора и на момент подписания настоящего Договора составляет </w:t>
      </w:r>
      <w:r>
        <w:rPr>
          <w:rFonts w:eastAsia="Times New Roman"/>
          <w:b/>
          <w:sz w:val="24"/>
        </w:rPr>
        <w:t xml:space="preserve"> 5854,11</w:t>
      </w:r>
      <w:r>
        <w:rPr>
          <w:rFonts w:eastAsia="Times New Roman"/>
          <w:sz w:val="24"/>
        </w:rPr>
        <w:t xml:space="preserve">(Пять тысяч восемьсот пятьдесят четыре) рубля  11 копеек, НДС не облагается </w:t>
      </w:r>
      <w:r>
        <w:rPr>
          <w:sz w:val="24"/>
          <w:szCs w:val="24"/>
        </w:rPr>
        <w:t>в соответствии с подпунктом 7 пункта 3 статьи 149 Налогового кодекса Российской Федерации.</w:t>
      </w:r>
    </w:p>
    <w:p>
      <w:pPr>
        <w:pStyle w:val="Normal"/>
        <w:ind w:firstLine="709" w:end="-1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4.2. Страховая премия определяется в соответствии с действующей редакцией Указания Банка России «О страховых тарифах по обязательному страхованию гражданской ответственности владельцев транспортных средств» в отношении каждого транспортного средства, указанного в Приложении 1 к настоящему Договору.</w:t>
      </w:r>
    </w:p>
    <w:p>
      <w:pPr>
        <w:pStyle w:val="Normal"/>
        <w:ind w:firstLine="709" w:end="-1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 случае изменения на дату выдачи страховых полисов размеров базовых ставок страховых тарифов, коэффициентов страховых тарифов и их значений, требований к структуре страховых тарифов, порядка их применения и т.п., страховая премия уплачивается Страховщику исходя из действующих на дату выдачи соответствующих страховых полисов страховых тарифов и значений коэффициентов.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4.3. Страховая премия по каждому Полису уплачивается путем перечисления денежных средств на расчетный счет Страховщика в течение 7 (семи) рабочих  дней со дня выставления Страховщиком счета  и акта выполненных работ Страхователю. 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Датой уплаты страховой премии считается дата поступления денежных средств на расчетный счет Страховщика.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4.4. По требованию одной из Сторон настоящего Договора другая Сторона обязана произвести сверку перечисленных Страховщику платежей страховых премий и страховых премий по фактически выданным Полисам.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4.5. Сверка, указанная в п. 4.4. настоящего Договора, проводится Сторонами не чаще 1 (одного) раза в 3 (три) календарных месяца.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</w:r>
    </w:p>
    <w:p>
      <w:pPr>
        <w:pStyle w:val="Normal"/>
        <w:keepNext w:val="true"/>
        <w:widowControl/>
        <w:numPr>
          <w:ilvl w:val="0"/>
          <w:numId w:val="6"/>
        </w:numPr>
        <w:ind w:hanging="284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ОТВЕТСТВЕННОСТЬ СТОРОН</w:t>
      </w:r>
    </w:p>
    <w:p>
      <w:pPr>
        <w:pStyle w:val="Normal"/>
        <w:ind w:start="927"/>
        <w:rPr>
          <w:rFonts w:eastAsia="Times New Roman"/>
          <w:b/>
          <w:sz w:val="24"/>
        </w:rPr>
      </w:pPr>
      <w:r>
        <w:rPr>
          <w:rFonts w:eastAsia="Times New Roman"/>
          <w:b/>
          <w:sz w:val="24"/>
        </w:rPr>
      </w:r>
    </w:p>
    <w:p>
      <w:pPr>
        <w:pStyle w:val="Normal"/>
        <w:tabs>
          <w:tab w:val="clear" w:pos="708"/>
          <w:tab w:val="left" w:pos="0" w:leader="none"/>
          <w:tab w:val="left" w:pos="993" w:leader="none"/>
        </w:tabs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5.1. В случае неисполнения либо ненадлежащего исполнения своих обязательств по настоящему Договору виновная сторона обязана возместить причиненные этим убытки в соответствии с действующим законодательством РФ.</w:t>
      </w:r>
    </w:p>
    <w:p>
      <w:pPr>
        <w:pStyle w:val="Normal"/>
        <w:tabs>
          <w:tab w:val="clear" w:pos="708"/>
          <w:tab w:val="left" w:pos="0" w:leader="none"/>
          <w:tab w:val="left" w:pos="993" w:leader="none"/>
        </w:tabs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5.2. При несоблюдении срока осуществления страховой выплаты или срока выдачи потерпевшему направления на ремонт транспортного средства страховщик за каждый день просрочки уплачивает потерпевшему неустойку (пеню) в размере одного процента от определенного в соответствии с ФЗ «Об ОСАГО» размера страхового возмещения по виду причиненного вреда каждому потерпевшему. При возмещении вреда на основании пунктов 15.1 - 15.3 статьи 12 ФЗ «Об ОСАГО» в случае нарушения установленного абзацем вторым пункта 15.2 статьи 12 ФЗ «Об ОСАГО» срока проведения восстановительного ремонта поврежденного транспортного средства или срока, согласованного страховщиком и потерпевшим и превышающего установленный абзацем вторым пункта 15.2 статьи 12 ФЗ «Об ОСАГО» срок проведения восстановительного ремонта поврежденного транспортного средства, страховщик за каждый день просрочки уплачивает потерпевшему неустойку (пеню) в размере 0,5 процента от определенной в соответствии с ФЗ «Об ОСАГО» суммы страхового возмещения, но не более суммы такого возмещения.</w:t>
      </w:r>
    </w:p>
    <w:p>
      <w:pPr>
        <w:pStyle w:val="Normal"/>
        <w:tabs>
          <w:tab w:val="clear" w:pos="708"/>
          <w:tab w:val="left" w:pos="0" w:leader="none"/>
          <w:tab w:val="left" w:pos="993" w:leader="none"/>
        </w:tabs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5.3. При несоблюдении срока направления потерпевшему мотивированного отказа в страховом возмещении страховщик за каждый день просрочки уплачивает потерпевшему денежные средства в виде финансовой санкции в размере 0,05 процента от установленной ФЗ «Об ОСАГО» страховой суммы по виду причиненного вреда каждому потерпевшему.</w:t>
      </w:r>
    </w:p>
    <w:p>
      <w:pPr>
        <w:pStyle w:val="Normal"/>
        <w:tabs>
          <w:tab w:val="clear" w:pos="708"/>
          <w:tab w:val="left" w:pos="0" w:leader="none"/>
          <w:tab w:val="left" w:pos="993" w:leader="none"/>
        </w:tabs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5.4 Страховщик освобождается от обязанности уплаты неустойки (пени), суммы финансовой санкции и (или) штрафа, если обязательства страховщика были исполнены в порядке и в сроки, которые установлены ФЗ «Об ОСАГО», Федеральным законом "Об уполномоченном по правам потребителей финансовых услуг", а также, если страховщик докажет, что нарушение сроков произошло вследствие непреодолимой силы или по вине потерпевшего.</w:t>
      </w:r>
    </w:p>
    <w:p>
      <w:pPr>
        <w:pStyle w:val="Normal"/>
        <w:ind w:firstLine="567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</w:r>
    </w:p>
    <w:p>
      <w:pPr>
        <w:pStyle w:val="Normal"/>
        <w:keepNext w:val="true"/>
        <w:widowControl/>
        <w:numPr>
          <w:ilvl w:val="0"/>
          <w:numId w:val="7"/>
        </w:numPr>
        <w:ind w:hanging="284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СРОК ДЕЙСТВИЯ ДОГОВОРА, порядок изменения</w:t>
      </w:r>
    </w:p>
    <w:p>
      <w:pPr>
        <w:pStyle w:val="Normal"/>
        <w:keepNext w:val="true"/>
        <w:ind w:start="927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</w:r>
    </w:p>
    <w:p>
      <w:pPr>
        <w:pStyle w:val="Normal"/>
        <w:tabs>
          <w:tab w:val="clear" w:pos="708"/>
          <w:tab w:val="left" w:pos="0" w:leader="none"/>
        </w:tabs>
        <w:ind w:firstLine="709"/>
        <w:jc w:val="both"/>
        <w:rPr>
          <w:rFonts w:eastAsia="Times New Roman"/>
          <w:spacing w:val="-6"/>
          <w:sz w:val="24"/>
          <w:shd w:fill="FFFFFF" w:val="clear"/>
        </w:rPr>
      </w:pPr>
      <w:r>
        <w:rPr>
          <w:rFonts w:eastAsia="Times New Roman"/>
          <w:sz w:val="24"/>
          <w:shd w:fill="FFFFFF" w:val="clear"/>
        </w:rPr>
        <w:t>6.1. Настоящий Договор вступает в силу со дня подписания его сторонами и действует  до 24ч.00мин. дня окончания действия последнего страхового полиса, оформленного в рамках настоящего Договора в отношении транспортных средств, указанных в Приложении 1 к Договору.</w:t>
      </w:r>
    </w:p>
    <w:p>
      <w:pPr>
        <w:pStyle w:val="Normal"/>
        <w:tabs>
          <w:tab w:val="clear" w:pos="708"/>
          <w:tab w:val="left" w:pos="0" w:leader="none"/>
        </w:tabs>
        <w:ind w:firstLine="709"/>
        <w:jc w:val="both"/>
        <w:rPr>
          <w:rFonts w:eastAsia="Times New Roman"/>
          <w:spacing w:val="-6"/>
          <w:sz w:val="24"/>
          <w:shd w:fill="FFFFFF" w:val="clear"/>
        </w:rPr>
      </w:pPr>
      <w:r>
        <w:rPr>
          <w:rFonts w:eastAsia="Times New Roman"/>
          <w:spacing w:val="-6"/>
          <w:sz w:val="24"/>
          <w:shd w:fill="FFFFFF" w:val="clear"/>
        </w:rPr>
        <w:t xml:space="preserve">6.2. </w:t>
      </w:r>
      <w:r>
        <w:rPr>
          <w:rFonts w:eastAsia="Times New Roman"/>
          <w:sz w:val="24"/>
          <w:shd w:fill="FFFFFF" w:val="clear"/>
        </w:rPr>
        <w:t xml:space="preserve">Срок страхования по Полисам, выдаваемым на основании настоящего Договора, составляет 1 год и указывается в каждом Полисе. 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Страхованием покрываются страховые случаи, произошедшие в пределах срока страхования, указанного в соответствующем Полисе.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6.3.Оформление Полисов на транспортные средства в рамках настоящего Договора осуществляется на основании Заявления страхователя о заключении договора обязательного страхования гражданской ответственности владельцев транспортного средства с приложением документов, предусмотренных пунктом 3 ст.15 ФЗ «Об ОСАГО».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6.4. В случае утраты (гибели) или смены собственника транспортного средства, указанного в выданном Страхователю Полисе или приобретения транспортного средства, не указанного в Приложении 1 к настоящему Договору, Страхователь сообщает об этом Страховщику в письменной форме.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6.5. Страховщик при получении от Страхователя заявления об изменении сведений, указанных в Приложении 1 к настоящему Договору, обязан: 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- оформить страховой Полис на приобретенное транспортное средство при условии уплаты Страхователем страховой премии, рассчитанной, исходя из страховых тарифов, действующих на момент заключения договора ОСАГО (Полиса);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- произвести возврат части страховой премии по Полису, оформленному в отношении утраченного (погибшего) транспортного средства или транспортного средства, собственник которого сменился.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При утрате (гибели) или смене собственника транспортного средства страховой Полис, оформленный на бланке строгой отчетности, возвращается Страхователем Страховщику. При этом Страховщик возвращает Страхователю часть страховой премии в соответствии с Правилами и настоящим Договором.</w:t>
      </w:r>
    </w:p>
    <w:p>
      <w:pPr>
        <w:pStyle w:val="Normal"/>
        <w:ind w:firstLine="567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</w:r>
    </w:p>
    <w:p>
      <w:pPr>
        <w:pStyle w:val="Normal"/>
        <w:keepNext w:val="true"/>
        <w:widowControl/>
        <w:numPr>
          <w:ilvl w:val="0"/>
          <w:numId w:val="8"/>
        </w:numPr>
        <w:ind w:hanging="360" w:start="927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ПОРЯДОК ПРЕКРАЩЕНИЯ полиса ОБЯЗАТЕЛЬНОГО СТРАХОВАНИЯ</w:t>
      </w:r>
    </w:p>
    <w:p>
      <w:pPr>
        <w:pStyle w:val="Normal"/>
        <w:keepNext w:val="true"/>
        <w:ind w:start="360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7.1. Действие Полиса, выдаваемого на основании настоящего договора, досрочно прекращается в следующих случаях: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а) ликвидация юридического лица - Страхователя;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б) ликвидация Страховщика;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в) гибель (утрата) транспортного средства, указанного в Полисе;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г) иные случаи, предусмотренные законодательством РФ.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7.2. Страхователь вправе досрочно прекратить действие договора обязательного страхования в следующих случаях: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а) отзыв лицензии Страховщика в порядке, установленном законодательством Российской Федерации;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б) замена собственника транспортного средства;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в) иные случаи, предусмотренные законодательством Российской Федерации.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7.3. Страховщик вправе досрочно прекратить действие договора обязательного страхования: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а) в случае выявления ложных или неполных сведений, представленных Страхователем при заключении договора обязательного страхования, имеющих существенное значение для определения степени страхового риска;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б) иных случаях, предусмотренных законодательством Российской Федерации.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7.4. Досрочное прекращение действия Полиса не влечет за собой освобождение Страховщика от обязанности по осуществлению страховых выплат по произошедшим в течение срока действия договора обязательного страхования страховым случаям.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7.5. В случае досрочного прекращения действия Полиса по одному из оснований, предусмотренных подпунктом «а» пункта 7.1, подпунктом «в» пункта 7.2 и подпунктом «а» пункта 7.3 настоящего договора, страховая премия по договору обязательного страхования Страхователю не возвращается. В остальных случаях Страховщик возвращает Страхователю часть страховой премии в размере ее доли, предназначенной для осуществления страхового возмещения и приходящейся на неистекший срок действия договора обязательного страхования или неистекший срок сезонного использования транспортного средства (период использования транспортного средства).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Исчисление неистекшего срока действия Полиса (периода использования транспортного средства) начинается со дня, следующего за датой досрочного прекращения действия данного Полиса.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 случаях досрочного прекращения действия Полиса, предусмотренных пунктом 7.1 настоящего Договора, датой досрочного прекращения действия Полиса считается дата события, которое явилось основанием для его досрочного прекращения и возникновение которого подтверждено документами соответствующих государственных и иных органов.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 случаях досрочного прекращения действия Полиса, предусмотренных пунктом 7.2 настоящего Договора, датой досрочного прекращения действия Полиса считается дата получения Страховщиком письменного заявления Страхователя о досрочном прекращении действия Полиса и документального подтверждения факта, послужившего основанием для досрочного прекращения договора.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 случаях досрочного прекращения действия Полиса, предусмотренных пунктом 7.3 настоящего Договора, датой досрочного прекращения действия Полиса считается дата получения Страхователем письменного уведомления Страховщика.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Часть страховой премии возвращается Страхователю в течение 14 календарных дней с даты, следующей за датой получения Страховщиком сведений о случаях, предусмотренных подпунктами «б», «в», «г» пункта 7.1 настоящего Договора, или заявления Страхователя о досрочном прекращении Полиса по одному из оснований, предусмотренных пунктом 7.2 настоящего Договора, или в течение 14 календарных дней с даты, следующей за датой получения Страхователем письменного уведомления Страховщика о досрочном прекращении действия договора обязательного страхования по основанию, предусмотренному подпунктом «б» пункта 7.3 настоящего Договора. 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7.6. Договор и Полис могут быть признаны судом недействительными с момента их заключения в порядке, предусмотренном законодательством РФ.</w:t>
      </w:r>
    </w:p>
    <w:p>
      <w:pPr>
        <w:pStyle w:val="Normal"/>
        <w:ind w:firstLine="567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</w:r>
    </w:p>
    <w:p>
      <w:pPr>
        <w:pStyle w:val="Normal"/>
        <w:keepNext w:val="true"/>
        <w:widowControl/>
        <w:numPr>
          <w:ilvl w:val="0"/>
          <w:numId w:val="9"/>
        </w:numPr>
        <w:ind w:hanging="284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КОНФИДЕНЦИАЛЬНОСТЬ</w:t>
      </w:r>
    </w:p>
    <w:p>
      <w:pPr>
        <w:pStyle w:val="Normal"/>
        <w:keepNext w:val="true"/>
        <w:ind w:start="360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</w:r>
    </w:p>
    <w:p>
      <w:pPr>
        <w:pStyle w:val="Normal"/>
        <w:keepLines/>
        <w:tabs>
          <w:tab w:val="clear" w:pos="708"/>
          <w:tab w:val="left" w:pos="993" w:leader="none"/>
        </w:tabs>
        <w:ind w:firstLine="709" w:end="-1"/>
        <w:jc w:val="both"/>
        <w:rPr>
          <w:rFonts w:eastAsia="Times New Roman"/>
          <w:spacing w:val="-1"/>
          <w:sz w:val="24"/>
        </w:rPr>
      </w:pPr>
      <w:r>
        <w:rPr>
          <w:rFonts w:eastAsia="Times New Roman"/>
          <w:sz w:val="24"/>
        </w:rPr>
        <w:t xml:space="preserve">8.1. Стороны обязуются соблюдать конфиденциальность в отношении всей информации </w:t>
      </w:r>
      <w:r>
        <w:rPr>
          <w:rFonts w:eastAsia="Times New Roman"/>
          <w:spacing w:val="2"/>
          <w:sz w:val="24"/>
        </w:rPr>
        <w:t xml:space="preserve">и всех документов, полученных ими друг от друга или ставшей известной им в ходе исполнения </w:t>
      </w:r>
      <w:r>
        <w:rPr>
          <w:rFonts w:eastAsia="Times New Roman"/>
          <w:spacing w:val="-1"/>
          <w:sz w:val="24"/>
        </w:rPr>
        <w:t>настоящего Договора, не открывать и не разглашать в общем или в частности информацию какой-либо третьей стороне без предварительного письменного согласия другой Стороны, не использовать такую информацию в целях, не связанных с исполнением настоящего Договора.</w:t>
      </w:r>
    </w:p>
    <w:p>
      <w:pPr>
        <w:pStyle w:val="Normal"/>
        <w:tabs>
          <w:tab w:val="clear" w:pos="708"/>
          <w:tab w:val="left" w:pos="1032" w:leader="none"/>
          <w:tab w:val="left" w:pos="1080" w:leader="none"/>
        </w:tabs>
        <w:ind w:firstLine="709"/>
        <w:jc w:val="both"/>
        <w:rPr>
          <w:rFonts w:eastAsia="Times New Roman"/>
          <w:spacing w:val="7"/>
          <w:sz w:val="24"/>
          <w:shd w:fill="FFFFFF" w:val="clear"/>
        </w:rPr>
      </w:pPr>
      <w:r>
        <w:rPr>
          <w:rFonts w:eastAsia="Times New Roman"/>
          <w:sz w:val="24"/>
          <w:shd w:fill="FFFFFF" w:val="clear"/>
        </w:rPr>
        <w:t>8.2. Стороны</w:t>
      </w:r>
      <w:r>
        <w:rPr>
          <w:rFonts w:eastAsia="Times New Roman"/>
          <w:spacing w:val="7"/>
          <w:sz w:val="24"/>
          <w:shd w:fill="FFFFFF" w:val="clear"/>
        </w:rPr>
        <w:t xml:space="preserve"> не вправе использовать информацию, полученную в ходе исполнения настоящего Договора, в иных целях, кроме целей исполнения настоящего Договора.</w:t>
      </w:r>
    </w:p>
    <w:p>
      <w:pPr>
        <w:pStyle w:val="Normal"/>
        <w:tabs>
          <w:tab w:val="clear" w:pos="708"/>
          <w:tab w:val="left" w:pos="1080" w:leader="none"/>
        </w:tabs>
        <w:ind w:firstLine="709"/>
        <w:jc w:val="both"/>
        <w:rPr>
          <w:rFonts w:eastAsia="Times New Roman"/>
          <w:spacing w:val="-1"/>
          <w:sz w:val="24"/>
        </w:rPr>
      </w:pPr>
      <w:r>
        <w:rPr>
          <w:rFonts w:eastAsia="Times New Roman"/>
          <w:sz w:val="24"/>
        </w:rPr>
        <w:t>8.3.</w:t>
        <w:tab/>
      </w:r>
      <w:r>
        <w:rPr>
          <w:rFonts w:eastAsia="Times New Roman"/>
          <w:spacing w:val="-1"/>
          <w:sz w:val="24"/>
        </w:rPr>
        <w:t xml:space="preserve">В случае нарушения Стороной условий о конфиденциальности информации и документов, </w:t>
      </w:r>
      <w:r>
        <w:rPr>
          <w:rFonts w:eastAsia="Times New Roman"/>
          <w:spacing w:val="2"/>
          <w:sz w:val="24"/>
        </w:rPr>
        <w:t xml:space="preserve">полученных ей от другой Стороны или ставшей известной ей в ходе исполнения </w:t>
      </w:r>
      <w:r>
        <w:rPr>
          <w:rFonts w:eastAsia="Times New Roman"/>
          <w:spacing w:val="-1"/>
          <w:sz w:val="24"/>
        </w:rPr>
        <w:t>настоящего Договора, Сторона, допустившая указанное нарушение, обязуется возместить другой Стороне убытки, причиненные таким нарушением.</w:t>
      </w:r>
    </w:p>
    <w:p>
      <w:pPr>
        <w:pStyle w:val="Normal"/>
        <w:tabs>
          <w:tab w:val="clear" w:pos="708"/>
          <w:tab w:val="left" w:pos="1080" w:leader="none"/>
        </w:tabs>
        <w:ind w:firstLine="567"/>
        <w:jc w:val="both"/>
        <w:rPr>
          <w:rFonts w:eastAsia="Times New Roman"/>
          <w:spacing w:val="-1"/>
          <w:sz w:val="24"/>
        </w:rPr>
      </w:pPr>
      <w:r>
        <w:rPr>
          <w:rFonts w:eastAsia="Times New Roman"/>
          <w:spacing w:val="-1"/>
          <w:sz w:val="24"/>
        </w:rPr>
      </w:r>
    </w:p>
    <w:p>
      <w:pPr>
        <w:pStyle w:val="Normal"/>
        <w:keepNext w:val="true"/>
        <w:widowControl/>
        <w:numPr>
          <w:ilvl w:val="0"/>
          <w:numId w:val="10"/>
        </w:numPr>
        <w:ind w:hanging="284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ПОРЯДОК РАЗРЕШЕНИЯ СПОРОВ</w:t>
      </w:r>
    </w:p>
    <w:p>
      <w:pPr>
        <w:pStyle w:val="Normal"/>
        <w:keepNext w:val="true"/>
        <w:ind w:start="360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</w:r>
    </w:p>
    <w:p>
      <w:pPr>
        <w:pStyle w:val="Normal"/>
        <w:tabs>
          <w:tab w:val="clear" w:pos="708"/>
          <w:tab w:val="left" w:pos="0" w:leader="none"/>
          <w:tab w:val="left" w:pos="1134" w:leader="none"/>
        </w:tabs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9.1. Стороны устанавливают досудебный (претензионный) порядок рассмотрения споров. Претензия должна быть предъявлена в письменной форме и подписана уполномоченным представителем Стороны по Договору. Срок рассмотрения претензии составляет не более 20 (Двадцати) календарных дней с момента ее получения.</w:t>
      </w:r>
    </w:p>
    <w:p>
      <w:pPr>
        <w:pStyle w:val="Normal"/>
        <w:tabs>
          <w:tab w:val="clear" w:pos="708"/>
          <w:tab w:val="left" w:pos="0" w:leader="none"/>
          <w:tab w:val="left" w:pos="1134" w:leader="none"/>
        </w:tabs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Все споры и разногласия, не урегулированные в досудебном порядке, рассматриваются в установленном законодательством Российской Федерации порядке.</w:t>
      </w:r>
    </w:p>
    <w:p>
      <w:pPr>
        <w:pStyle w:val="Normal"/>
        <w:keepLines/>
        <w:tabs>
          <w:tab w:val="clear" w:pos="708"/>
          <w:tab w:val="left" w:pos="1134" w:leader="none"/>
        </w:tabs>
        <w:ind w:firstLine="709" w:end="-1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9.2. Во всем остальном, что не предусмотрено настоящим договором, а также в случае противоречий, стороны будут руководствоваться выданными на основании настоящего договора Полисами в отношении транспортных средств, указанных в Приложении 1 к настоящему Договору, Федеральным законом «Об обязательном страховании гражданской ответственности владельцев транспортных средств» № 40-ФЗ от «25» апреля 2002 г. и Правилами.</w:t>
      </w:r>
    </w:p>
    <w:p>
      <w:pPr>
        <w:pStyle w:val="Normal"/>
        <w:keepLines/>
        <w:tabs>
          <w:tab w:val="clear" w:pos="708"/>
          <w:tab w:val="left" w:pos="1134" w:leader="none"/>
        </w:tabs>
        <w:ind w:firstLine="709" w:end="-1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9.3. Настоящий Договор составлен и подписан в двух экземплярах, имеющих равную юридическую силу, по одному для каждой стороны.</w:t>
      </w:r>
    </w:p>
    <w:p>
      <w:pPr>
        <w:pStyle w:val="Normal"/>
        <w:keepLines/>
        <w:ind w:firstLine="567" w:end="-1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</w:r>
    </w:p>
    <w:p>
      <w:pPr>
        <w:pStyle w:val="Normal"/>
        <w:keepNext w:val="true"/>
        <w:widowControl/>
        <w:numPr>
          <w:ilvl w:val="0"/>
          <w:numId w:val="11"/>
        </w:numPr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АНТИКОРРУПЦИОННАЯ ОГОВОРКА</w:t>
      </w:r>
    </w:p>
    <w:p>
      <w:pPr>
        <w:pStyle w:val="Normal"/>
        <w:ind w:firstLine="567"/>
        <w:jc w:val="center"/>
        <w:rPr>
          <w:rFonts w:eastAsia="Times New Roman"/>
          <w:b/>
          <w:sz w:val="24"/>
        </w:rPr>
      </w:pPr>
      <w:r>
        <w:rPr>
          <w:rFonts w:eastAsia="Times New Roman"/>
          <w:b/>
          <w:sz w:val="24"/>
        </w:rPr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10.1. При исполнении своих обязательств по настоящему договору Стороны, их, работники не выплачивают, не предлагают какие-либо ценности, услуги или выплату каких-либо денежных средств прямо или косвенно любым лицам для оказания влияния на действия или решения этих лиц с целью получения каких-либо неправомерных преимуществ или достижения иных неправомерных целей. 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10.2. При исполнении своих обязательств по настоящему договору Стороны, их работники не осуществляют действия, квалифицируемые российским законодательством как дача/получение взятки, коммерческий подкуп, а также действия, нарушающие требования российского законодательства и международных актов о противодействии легализации (отмыванию) доходов, полученных преступным путем.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10.3. В случае возникновения у Стороны подозрений, что произошло или может произойти нарушение каких-либо положений настоящей статьи, она обязуется уведомить об этом другую Сторону в письменной форме. В письменном уведомлении Сторона обязана сослаться на факты или представить материалы, достоверно подтверждающие или дающие аргументированное основание предполагать, что произошло или может произойти нарушение каких-либо положений настоящей статьи другой Стороной, ее работниками, выражающееся в действиях, квалифицируемых российским законодательством как дача или получение взятки, коммерческий подкуп, а также в действиях, нарушающих требования российского законодательства и международных актов о противодействии легализации доходов, полученных преступным путем. Сторона, получившая такое письменное уведомление, обязана подтвердить или обоснованно опровергнуть факты, изложенные в уведомлении, направив письменный ответ Стороне-инициатору.</w:t>
      </w:r>
    </w:p>
    <w:p>
      <w:pPr>
        <w:pStyle w:val="LBGovstyle1"/>
        <w:spacing w:before="0" w:after="0"/>
        <w:rPr>
          <w:b w:val="false"/>
          <w:bCs/>
        </w:rPr>
      </w:pPr>
      <w:r>
        <w:rPr>
          <w:rFonts w:eastAsia="Times New Roman"/>
          <w:b w:val="false"/>
          <w:bCs/>
          <w:sz w:val="24"/>
        </w:rPr>
        <w:t>10.4.</w:t>
      </w:r>
      <w:r>
        <w:rPr>
          <w:rFonts w:eastAsia="Times New Roman"/>
          <w:sz w:val="24"/>
        </w:rPr>
        <w:t xml:space="preserve"> </w:t>
      </w:r>
      <w:r>
        <w:rPr>
          <w:b w:val="false"/>
          <w:bCs/>
          <w:color w:val="000000"/>
          <w:shd w:fill="F1F1F1" w:val="clear"/>
        </w:rPr>
        <w:t>В случае нарушения одной стороной обязательств воздерживаться от запрещенных в настоящем разделе контракта действий и/или неполучения другой стороной в установленный настоящим контрактом срок подтверждения, что нарушения не произошло или не произойдет,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законодательством.</w:t>
      </w:r>
    </w:p>
    <w:p>
      <w:pPr>
        <w:pStyle w:val="Normal"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</w:r>
    </w:p>
    <w:p>
      <w:pPr>
        <w:pStyle w:val="Normal"/>
        <w:ind w:firstLine="567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</w:r>
    </w:p>
    <w:p>
      <w:pPr>
        <w:pStyle w:val="Normal"/>
        <w:keepNext w:val="true"/>
        <w:widowControl/>
        <w:numPr>
          <w:ilvl w:val="0"/>
          <w:numId w:val="12"/>
        </w:numPr>
        <w:ind w:hanging="360" w:start="927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К настоящему Договору прилагаются, являются его</w:t>
        <w:br/>
        <w:t>неотъемлемой частью и обязательны для Сторон</w:t>
      </w:r>
    </w:p>
    <w:p>
      <w:pPr>
        <w:pStyle w:val="Normal"/>
        <w:keepNext w:val="true"/>
        <w:ind w:start="360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</w:r>
    </w:p>
    <w:p>
      <w:pPr>
        <w:pStyle w:val="Normal"/>
        <w:ind w:firstLine="709"/>
        <w:rPr>
          <w:rFonts w:eastAsia="Times New Roman"/>
          <w:sz w:val="24"/>
        </w:rPr>
      </w:pPr>
      <w:r>
        <w:rPr>
          <w:rFonts w:eastAsia="Times New Roman"/>
          <w:sz w:val="24"/>
        </w:rPr>
        <w:t>Приложение № 1 – Перечень объектов, подлежащих страхованию</w:t>
      </w:r>
      <w:r>
        <w:rPr>
          <w:rFonts w:eastAsia="Times New Roman"/>
          <w:spacing w:val="-3"/>
          <w:sz w:val="24"/>
        </w:rPr>
        <w:t>.</w:t>
      </w:r>
    </w:p>
    <w:p>
      <w:pPr>
        <w:pStyle w:val="Normal"/>
        <w:ind w:firstLine="709"/>
        <w:rPr>
          <w:rFonts w:eastAsia="Times New Roman"/>
          <w:sz w:val="24"/>
        </w:rPr>
      </w:pPr>
      <w:r>
        <w:rPr>
          <w:rFonts w:eastAsia="Times New Roman"/>
          <w:sz w:val="24"/>
        </w:rPr>
        <w:t>Приложение № 2 – Заявление о заключении договора ОСАГО.</w:t>
      </w:r>
    </w:p>
    <w:p>
      <w:pPr>
        <w:pStyle w:val="Normal"/>
        <w:suppressLineNumbers/>
        <w:suppressAutoHyphens w:val="true"/>
        <w:ind w:firstLine="567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</w:r>
    </w:p>
    <w:p>
      <w:pPr>
        <w:pStyle w:val="2Arial-0"/>
        <w:spacing w:lineRule="auto" w:line="240" w:before="0" w:after="0"/>
        <w:ind w:firstLine="567"/>
        <w:contextualSpacing/>
        <w:rPr>
          <w:rFonts w:ascii="Times New Roman" w:hAnsi="Times New Roman"/>
          <w:szCs w:val="24"/>
        </w:rPr>
      </w:pPr>
      <w:r>
        <w:rPr/>
        <w:t>12. Адреса, реквизиты и подписи Сторон</w:t>
      </w:r>
    </w:p>
    <w:p>
      <w:pPr>
        <w:pStyle w:val="Normal"/>
        <w:suppressLineNumbers/>
        <w:suppressAutoHyphens w:val="true"/>
        <w:spacing w:before="0" w:after="0"/>
        <w:ind w:firstLine="567"/>
        <w:contextualSpacing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</w:r>
    </w:p>
    <w:tbl>
      <w:tblPr>
        <w:tblW w:w="10080" w:type="dxa"/>
        <w:jc w:val="start"/>
        <w:tblInd w:w="109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0" w:noVBand="0" w:lastRow="0" w:firstColumn="0" w:lastColumn="0" w:noHBand="0" w:val="0000"/>
      </w:tblPr>
      <w:tblGrid>
        <w:gridCol w:w="5220"/>
        <w:gridCol w:w="4860"/>
      </w:tblGrid>
      <w:tr>
        <w:trPr/>
        <w:tc>
          <w:tcPr>
            <w:tcW w:w="5220" w:type="dxa"/>
            <w:tcBorders/>
          </w:tcPr>
          <w:p>
            <w:pPr>
              <w:pStyle w:val="Normal"/>
              <w:spacing w:before="0" w:after="0"/>
              <w:ind w:firstLine="567"/>
              <w:contextualSpacing/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  <w:highlight w:val="yellow"/>
              </w:rPr>
            </w:r>
          </w:p>
        </w:tc>
        <w:tc>
          <w:tcPr>
            <w:tcW w:w="4860" w:type="dxa"/>
            <w:tcBorders/>
          </w:tcPr>
          <w:p>
            <w:pPr>
              <w:pStyle w:val="Normal"/>
              <w:spacing w:before="0" w:after="0"/>
              <w:ind w:firstLine="567"/>
              <w:contextualSpacing/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  <w:highlight w:val="yellow"/>
              </w:rPr>
            </w:r>
          </w:p>
        </w:tc>
      </w:tr>
      <w:tr>
        <w:trPr/>
        <w:tc>
          <w:tcPr>
            <w:tcW w:w="5220" w:type="dxa"/>
            <w:tcBorders/>
          </w:tcPr>
          <w:p>
            <w:pPr>
              <w:pStyle w:val="Normal"/>
              <w:spacing w:before="0" w:after="0"/>
              <w:ind w:firstLine="567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Страховщик</w:t>
            </w:r>
          </w:p>
          <w:p>
            <w:pPr>
              <w:pStyle w:val="Normal"/>
              <w:spacing w:before="0" w:after="0"/>
              <w:contextualSpacing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860" w:type="dxa"/>
            <w:tcBorders/>
          </w:tcPr>
          <w:p>
            <w:pPr>
              <w:pStyle w:val="Normal"/>
              <w:spacing w:before="0" w:after="0"/>
              <w:contextualSpacing/>
              <w:rPr>
                <w:rFonts w:eastAsia="Times New Roman"/>
                <w:b/>
                <w:sz w:val="24"/>
              </w:rPr>
            </w:pPr>
            <w:r>
              <w:rPr>
                <w:rFonts w:eastAsia="Times New Roman"/>
                <w:sz w:val="24"/>
              </w:rPr>
              <w:t xml:space="preserve">                    </w:t>
            </w:r>
            <w:r>
              <w:rPr>
                <w:rFonts w:eastAsia="Times New Roman"/>
                <w:b/>
                <w:sz w:val="24"/>
              </w:rPr>
              <w:t>Страхователь</w:t>
            </w:r>
          </w:p>
          <w:p>
            <w:pPr>
              <w:pStyle w:val="Normal"/>
              <w:spacing w:before="0" w:after="0"/>
              <w:contextualSpacing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МОБУ «</w:t>
            </w:r>
            <w:r>
              <w:rPr>
                <w:rFonts w:eastAsia="Times New Roman"/>
                <w:sz w:val="24"/>
              </w:rPr>
              <w:t>Сясьстройская</w:t>
            </w:r>
            <w:r>
              <w:rPr>
                <w:rFonts w:eastAsia="Times New Roman"/>
                <w:sz w:val="24"/>
              </w:rPr>
              <w:t xml:space="preserve"> средняя общеобразовательная школа </w:t>
            </w:r>
            <w:r>
              <w:rPr>
                <w:rFonts w:eastAsia="Times New Roman"/>
                <w:sz w:val="24"/>
              </w:rPr>
              <w:t>№1</w:t>
            </w:r>
            <w:r>
              <w:rPr>
                <w:rFonts w:eastAsia="Times New Roman"/>
                <w:sz w:val="24"/>
              </w:rPr>
              <w:t>»</w:t>
            </w:r>
          </w:p>
          <w:p>
            <w:pPr>
              <w:pStyle w:val="Normal"/>
              <w:spacing w:before="0" w:after="0"/>
              <w:contextualSpacing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</w:r>
          </w:p>
          <w:p>
            <w:pPr>
              <w:pStyle w:val="Normal"/>
              <w:spacing w:before="0" w:after="0"/>
              <w:contextualSpacing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Адрес места нахождения: 187 420 Россия Ленинградская область Волховский район г. Сясьстрой ул. Космонавтов д. 11</w:t>
            </w:r>
          </w:p>
        </w:tc>
      </w:tr>
      <w:tr>
        <w:trPr/>
        <w:tc>
          <w:tcPr>
            <w:tcW w:w="5220" w:type="dxa"/>
            <w:tcBorders/>
          </w:tcPr>
          <w:p>
            <w:pPr>
              <w:pStyle w:val="Normal"/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860" w:type="dxa"/>
            <w:tcBorders/>
          </w:tcPr>
          <w:p>
            <w:pPr>
              <w:pStyle w:val="Normal"/>
              <w:tabs>
                <w:tab w:val="clear" w:pos="708"/>
                <w:tab w:val="left" w:pos="1770" w:leader="none"/>
              </w:tabs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                                                        </w:t>
            </w:r>
            <w:r>
              <w:rPr>
                <w:rFonts w:eastAsia="Calibri"/>
                <w:b/>
                <w:bCs/>
                <w:color w:val="000000"/>
                <w:sz w:val="22"/>
                <w:szCs w:val="22"/>
              </w:rPr>
              <w:t>ИНН</w:t>
              <w:tab/>
            </w:r>
            <w:r>
              <w:rPr>
                <w:rFonts w:eastAsia="Calibri"/>
                <w:b w:val="false"/>
                <w:bCs w:val="false"/>
                <w:color w:val="000000"/>
                <w:sz w:val="22"/>
                <w:szCs w:val="22"/>
              </w:rPr>
              <w:t xml:space="preserve">4718010436   </w:t>
            </w:r>
            <w:r>
              <w:rPr>
                <w:rFonts w:eastAsia="Calibri"/>
                <w:b/>
                <w:bCs/>
                <w:color w:val="000000"/>
                <w:sz w:val="22"/>
                <w:szCs w:val="22"/>
              </w:rPr>
              <w:t xml:space="preserve">          </w:t>
            </w:r>
          </w:p>
          <w:p>
            <w:pPr>
              <w:pStyle w:val="Normal"/>
              <w:tabs>
                <w:tab w:val="clear" w:pos="708"/>
                <w:tab w:val="left" w:pos="1770" w:leader="none"/>
              </w:tabs>
              <w:rPr>
                <w:b/>
                <w:sz w:val="22"/>
                <w:szCs w:val="22"/>
              </w:rP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</w:rPr>
              <w:t>КПП</w:t>
              <w:tab/>
            </w:r>
            <w:r>
              <w:rPr>
                <w:rFonts w:eastAsia="Calibri"/>
                <w:b w:val="false"/>
                <w:bCs w:val="false"/>
                <w:color w:val="000000"/>
                <w:sz w:val="22"/>
                <w:szCs w:val="22"/>
              </w:rPr>
              <w:t>470201001</w:t>
            </w:r>
          </w:p>
          <w:p>
            <w:pPr>
              <w:pStyle w:val="Normal"/>
              <w:tabs>
                <w:tab w:val="clear" w:pos="708"/>
                <w:tab w:val="left" w:pos="1770" w:leader="none"/>
              </w:tabs>
              <w:rPr>
                <w:b/>
                <w:sz w:val="22"/>
                <w:szCs w:val="22"/>
              </w:rP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</w:rPr>
              <w:t>Банковские реквизиты:</w:t>
            </w:r>
          </w:p>
          <w:p>
            <w:pPr>
              <w:pStyle w:val="Normal"/>
              <w:tabs>
                <w:tab w:val="clear" w:pos="708"/>
                <w:tab w:val="left" w:pos="1770" w:leader="none"/>
              </w:tabs>
              <w:rPr>
                <w:rFonts w:eastAsia="Calibri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eastAsia="Calibri"/>
                <w:b w:val="false"/>
                <w:bCs w:val="false"/>
                <w:color w:val="000000"/>
                <w:sz w:val="22"/>
                <w:szCs w:val="22"/>
              </w:rPr>
              <w:t>л/с 2007610200, 2107610300 УФК по Ленинградской области г Санкт-Петербург</w:t>
            </w:r>
          </w:p>
          <w:p>
            <w:pPr>
              <w:pStyle w:val="Normal"/>
              <w:tabs>
                <w:tab w:val="clear" w:pos="708"/>
                <w:tab w:val="left" w:pos="1770" w:leader="none"/>
              </w:tabs>
              <w:rPr>
                <w:rFonts w:eastAsia="Calibri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eastAsia="Calibri"/>
                <w:b w:val="false"/>
                <w:bCs w:val="false"/>
                <w:color w:val="000000"/>
                <w:sz w:val="22"/>
                <w:szCs w:val="22"/>
              </w:rPr>
              <w:t xml:space="preserve">р/с 03234643416090004500 </w:t>
            </w:r>
          </w:p>
          <w:p>
            <w:pPr>
              <w:pStyle w:val="Normal"/>
              <w:tabs>
                <w:tab w:val="clear" w:pos="708"/>
                <w:tab w:val="left" w:pos="1770" w:leader="none"/>
              </w:tabs>
              <w:rPr>
                <w:rFonts w:eastAsia="Calibri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eastAsia="Calibri"/>
                <w:b w:val="false"/>
                <w:bCs w:val="false"/>
                <w:color w:val="000000"/>
                <w:sz w:val="22"/>
                <w:szCs w:val="22"/>
              </w:rPr>
              <w:t xml:space="preserve">кор/сч 40102810745370000098  </w:t>
            </w:r>
          </w:p>
          <w:p>
            <w:pPr>
              <w:pStyle w:val="Normal"/>
              <w:tabs>
                <w:tab w:val="clear" w:pos="708"/>
                <w:tab w:val="left" w:pos="1770" w:leader="none"/>
              </w:tabs>
              <w:rPr>
                <w:b/>
                <w:sz w:val="22"/>
                <w:szCs w:val="22"/>
              </w:rP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</w:rPr>
              <w:t xml:space="preserve">Банк: </w:t>
            </w:r>
            <w:r>
              <w:rPr>
                <w:rFonts w:eastAsia="Calibri"/>
                <w:b w:val="false"/>
                <w:bCs w:val="false"/>
                <w:color w:val="000000"/>
                <w:sz w:val="22"/>
                <w:szCs w:val="22"/>
              </w:rPr>
              <w:t xml:space="preserve">ОКЦ № 1 СЗГУ Банка России     </w:t>
            </w:r>
            <w:r>
              <w:rPr>
                <w:rFonts w:eastAsia="Calibri"/>
                <w:b/>
                <w:bCs/>
                <w:color w:val="000000"/>
                <w:sz w:val="22"/>
                <w:szCs w:val="22"/>
              </w:rPr>
              <w:t xml:space="preserve">       </w:t>
            </w:r>
          </w:p>
          <w:p>
            <w:pPr>
              <w:pStyle w:val="Normal"/>
              <w:tabs>
                <w:tab w:val="clear" w:pos="708"/>
                <w:tab w:val="left" w:pos="1770" w:leader="none"/>
              </w:tabs>
              <w:rPr>
                <w:b/>
                <w:sz w:val="22"/>
                <w:szCs w:val="22"/>
              </w:rP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</w:rPr>
              <w:t>БИК</w:t>
              <w:tab/>
            </w:r>
            <w:r>
              <w:rPr>
                <w:rFonts w:eastAsia="Calibri"/>
                <w:b w:val="false"/>
                <w:bCs w:val="false"/>
                <w:color w:val="000000"/>
                <w:sz w:val="22"/>
                <w:szCs w:val="22"/>
              </w:rPr>
              <w:t>044030098</w:t>
            </w:r>
          </w:p>
          <w:p>
            <w:pPr>
              <w:pStyle w:val="Normal"/>
              <w:tabs>
                <w:tab w:val="clear" w:pos="708"/>
                <w:tab w:val="left" w:pos="1770" w:leader="none"/>
              </w:tabs>
              <w:rPr>
                <w:b/>
                <w:sz w:val="22"/>
                <w:szCs w:val="22"/>
              </w:rP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</w:rPr>
              <w:t xml:space="preserve">ОКАТО </w:t>
            </w:r>
            <w:r>
              <w:rPr>
                <w:rFonts w:eastAsia="Calibri"/>
                <w:b w:val="false"/>
                <w:bCs w:val="false"/>
                <w:color w:val="000000"/>
                <w:sz w:val="22"/>
                <w:szCs w:val="22"/>
              </w:rPr>
              <w:t>41209508</w:t>
            </w:r>
            <w:r>
              <w:rPr>
                <w:rFonts w:eastAsia="Calibri"/>
                <w:b/>
                <w:bCs/>
                <w:color w:val="000000"/>
                <w:sz w:val="22"/>
                <w:szCs w:val="22"/>
              </w:rPr>
              <w:t xml:space="preserve">    </w:t>
            </w:r>
          </w:p>
          <w:p>
            <w:pPr>
              <w:pStyle w:val="Normal"/>
              <w:tabs>
                <w:tab w:val="clear" w:pos="708"/>
                <w:tab w:val="left" w:pos="1770" w:leader="none"/>
              </w:tabs>
              <w:rPr>
                <w:b/>
                <w:sz w:val="22"/>
                <w:szCs w:val="22"/>
              </w:rP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</w:rPr>
              <w:t xml:space="preserve">ОКТМО </w:t>
            </w:r>
            <w:r>
              <w:rPr>
                <w:rFonts w:eastAsia="Calibri"/>
                <w:b w:val="false"/>
                <w:bCs w:val="false"/>
                <w:color w:val="000000"/>
                <w:sz w:val="22"/>
                <w:szCs w:val="22"/>
              </w:rPr>
              <w:t xml:space="preserve">41609108 </w:t>
            </w:r>
            <w:r>
              <w:rPr>
                <w:rFonts w:eastAsia="Calibri"/>
                <w:b/>
                <w:bCs/>
                <w:color w:val="000000"/>
                <w:sz w:val="22"/>
                <w:szCs w:val="22"/>
              </w:rPr>
              <w:t xml:space="preserve">     </w:t>
            </w:r>
          </w:p>
          <w:p>
            <w:pPr>
              <w:pStyle w:val="Normal"/>
              <w:tabs>
                <w:tab w:val="clear" w:pos="708"/>
                <w:tab w:val="left" w:pos="1770" w:leader="none"/>
              </w:tabs>
              <w:rPr>
                <w:b/>
                <w:sz w:val="22"/>
                <w:szCs w:val="22"/>
              </w:rP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</w:rPr>
              <w:t xml:space="preserve">ОГРН </w:t>
            </w:r>
            <w:r>
              <w:rPr>
                <w:rFonts w:eastAsia="Calibri"/>
                <w:b w:val="false"/>
                <w:bCs w:val="false"/>
                <w:color w:val="000000"/>
                <w:sz w:val="22"/>
                <w:szCs w:val="22"/>
              </w:rPr>
              <w:t>1024702049130</w:t>
            </w:r>
          </w:p>
          <w:p>
            <w:pPr>
              <w:pStyle w:val="Normal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Телефон:</w:t>
            </w:r>
            <w:r>
              <w:rPr>
                <w:rFonts w:eastAsia="Calibri"/>
                <w:sz w:val="22"/>
                <w:szCs w:val="22"/>
              </w:rPr>
              <w:t xml:space="preserve"> 8 (813 63) 5-26-90 (секретарь); </w:t>
            </w:r>
          </w:p>
          <w:p>
            <w:pPr>
              <w:pStyle w:val="Normal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8 (813 63) 5-22-77 (бухгалтерия)</w:t>
            </w:r>
          </w:p>
          <w:p>
            <w:pPr>
              <w:pStyle w:val="Normal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en-US"/>
              </w:rPr>
              <w:t>e-mail:</w:t>
            </w:r>
            <w:r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hyperlink r:id="rId3">
              <w:r>
                <w:rPr>
                  <w:rStyle w:val="Hyperlink"/>
                  <w:rFonts w:eastAsia="Calibri"/>
                  <w:sz w:val="22"/>
                  <w:szCs w:val="22"/>
                  <w:lang w:val="en-US"/>
                </w:rPr>
                <w:t>Syas1.school@mail.ru</w:t>
              </w:r>
            </w:hyperlink>
            <w:r>
              <w:rPr>
                <w:rFonts w:eastAsia="Calibri"/>
                <w:sz w:val="22"/>
                <w:szCs w:val="22"/>
                <w:lang w:val="en-US"/>
              </w:rPr>
              <w:t xml:space="preserve">   </w:t>
            </w:r>
          </w:p>
        </w:tc>
      </w:tr>
      <w:tr>
        <w:trPr/>
        <w:tc>
          <w:tcPr>
            <w:tcW w:w="5220" w:type="dxa"/>
            <w:tcBorders/>
          </w:tcPr>
          <w:p>
            <w:pPr>
              <w:pStyle w:val="Normal"/>
              <w:widowControl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4860" w:type="dxa"/>
            <w:tcBorders/>
          </w:tcPr>
          <w:p>
            <w:pPr>
              <w:pStyle w:val="Normal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</w:tr>
      <w:tr>
        <w:trPr/>
        <w:tc>
          <w:tcPr>
            <w:tcW w:w="5220" w:type="dxa"/>
            <w:tcBorders/>
          </w:tcPr>
          <w:p>
            <w:pPr>
              <w:pStyle w:val="Normal"/>
              <w:spacing w:before="0" w:after="0"/>
              <w:contextualSpacing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Normal"/>
              <w:widowControl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Normal"/>
              <w:widowControl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Normal"/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 /         /</w:t>
            </w:r>
          </w:p>
          <w:p>
            <w:pPr>
              <w:pStyle w:val="211"/>
              <w:widowControl/>
              <w:spacing w:before="0" w:after="0"/>
              <w:ind w:hanging="0" w:end="45"/>
              <w:contextualSpacing/>
              <w:rPr>
                <w:szCs w:val="24"/>
              </w:rPr>
            </w:pPr>
            <w:r>
              <w:rPr>
                <w:szCs w:val="24"/>
              </w:rPr>
              <w:t>М.П.</w:t>
            </w:r>
          </w:p>
        </w:tc>
        <w:tc>
          <w:tcPr>
            <w:tcW w:w="4860" w:type="dxa"/>
            <w:tcBorders/>
          </w:tcPr>
          <w:p>
            <w:pPr>
              <w:pStyle w:val="Normal"/>
              <w:spacing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Директор ОУ:</w:t>
            </w:r>
          </w:p>
          <w:p>
            <w:pPr>
              <w:pStyle w:val="Normal"/>
              <w:jc w:val="both"/>
              <w:rPr>
                <w:rFonts w:eastAsia="Times New Roman"/>
                <w:sz w:val="24"/>
              </w:rPr>
            </w:pPr>
            <w:r>
              <w:rPr/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 / </w:t>
            </w:r>
            <w:r>
              <w:rPr>
                <w:sz w:val="24"/>
                <w:szCs w:val="24"/>
              </w:rPr>
              <w:t xml:space="preserve">С.А. Умнова </w:t>
            </w:r>
            <w:r>
              <w:rPr>
                <w:sz w:val="24"/>
                <w:szCs w:val="24"/>
              </w:rPr>
              <w:t>/</w:t>
            </w:r>
          </w:p>
          <w:p>
            <w:pPr>
              <w:pStyle w:val="211"/>
              <w:widowControl/>
              <w:spacing w:before="0" w:after="0"/>
              <w:ind w:hanging="0" w:end="45"/>
              <w:contextualSpacing/>
              <w:rPr>
                <w:szCs w:val="24"/>
              </w:rPr>
            </w:pPr>
            <w:r>
              <w:rPr>
                <w:szCs w:val="24"/>
              </w:rPr>
              <w:t>М.П.</w:t>
            </w:r>
          </w:p>
        </w:tc>
      </w:tr>
    </w:tbl>
    <w:p>
      <w:pPr>
        <w:sectPr>
          <w:footerReference w:type="even" r:id="rId4"/>
          <w:footerReference w:type="default" r:id="rId5"/>
          <w:footerReference w:type="first" r:id="rId6"/>
          <w:type w:val="nextPage"/>
          <w:pgSz w:w="11906" w:h="16838"/>
          <w:pgMar w:left="1276" w:right="710" w:gutter="0" w:header="0" w:top="709" w:footer="720" w:bottom="1134"/>
          <w:pgNumType w:fmt="decimal"/>
          <w:formProt w:val="false"/>
          <w:textDirection w:val="lrTb"/>
          <w:docGrid w:type="default" w:linePitch="272" w:charSpace="0"/>
        </w:sectPr>
      </w:pPr>
    </w:p>
    <w:p>
      <w:pPr>
        <w:pStyle w:val="Header"/>
        <w:spacing w:before="0" w:after="0"/>
        <w:ind w:firstLine="567"/>
        <w:contextualSpacing/>
        <w:jc w:val="end"/>
        <w:rPr>
          <w:sz w:val="24"/>
          <w:szCs w:val="24"/>
        </w:rPr>
      </w:pPr>
      <w:r>
        <w:rPr>
          <w:sz w:val="24"/>
          <w:szCs w:val="24"/>
        </w:rPr>
        <w:t>Приложение № 1 к Договору</w:t>
      </w:r>
    </w:p>
    <w:p>
      <w:pPr>
        <w:pStyle w:val="Header"/>
        <w:spacing w:before="0" w:after="0"/>
        <w:ind w:firstLine="567"/>
        <w:contextualSpacing/>
        <w:jc w:val="end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er"/>
        <w:spacing w:before="0" w:after="0"/>
        <w:ind w:firstLine="567"/>
        <w:contextualSpacing/>
        <w:jc w:val="center"/>
        <w:rPr>
          <w:b/>
          <w:spacing w:val="-3"/>
          <w:sz w:val="24"/>
          <w:szCs w:val="24"/>
        </w:rPr>
      </w:pPr>
      <w:r>
        <w:rPr>
          <w:b/>
          <w:sz w:val="24"/>
          <w:szCs w:val="24"/>
        </w:rPr>
        <w:t>Перечень транспортных средств, в отношении которых заключаются договоры ОСАГО</w:t>
      </w:r>
    </w:p>
    <w:p>
      <w:pPr>
        <w:pStyle w:val="Header"/>
        <w:tabs>
          <w:tab w:val="clear" w:pos="9355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</w:tabs>
        <w:spacing w:before="0" w:after="0"/>
        <w:ind w:firstLine="567"/>
        <w:contextualSpacing/>
        <w:rPr>
          <w:sz w:val="24"/>
          <w:szCs w:val="24"/>
        </w:rPr>
      </w:pPr>
      <w:r>
        <w:rPr>
          <w:sz w:val="24"/>
          <w:szCs w:val="24"/>
        </w:rPr>
        <w:tab/>
        <w:tab/>
        <w:tab/>
        <w:tab/>
        <w:tab/>
        <w:tab/>
        <w:tab/>
      </w:r>
    </w:p>
    <w:tbl>
      <w:tblPr>
        <w:tblW w:w="5000" w:type="pct"/>
        <w:jc w:val="start"/>
        <w:tblInd w:w="103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527"/>
        <w:gridCol w:w="1438"/>
        <w:gridCol w:w="1360"/>
        <w:gridCol w:w="839"/>
        <w:gridCol w:w="700"/>
        <w:gridCol w:w="1265"/>
        <w:gridCol w:w="1249"/>
        <w:gridCol w:w="1116"/>
        <w:gridCol w:w="978"/>
        <w:gridCol w:w="965"/>
        <w:gridCol w:w="2112"/>
        <w:gridCol w:w="976"/>
        <w:gridCol w:w="1470"/>
      </w:tblGrid>
      <w:tr>
        <w:trPr>
          <w:trHeight w:val="2705" w:hRule="atLeast"/>
        </w:trPr>
        <w:tc>
          <w:tcPr>
            <w:tcW w:w="5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 xml:space="preserve">№  </w:t>
            </w:r>
            <w:r>
              <w:rPr>
                <w:rFonts w:eastAsia="Times New Roman"/>
                <w:color w:val="000000"/>
                <w:sz w:val="22"/>
                <w:szCs w:val="26"/>
              </w:rPr>
              <w:t>п/п</w:t>
            </w:r>
          </w:p>
        </w:tc>
        <w:tc>
          <w:tcPr>
            <w:tcW w:w="14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Марка транспортного средства (ТС)</w:t>
            </w:r>
          </w:p>
        </w:tc>
        <w:tc>
          <w:tcPr>
            <w:tcW w:w="13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Гос. рег. знак</w:t>
            </w:r>
          </w:p>
        </w:tc>
        <w:tc>
          <w:tcPr>
            <w:tcW w:w="8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Категория ТС</w:t>
            </w:r>
          </w:p>
        </w:tc>
        <w:tc>
          <w:tcPr>
            <w:tcW w:w="7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Используется с прицепом (да/нет)</w:t>
            </w:r>
          </w:p>
        </w:tc>
        <w:tc>
          <w:tcPr>
            <w:tcW w:w="12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Начало страхования</w:t>
            </w:r>
          </w:p>
        </w:tc>
        <w:tc>
          <w:tcPr>
            <w:tcW w:w="12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Окончание страхования</w:t>
            </w:r>
          </w:p>
        </w:tc>
        <w:tc>
          <w:tcPr>
            <w:tcW w:w="111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Мощность двигателя легкового ТС,  л.с.</w:t>
            </w:r>
          </w:p>
        </w:tc>
        <w:tc>
          <w:tcPr>
            <w:tcW w:w="9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Кол-во мест (для автобусов)</w:t>
            </w:r>
          </w:p>
        </w:tc>
        <w:tc>
          <w:tcPr>
            <w:tcW w:w="9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Разрешенная максимальная масса (для грузовых ТС)</w:t>
            </w:r>
          </w:p>
        </w:tc>
        <w:tc>
          <w:tcPr>
            <w:tcW w:w="21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VIN или номер кузова/шасси/рамы</w:t>
            </w:r>
          </w:p>
        </w:tc>
        <w:tc>
          <w:tcPr>
            <w:tcW w:w="976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Цель использования</w:t>
            </w:r>
          </w:p>
        </w:tc>
        <w:tc>
          <w:tcPr>
            <w:tcW w:w="14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Территория преимущественного использования ТС</w:t>
            </w:r>
          </w:p>
        </w:tc>
      </w:tr>
      <w:tr>
        <w:trPr>
          <w:trHeight w:val="315" w:hRule="atLeast"/>
        </w:trPr>
        <w:tc>
          <w:tcPr>
            <w:tcW w:w="5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Calibri" w:cs="Calibri" w:ascii="Calibri" w:hAnsi="Calibri"/>
                <w:lang w:val="en-US"/>
              </w:rPr>
              <w:t>Gazelle Next</w:t>
            </w:r>
          </w:p>
        </w:tc>
        <w:tc>
          <w:tcPr>
            <w:tcW w:w="13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lang w:eastAsia="en-US"/>
              </w:rPr>
              <w:t>Е 527 АТ 147</w:t>
            </w:r>
          </w:p>
        </w:tc>
        <w:tc>
          <w:tcPr>
            <w:tcW w:w="8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Calibri" w:cs="Calibri" w:ascii="Calibri" w:hAnsi="Calibri"/>
                <w:lang w:val="en-US"/>
              </w:rPr>
              <w:t>D</w:t>
            </w:r>
          </w:p>
        </w:tc>
        <w:tc>
          <w:tcPr>
            <w:tcW w:w="7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Calibri" w:cs="Calibri" w:ascii="Calibri" w:hAnsi="Calibri"/>
              </w:rPr>
              <w:t>нет</w:t>
            </w:r>
          </w:p>
        </w:tc>
        <w:tc>
          <w:tcPr>
            <w:tcW w:w="12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Calibri" w:cs="Calibri" w:ascii="Calibri" w:hAnsi="Calibri"/>
              </w:rPr>
              <w:t>11.09.2026</w:t>
            </w:r>
          </w:p>
        </w:tc>
        <w:tc>
          <w:tcPr>
            <w:tcW w:w="12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eastAsia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Calibri" w:cs="Calibri" w:ascii="Calibri" w:hAnsi="Calibri"/>
              </w:rPr>
              <w:t>10.09.2027</w:t>
            </w:r>
          </w:p>
        </w:tc>
        <w:tc>
          <w:tcPr>
            <w:tcW w:w="111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</w:r>
          </w:p>
        </w:tc>
        <w:tc>
          <w:tcPr>
            <w:tcW w:w="9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eastAsia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22</w:t>
            </w:r>
            <w:bookmarkStart w:id="0" w:name="_GoBack"/>
            <w:bookmarkEnd w:id="0"/>
          </w:p>
        </w:tc>
        <w:tc>
          <w:tcPr>
            <w:tcW w:w="9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</w:r>
          </w:p>
        </w:tc>
        <w:tc>
          <w:tcPr>
            <w:tcW w:w="21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lang w:val="en-US"/>
              </w:rPr>
              <w:t>X96A67R43P0024211</w:t>
            </w:r>
          </w:p>
        </w:tc>
        <w:tc>
          <w:tcPr>
            <w:tcW w:w="97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Calibri" w:cs="Calibri" w:ascii="Calibri" w:hAnsi="Calibri"/>
              </w:rPr>
              <w:t>прочее</w:t>
            </w:r>
          </w:p>
        </w:tc>
        <w:tc>
          <w:tcPr>
            <w:tcW w:w="14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Calibri" w:cs="Calibri" w:ascii="Calibri" w:hAnsi="Calibri"/>
              </w:rPr>
              <w:t>ЛО</w:t>
            </w:r>
          </w:p>
        </w:tc>
      </w:tr>
      <w:tr>
        <w:trPr>
          <w:trHeight w:val="315" w:hRule="atLeast"/>
        </w:trPr>
        <w:tc>
          <w:tcPr>
            <w:tcW w:w="5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</w:r>
          </w:p>
        </w:tc>
        <w:tc>
          <w:tcPr>
            <w:tcW w:w="14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ascii="Calibri" w:hAnsi="Calibri" w:eastAsia="Calibri" w:cs="Calibri"/>
              </w:rPr>
            </w:pPr>
            <w:r>
              <w:rPr>
                <w:rFonts w:eastAsia="Calibri" w:cs="Calibri" w:ascii="Calibri" w:hAnsi="Calibri"/>
              </w:rPr>
            </w:r>
          </w:p>
        </w:tc>
        <w:tc>
          <w:tcPr>
            <w:tcW w:w="13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eastAsia="Times New Roman"/>
                <w:color w:val="000000"/>
                <w:lang w:eastAsia="en-US"/>
              </w:rPr>
            </w:pPr>
            <w:r>
              <w:rPr>
                <w:rFonts w:eastAsia="Times New Roman"/>
                <w:color w:val="000000"/>
                <w:lang w:eastAsia="en-US"/>
              </w:rPr>
            </w:r>
          </w:p>
        </w:tc>
        <w:tc>
          <w:tcPr>
            <w:tcW w:w="8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ascii="Calibri" w:hAnsi="Calibri" w:eastAsia="Calibri" w:cs="Calibri"/>
                <w:lang w:val="en-US"/>
              </w:rPr>
            </w:pPr>
            <w:r>
              <w:rPr>
                <w:rFonts w:eastAsia="Calibri" w:cs="Calibri" w:ascii="Calibri" w:hAnsi="Calibri"/>
                <w:lang w:val="en-US"/>
              </w:rPr>
            </w:r>
          </w:p>
        </w:tc>
        <w:tc>
          <w:tcPr>
            <w:tcW w:w="7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ascii="Calibri" w:hAnsi="Calibri" w:eastAsia="Calibri" w:cs="Calibri"/>
              </w:rPr>
            </w:pPr>
            <w:r>
              <w:rPr>
                <w:rFonts w:eastAsia="Calibri" w:cs="Calibri" w:ascii="Calibri" w:hAnsi="Calibri"/>
              </w:rPr>
            </w:r>
          </w:p>
        </w:tc>
        <w:tc>
          <w:tcPr>
            <w:tcW w:w="12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ascii="Calibri" w:hAnsi="Calibri" w:eastAsia="Calibri" w:cs="Calibri"/>
              </w:rPr>
            </w:pPr>
            <w:r>
              <w:rPr>
                <w:rFonts w:eastAsia="Calibri" w:cs="Calibri" w:ascii="Calibri" w:hAnsi="Calibri"/>
              </w:rPr>
            </w:r>
          </w:p>
        </w:tc>
        <w:tc>
          <w:tcPr>
            <w:tcW w:w="12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ascii="Calibri" w:hAnsi="Calibri" w:eastAsia="Calibri" w:cs="Calibri"/>
              </w:rPr>
            </w:pPr>
            <w:r>
              <w:rPr>
                <w:rFonts w:eastAsia="Calibri" w:cs="Calibri" w:ascii="Calibri" w:hAnsi="Calibri"/>
              </w:rPr>
            </w:r>
          </w:p>
        </w:tc>
        <w:tc>
          <w:tcPr>
            <w:tcW w:w="111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</w:r>
          </w:p>
        </w:tc>
        <w:tc>
          <w:tcPr>
            <w:tcW w:w="9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eastAsia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W w:w="9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</w:r>
          </w:p>
        </w:tc>
        <w:tc>
          <w:tcPr>
            <w:tcW w:w="21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eastAsia="Times New Roman"/>
              </w:rPr>
            </w:pPr>
            <w:r>
              <w:rPr>
                <w:rFonts w:eastAsia="Times New Roman"/>
              </w:rPr>
            </w:r>
          </w:p>
        </w:tc>
        <w:tc>
          <w:tcPr>
            <w:tcW w:w="97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rPr>
                <w:rFonts w:ascii="Calibri" w:hAnsi="Calibri" w:eastAsia="Calibri" w:cs="Calibri"/>
              </w:rPr>
            </w:pPr>
            <w:r>
              <w:rPr>
                <w:rFonts w:eastAsia="Calibri" w:cs="Calibri" w:ascii="Calibri" w:hAnsi="Calibri"/>
              </w:rPr>
            </w:r>
          </w:p>
        </w:tc>
        <w:tc>
          <w:tcPr>
            <w:tcW w:w="14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ascii="Calibri" w:hAnsi="Calibri" w:eastAsia="Calibri" w:cs="Calibri"/>
              </w:rPr>
            </w:pPr>
            <w:r>
              <w:rPr>
                <w:rFonts w:eastAsia="Calibri" w:cs="Calibri" w:ascii="Calibri" w:hAnsi="Calibri"/>
              </w:rPr>
            </w:r>
          </w:p>
        </w:tc>
      </w:tr>
      <w:tr>
        <w:trPr>
          <w:trHeight w:val="315" w:hRule="atLeast"/>
        </w:trPr>
        <w:tc>
          <w:tcPr>
            <w:tcW w:w="5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eastAsia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W w:w="14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ascii="Calibri" w:hAnsi="Calibri" w:eastAsia="Calibri" w:cs="Calibri"/>
              </w:rPr>
            </w:pPr>
            <w:r>
              <w:rPr>
                <w:rFonts w:eastAsia="Calibri" w:cs="Calibri" w:ascii="Calibri" w:hAnsi="Calibri"/>
              </w:rPr>
            </w:r>
          </w:p>
        </w:tc>
        <w:tc>
          <w:tcPr>
            <w:tcW w:w="13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eastAsia="Times New Roman"/>
                <w:color w:val="000000"/>
                <w:lang w:eastAsia="en-US"/>
              </w:rPr>
            </w:pPr>
            <w:r>
              <w:rPr>
                <w:rFonts w:eastAsia="Times New Roman"/>
                <w:color w:val="000000"/>
                <w:lang w:eastAsia="en-US"/>
              </w:rPr>
            </w:r>
          </w:p>
        </w:tc>
        <w:tc>
          <w:tcPr>
            <w:tcW w:w="8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ascii="Calibri" w:hAnsi="Calibri" w:eastAsia="Calibri" w:cs="Calibri"/>
                <w:lang w:val="en-US"/>
              </w:rPr>
            </w:pPr>
            <w:r>
              <w:rPr>
                <w:rFonts w:eastAsia="Calibri" w:cs="Calibri" w:ascii="Calibri" w:hAnsi="Calibri"/>
                <w:lang w:val="en-US"/>
              </w:rPr>
            </w:r>
          </w:p>
        </w:tc>
        <w:tc>
          <w:tcPr>
            <w:tcW w:w="7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ascii="Calibri" w:hAnsi="Calibri" w:eastAsia="Calibri" w:cs="Calibri"/>
              </w:rPr>
            </w:pPr>
            <w:r>
              <w:rPr>
                <w:rFonts w:eastAsia="Calibri" w:cs="Calibri" w:ascii="Calibri" w:hAnsi="Calibri"/>
              </w:rPr>
            </w:r>
          </w:p>
        </w:tc>
        <w:tc>
          <w:tcPr>
            <w:tcW w:w="12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ascii="Calibri" w:hAnsi="Calibri" w:eastAsia="Calibri" w:cs="Calibri"/>
              </w:rPr>
            </w:pPr>
            <w:r>
              <w:rPr>
                <w:rFonts w:eastAsia="Calibri" w:cs="Calibri" w:ascii="Calibri" w:hAnsi="Calibri"/>
              </w:rPr>
            </w:r>
          </w:p>
        </w:tc>
        <w:tc>
          <w:tcPr>
            <w:tcW w:w="12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ascii="Calibri" w:hAnsi="Calibri" w:eastAsia="Calibri" w:cs="Calibri"/>
              </w:rPr>
            </w:pPr>
            <w:r>
              <w:rPr>
                <w:rFonts w:eastAsia="Calibri" w:cs="Calibri" w:ascii="Calibri" w:hAnsi="Calibri"/>
              </w:rPr>
            </w:r>
          </w:p>
        </w:tc>
        <w:tc>
          <w:tcPr>
            <w:tcW w:w="111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</w:r>
          </w:p>
        </w:tc>
        <w:tc>
          <w:tcPr>
            <w:tcW w:w="9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</w:r>
          </w:p>
        </w:tc>
        <w:tc>
          <w:tcPr>
            <w:tcW w:w="9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</w:r>
          </w:p>
        </w:tc>
        <w:tc>
          <w:tcPr>
            <w:tcW w:w="21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eastAsia="Times New Roman"/>
              </w:rPr>
            </w:pPr>
            <w:r>
              <w:rPr>
                <w:rFonts w:eastAsia="Times New Roman"/>
              </w:rPr>
            </w:r>
          </w:p>
        </w:tc>
        <w:tc>
          <w:tcPr>
            <w:tcW w:w="97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rPr>
                <w:rFonts w:ascii="Calibri" w:hAnsi="Calibri" w:eastAsia="Calibri" w:cs="Calibri"/>
              </w:rPr>
            </w:pPr>
            <w:r>
              <w:rPr>
                <w:rFonts w:eastAsia="Calibri" w:cs="Calibri" w:ascii="Calibri" w:hAnsi="Calibri"/>
              </w:rPr>
            </w:r>
          </w:p>
        </w:tc>
        <w:tc>
          <w:tcPr>
            <w:tcW w:w="14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ascii="Calibri" w:hAnsi="Calibri" w:eastAsia="Calibri" w:cs="Calibri"/>
                <w:lang w:val="en-US"/>
              </w:rPr>
            </w:pPr>
            <w:r>
              <w:rPr>
                <w:rFonts w:eastAsia="Calibri" w:cs="Calibri" w:ascii="Calibri" w:hAnsi="Calibri"/>
                <w:lang w:val="en-US"/>
              </w:rPr>
            </w:r>
          </w:p>
        </w:tc>
      </w:tr>
    </w:tbl>
    <w:p>
      <w:pPr>
        <w:pStyle w:val="Header"/>
        <w:spacing w:before="0" w:after="0"/>
        <w:ind w:firstLine="567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sectPr>
      <w:footerReference w:type="default" r:id="rId7"/>
      <w:footerReference w:type="first" r:id="rId8"/>
      <w:type w:val="nextPage"/>
      <w:pgSz w:orient="landscape" w:w="16838" w:h="11906"/>
      <w:pgMar w:left="1134" w:right="709" w:gutter="0" w:header="0" w:top="1276" w:footer="720" w:bottom="777"/>
      <w:pgNumType w:fmt="decimal"/>
      <w:formProt w:val="false"/>
      <w:textDirection w:val="lrTb"/>
      <w:docGrid w:type="default" w:linePitch="27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Cambria">
    <w:charset w:val="cc" w:characterSet="windows-1251"/>
    <w:family w:val="roman"/>
    <w:pitch w:val="variable"/>
  </w:font>
  <w:font w:name="Tahoma">
    <w:charset w:val="cc" w:characterSet="windows-1251"/>
    <w:family w:val="swiss"/>
    <w:pitch w:val="variable"/>
  </w:font>
  <w:font w:name="Wingdings">
    <w:charset w:val="cc" w:characterSet="windows-1251"/>
    <w:family w:val="roman"/>
    <w:pitch w:val="variable"/>
  </w:font>
  <w:font w:name="Proxima Nova ExCn Rg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Arial">
    <w:charset w:val="cc" w:characterSet="windows-1251"/>
    <w:family w:val="swiss"/>
    <w:pitch w:val="variable"/>
  </w:font>
  <w:font w:name="Calibri">
    <w:charset w:val="cc" w:characterSet="windows-1251"/>
    <w:family w:val="swiss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id w:val="1895002439"/>
      <w:docPartObj>
        <w:docPartGallery w:val="Page Numbers (Bottom of Page)"/>
        <w:docPartUnique w:val="true"/>
      </w:docPartObj>
    </w:sdtPr>
    <w:sdtContent>
      <w:p>
        <w:pPr>
          <w:pStyle w:val="Footer"/>
          <w:jc w:val="end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7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id w:val="1895002439"/>
      <w:docPartObj>
        <w:docPartGallery w:val="Page Numbers (Bottom of Page)"/>
        <w:docPartUnique w:val="true"/>
      </w:docPartObj>
    </w:sdtPr>
    <w:sdtContent>
      <w:p>
        <w:pPr>
          <w:pStyle w:val="Footer"/>
          <w:jc w:val="end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7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id w:val="1895002439"/>
      <w:docPartObj>
        <w:docPartGallery w:val="Page Numbers (Bottom of Page)"/>
        <w:docPartUnique w:val="true"/>
      </w:docPartObj>
    </w:sdtPr>
    <w:sdtContent>
      <w:p>
        <w:pPr>
          <w:pStyle w:val="Footer"/>
          <w:jc w:val="end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8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1134" w:hanging="1134"/>
      </w:pPr>
      <w:rPr/>
    </w:lvl>
    <w:lvl w:ilvl="1">
      <w:start w:val="1"/>
      <w:numFmt w:val="decimal"/>
      <w:lvlText w:val="%1.%2"/>
      <w:lvlJc w:val="start"/>
      <w:pPr>
        <w:tabs>
          <w:tab w:val="num" w:pos="0"/>
        </w:tabs>
        <w:ind w:start="2269" w:hanging="1134"/>
      </w:pPr>
      <w:rPr/>
    </w:lvl>
    <w:lvl w:ilvl="2">
      <w:start w:val="1"/>
      <w:numFmt w:val="decimal"/>
      <w:lvlText w:val="%1.%2.%3"/>
      <w:lvlJc w:val="start"/>
      <w:pPr>
        <w:tabs>
          <w:tab w:val="num" w:pos="0"/>
        </w:tabs>
        <w:ind w:start="1134" w:hanging="1134"/>
      </w:pPr>
      <w:rPr>
        <w:b w:val="false"/>
      </w:rPr>
    </w:lvl>
    <w:lvl w:ilvl="3">
      <w:start w:val="1"/>
      <w:numFmt w:val="decimal"/>
      <w:lvlText w:val="(%4)"/>
      <w:lvlJc w:val="start"/>
      <w:pPr>
        <w:tabs>
          <w:tab w:val="num" w:pos="0"/>
        </w:tabs>
        <w:ind w:start="1985" w:hanging="851"/>
      </w:pPr>
      <w:rPr>
        <w:b w:val="false"/>
        <w:i w:val="false"/>
      </w:rPr>
    </w:lvl>
    <w:lvl w:ilvl="4">
      <w:start w:val="1"/>
      <w:numFmt w:val="russianLower"/>
      <w:lvlText w:val="(%5)"/>
      <w:lvlJc w:val="start"/>
      <w:pPr>
        <w:tabs>
          <w:tab w:val="num" w:pos="0"/>
        </w:tabs>
        <w:ind w:start="2977" w:hanging="85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34" w:hanging="1134"/>
      </w:pPr>
      <w:rPr>
        <w:rFonts w:cs="Times New Roman"/>
        <w:b w:val="false"/>
        <w:bCs w:val="false"/>
        <w:i w:val="false"/>
        <w:iCs w:val="false"/>
        <w:caps w:val="false"/>
        <w:smallCaps w:val="false"/>
        <w:strike w:val="false"/>
        <w:dstrike w:val="false"/>
        <w:vanish w:val="false"/>
        <w:color w:val="000000"/>
        <w:spacing w:val="0"/>
        <w:kern w:val="0"/>
        <w:position w:val="0"/>
        <w:sz w:val="22"/>
        <w:u w:val="none"/>
        <w:effect w:val="none"/>
        <w:vertAlign w:val="baseline"/>
        <w:em w:val="none"/>
      </w:r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134" w:hanging="1134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1134" w:hanging="1134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1134" w:hanging="1134"/>
      </w:pPr>
      <w:rPr/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0"/>
        </w:tabs>
        <w:ind w:start="0" w:hanging="0"/>
      </w:pPr>
      <w:rPr>
        <w:rFonts w:ascii="Symbol" w:hAnsi="Symbol" w:cs="Symbol" w:hint="default"/>
      </w:rPr>
    </w:lvl>
    <w:lvl w:ilvl="1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0"/>
        </w:tabs>
        <w:ind w:start="0" w:hanging="0"/>
      </w:pPr>
      <w:rPr>
        <w:rFonts w:ascii="Symbol" w:hAnsi="Symbol" w:cs="Symbol" w:hint="default"/>
      </w:rPr>
    </w:lvl>
    <w:lvl w:ilvl="1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0" w:hanging="0"/>
      </w:pPr>
      <w:rPr>
        <w:rFonts w:ascii="Symbol" w:hAnsi="Symbol" w:cs="Symbol" w:hint="default"/>
      </w:rPr>
    </w:lvl>
    <w:lvl w:ilvl="1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5">
    <w:lvl w:ilvl="0">
      <w:start w:val="1"/>
      <w:numFmt w:val="bullet"/>
      <w:lvlText w:val=""/>
      <w:lvlJc w:val="start"/>
      <w:pPr>
        <w:tabs>
          <w:tab w:val="num" w:pos="0"/>
        </w:tabs>
        <w:ind w:start="0" w:hanging="0"/>
      </w:pPr>
      <w:rPr>
        <w:rFonts w:ascii="Symbol" w:hAnsi="Symbol" w:cs="Symbol" w:hint="default"/>
      </w:rPr>
    </w:lvl>
    <w:lvl w:ilvl="1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6">
    <w:lvl w:ilvl="0">
      <w:start w:val="1"/>
      <w:numFmt w:val="bullet"/>
      <w:lvlText w:val=""/>
      <w:lvlJc w:val="start"/>
      <w:pPr>
        <w:tabs>
          <w:tab w:val="num" w:pos="0"/>
        </w:tabs>
        <w:ind w:start="0" w:hanging="0"/>
      </w:pPr>
      <w:rPr>
        <w:rFonts w:ascii="Symbol" w:hAnsi="Symbol" w:cs="Symbol" w:hint="default"/>
      </w:rPr>
    </w:lvl>
    <w:lvl w:ilvl="1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7">
    <w:lvl w:ilvl="0">
      <w:start w:val="1"/>
      <w:numFmt w:val="bullet"/>
      <w:lvlText w:val=""/>
      <w:lvlJc w:val="start"/>
      <w:pPr>
        <w:tabs>
          <w:tab w:val="num" w:pos="0"/>
        </w:tabs>
        <w:ind w:start="0" w:hanging="0"/>
      </w:pPr>
      <w:rPr>
        <w:rFonts w:ascii="Symbol" w:hAnsi="Symbol" w:cs="Symbol" w:hint="default"/>
      </w:rPr>
    </w:lvl>
    <w:lvl w:ilvl="1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8">
    <w:lvl w:ilvl="0">
      <w:start w:val="1"/>
      <w:numFmt w:val="bullet"/>
      <w:lvlText w:val=""/>
      <w:lvlJc w:val="start"/>
      <w:pPr>
        <w:tabs>
          <w:tab w:val="num" w:pos="0"/>
        </w:tabs>
        <w:ind w:start="0" w:hanging="0"/>
      </w:pPr>
      <w:rPr>
        <w:rFonts w:ascii="Symbol" w:hAnsi="Symbol" w:cs="Symbol" w:hint="default"/>
      </w:rPr>
    </w:lvl>
    <w:lvl w:ilvl="1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9">
    <w:lvl w:ilvl="0">
      <w:start w:val="1"/>
      <w:numFmt w:val="bullet"/>
      <w:lvlText w:val=""/>
      <w:lvlJc w:val="start"/>
      <w:pPr>
        <w:tabs>
          <w:tab w:val="num" w:pos="0"/>
        </w:tabs>
        <w:ind w:start="0" w:hanging="0"/>
      </w:pPr>
      <w:rPr>
        <w:rFonts w:ascii="Symbol" w:hAnsi="Symbol" w:cs="Symbol" w:hint="default"/>
      </w:rPr>
    </w:lvl>
    <w:lvl w:ilvl="1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10">
    <w:lvl w:ilvl="0">
      <w:start w:val="1"/>
      <w:numFmt w:val="bullet"/>
      <w:lvlText w:val=""/>
      <w:lvlJc w:val="start"/>
      <w:pPr>
        <w:tabs>
          <w:tab w:val="num" w:pos="0"/>
        </w:tabs>
        <w:ind w:start="0" w:hanging="0"/>
      </w:pPr>
      <w:rPr>
        <w:rFonts w:ascii="Symbol" w:hAnsi="Symbol" w:cs="Symbol" w:hint="default"/>
      </w:rPr>
    </w:lvl>
    <w:lvl w:ilvl="1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11">
    <w:lvl w:ilvl="0">
      <w:start w:val="1"/>
      <w:numFmt w:val="bullet"/>
      <w:lvlText w:val=""/>
      <w:lvlJc w:val="start"/>
      <w:pPr>
        <w:tabs>
          <w:tab w:val="num" w:pos="0"/>
        </w:tabs>
        <w:ind w:start="0" w:hanging="0"/>
      </w:pPr>
      <w:rPr>
        <w:rFonts w:ascii="Symbol" w:hAnsi="Symbol" w:cs="Symbol" w:hint="default"/>
      </w:rPr>
    </w:lvl>
    <w:lvl w:ilvl="1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12">
    <w:lvl w:ilvl="0">
      <w:start w:val="1"/>
      <w:numFmt w:val="bullet"/>
      <w:lvlText w:val=""/>
      <w:lvlJc w:val="start"/>
      <w:pPr>
        <w:tabs>
          <w:tab w:val="num" w:pos="0"/>
        </w:tabs>
        <w:ind w:start="0" w:hanging="0"/>
      </w:pPr>
      <w:rPr>
        <w:rFonts w:ascii="Symbol" w:hAnsi="Symbol" w:cs="Symbol" w:hint="default"/>
      </w:rPr>
    </w:lvl>
    <w:lvl w:ilvl="1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0"/>
      <w:numFmt w:val="decimal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1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Body Text Indent 2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c60a6"/>
    <w:pPr>
      <w:widowControl w:val="false"/>
      <w:bidi w:val="0"/>
      <w:spacing w:lineRule="auto" w:line="240" w:before="0" w:after="0"/>
      <w:jc w:val="start"/>
    </w:pPr>
    <w:rPr>
      <w:rFonts w:ascii="Times New Roman" w:hAnsi="Times New Roman" w:eastAsia="" w:cs="Times New Roman" w:eastAsiaTheme="minorEastAsia"/>
      <w:color w:val="auto"/>
      <w:kern w:val="0"/>
      <w:sz w:val="20"/>
      <w:szCs w:val="20"/>
      <w:lang w:eastAsia="ru-RU" w:val="ru-RU" w:bidi="ar-SA"/>
    </w:rPr>
  </w:style>
  <w:style w:type="paragraph" w:styleId="Heading2">
    <w:name w:val="heading 2"/>
    <w:basedOn w:val="Normal"/>
    <w:next w:val="Normal"/>
    <w:link w:val="21"/>
    <w:uiPriority w:val="9"/>
    <w:semiHidden/>
    <w:unhideWhenUsed/>
    <w:qFormat/>
    <w:rsid w:val="00cf451c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4c5a4a"/>
    <w:rPr>
      <w:rFonts w:ascii="Tahoma" w:hAnsi="Tahoma" w:eastAsia="" w:cs="Tahoma" w:eastAsiaTheme="minorEastAsia"/>
      <w:sz w:val="16"/>
      <w:szCs w:val="16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4c5a4a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4c5a4a"/>
    <w:rPr>
      <w:rFonts w:ascii="Times New Roman" w:hAnsi="Times New Roman" w:eastAsia="" w:cs="Times New Roman" w:eastAsiaTheme="minorEastAsia"/>
      <w:sz w:val="20"/>
      <w:szCs w:val="20"/>
      <w:lang w:eastAsia="ru-RU"/>
    </w:rPr>
  </w:style>
  <w:style w:type="character" w:styleId="Style15" w:customStyle="1">
    <w:name w:val="Тема примечания Знак"/>
    <w:basedOn w:val="Style14"/>
    <w:link w:val="annotationsubject"/>
    <w:uiPriority w:val="99"/>
    <w:semiHidden/>
    <w:qFormat/>
    <w:rsid w:val="004c5a4a"/>
    <w:rPr>
      <w:rFonts w:ascii="Times New Roman" w:hAnsi="Times New Roman" w:eastAsia="" w:cs="Times New Roman" w:eastAsiaTheme="minorEastAsia"/>
      <w:b/>
      <w:bCs/>
      <w:sz w:val="20"/>
      <w:szCs w:val="20"/>
      <w:lang w:eastAsia="ru-RU"/>
    </w:rPr>
  </w:style>
  <w:style w:type="character" w:styleId="Style16" w:customStyle="1">
    <w:name w:val="Верхний колонтитул Знак"/>
    <w:basedOn w:val="DefaultParagraphFont"/>
    <w:qFormat/>
    <w:rsid w:val="004c5a4a"/>
    <w:rPr>
      <w:rFonts w:ascii="Times New Roman" w:hAnsi="Times New Roman" w:eastAsia="" w:cs="Times New Roman" w:eastAsiaTheme="minorEastAsia"/>
      <w:sz w:val="20"/>
      <w:szCs w:val="20"/>
      <w:lang w:eastAsia="ru-RU"/>
    </w:rPr>
  </w:style>
  <w:style w:type="character" w:styleId="Style17" w:customStyle="1">
    <w:name w:val="Нижний колонтитул Знак"/>
    <w:basedOn w:val="DefaultParagraphFont"/>
    <w:uiPriority w:val="99"/>
    <w:qFormat/>
    <w:rsid w:val="004c5a4a"/>
    <w:rPr>
      <w:rFonts w:ascii="Times New Roman" w:hAnsi="Times New Roman" w:eastAsia="" w:cs="Times New Roman" w:eastAsiaTheme="minorEastAsia"/>
      <w:sz w:val="20"/>
      <w:szCs w:val="20"/>
      <w:lang w:eastAsia="ru-RU"/>
    </w:rPr>
  </w:style>
  <w:style w:type="character" w:styleId="WW8Num10z2" w:customStyle="1">
    <w:name w:val="WW8Num10z2"/>
    <w:qFormat/>
    <w:rsid w:val="00b85ff8"/>
    <w:rPr>
      <w:rFonts w:ascii="Wingdings" w:hAnsi="Wingdings"/>
    </w:rPr>
  </w:style>
  <w:style w:type="character" w:styleId="Style18" w:customStyle="1">
    <w:name w:val="Текст сноски Знак"/>
    <w:basedOn w:val="DefaultParagraphFont"/>
    <w:qFormat/>
    <w:rsid w:val="00b85ff8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Style19">
    <w:name w:val="Символ сноски"/>
    <w:qFormat/>
    <w:rsid w:val="00b85ff8"/>
    <w:rPr>
      <w:sz w:val="18"/>
      <w:szCs w:val="18"/>
      <w:vertAlign w:val="superscript"/>
    </w:rPr>
  </w:style>
  <w:style w:type="character" w:styleId="FootnoteReference">
    <w:name w:val="footnote reference"/>
    <w:rPr>
      <w:sz w:val="18"/>
      <w:szCs w:val="18"/>
      <w:vertAlign w:val="superscript"/>
    </w:rPr>
  </w:style>
  <w:style w:type="character" w:styleId="Style20" w:customStyle="1">
    <w:name w:val="Основной текст с отступом Знак"/>
    <w:basedOn w:val="DefaultParagraphFont"/>
    <w:qFormat/>
    <w:rsid w:val="00cf451c"/>
    <w:rPr>
      <w:rFonts w:ascii="Times New Roman" w:hAnsi="Times New Roman" w:eastAsia="Times New Roman" w:cs="Times New Roman"/>
      <w:sz w:val="28"/>
      <w:szCs w:val="20"/>
    </w:rPr>
  </w:style>
  <w:style w:type="character" w:styleId="Style21" w:customStyle="1">
    <w:name w:val="Основной текст Знак"/>
    <w:basedOn w:val="DefaultParagraphFont"/>
    <w:qFormat/>
    <w:rsid w:val="00cf451c"/>
    <w:rPr>
      <w:rFonts w:ascii="Times New Roman" w:hAnsi="Times New Roman" w:eastAsia="Arial Unicode MS" w:cs="Tahoma"/>
      <w:kern w:val="2"/>
      <w:sz w:val="24"/>
      <w:szCs w:val="24"/>
      <w:lang w:eastAsia="hi-IN" w:bidi="hi-IN"/>
    </w:rPr>
  </w:style>
  <w:style w:type="character" w:styleId="2" w:customStyle="1">
    <w:name w:val="Основной текст с отступом 2 Знак"/>
    <w:basedOn w:val="DefaultParagraphFont"/>
    <w:link w:val="BodyTextIndent2"/>
    <w:qFormat/>
    <w:rsid w:val="00cf451c"/>
    <w:rPr>
      <w:rFonts w:ascii="Times New Roman" w:hAnsi="Times New Roman" w:eastAsia="Times New Roman" w:cs="Times New Roman"/>
      <w:sz w:val="24"/>
      <w:szCs w:val="24"/>
    </w:rPr>
  </w:style>
  <w:style w:type="character" w:styleId="Style22" w:customStyle="1">
    <w:name w:val="Абзац списка Знак"/>
    <w:link w:val="ListParagraph"/>
    <w:uiPriority w:val="34"/>
    <w:qFormat/>
    <w:locked/>
    <w:rsid w:val="00cf451c"/>
    <w:rPr>
      <w:rFonts w:ascii="Times New Roman" w:hAnsi="Times New Roman" w:eastAsia="" w:cs="Times New Roman" w:eastAsiaTheme="minorEastAsia"/>
      <w:sz w:val="20"/>
      <w:szCs w:val="20"/>
      <w:lang w:eastAsia="ru-RU"/>
    </w:rPr>
  </w:style>
  <w:style w:type="character" w:styleId="21" w:customStyle="1">
    <w:name w:val="Заголовок 2 Знак"/>
    <w:basedOn w:val="DefaultParagraphFont"/>
    <w:uiPriority w:val="9"/>
    <w:semiHidden/>
    <w:qFormat/>
    <w:rsid w:val="00cf451c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  <w:lang w:eastAsia="ru-RU"/>
    </w:rPr>
  </w:style>
  <w:style w:type="character" w:styleId="Style23" w:customStyle="1">
    <w:name w:val="[Ростех] Простой текст (Без уровня) Знак"/>
    <w:basedOn w:val="DefaultParagraphFont"/>
    <w:link w:val="Style28"/>
    <w:uiPriority w:val="99"/>
    <w:qFormat/>
    <w:rsid w:val="00bb1273"/>
    <w:rPr>
      <w:rFonts w:ascii="Proxima Nova ExCn Rg" w:hAnsi="Proxima Nova ExCn Rg" w:eastAsia="Times New Roman" w:cs="Times New Roman"/>
      <w:sz w:val="28"/>
      <w:szCs w:val="28"/>
      <w:lang w:eastAsia="ru-RU"/>
    </w:rPr>
  </w:style>
  <w:style w:type="character" w:styleId="Hyperlink">
    <w:name w:val="Hyperlink"/>
    <w:basedOn w:val="DefaultParagraphFont"/>
    <w:uiPriority w:val="99"/>
    <w:unhideWhenUsed/>
    <w:rsid w:val="00c31e23"/>
    <w:rPr>
      <w:color w:themeColor="hyperlink"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31e23"/>
    <w:rPr>
      <w:color w:themeColor="followedHyperlink" w:val="800080"/>
      <w:u w:val="single"/>
    </w:rPr>
  </w:style>
  <w:style w:type="paragraph" w:styleId="Style2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Style21"/>
    <w:rsid w:val="00cf451c"/>
    <w:pPr>
      <w:suppressAutoHyphens w:val="true"/>
      <w:spacing w:before="0" w:after="120"/>
    </w:pPr>
    <w:rPr>
      <w:rFonts w:eastAsia="Arial Unicode MS" w:cs="Tahoma"/>
      <w:kern w:val="2"/>
      <w:sz w:val="24"/>
      <w:szCs w:val="24"/>
      <w:lang w:eastAsia="hi-IN" w:bidi="hi-IN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link w:val="Style22"/>
    <w:uiPriority w:val="34"/>
    <w:qFormat/>
    <w:rsid w:val="004c5a4a"/>
    <w:pPr>
      <w:spacing w:before="0" w:after="0"/>
      <w:ind w:start="720"/>
      <w:contextualSpacing/>
    </w:pPr>
    <w:rPr/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4c5a4a"/>
    <w:pPr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Style14"/>
    <w:uiPriority w:val="99"/>
    <w:semiHidden/>
    <w:unhideWhenUsed/>
    <w:rsid w:val="004c5a4a"/>
    <w:pPr/>
    <w:rPr/>
  </w:style>
  <w:style w:type="paragraph" w:styleId="annotationsubject">
    <w:name w:val="annotation subject"/>
    <w:basedOn w:val="CommentText"/>
    <w:next w:val="CommentText"/>
    <w:link w:val="Style15"/>
    <w:uiPriority w:val="99"/>
    <w:semiHidden/>
    <w:unhideWhenUsed/>
    <w:qFormat/>
    <w:rsid w:val="004c5a4a"/>
    <w:pPr/>
    <w:rPr>
      <w:b/>
      <w:bCs/>
    </w:rPr>
  </w:style>
  <w:style w:type="paragraph" w:styleId="Style26">
    <w:name w:val="Колонтитулы"/>
    <w:basedOn w:val="Normal"/>
    <w:qFormat/>
    <w:pPr/>
    <w:rPr/>
  </w:style>
  <w:style w:type="paragraph" w:styleId="Header">
    <w:name w:val="header"/>
    <w:basedOn w:val="Normal"/>
    <w:link w:val="Style16"/>
    <w:unhideWhenUsed/>
    <w:rsid w:val="004c5a4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7"/>
    <w:uiPriority w:val="99"/>
    <w:unhideWhenUsed/>
    <w:rsid w:val="004c5a4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noteText">
    <w:name w:val="footnote text"/>
    <w:basedOn w:val="Normal"/>
    <w:link w:val="Style18"/>
    <w:rsid w:val="00b85ff8"/>
    <w:pPr>
      <w:widowControl/>
      <w:suppressAutoHyphens w:val="true"/>
    </w:pPr>
    <w:rPr>
      <w:rFonts w:eastAsia="Times New Roman"/>
      <w:lang w:eastAsia="ar-SA"/>
    </w:rPr>
  </w:style>
  <w:style w:type="paragraph" w:styleId="BodyTextIndent">
    <w:name w:val="Body Text Indent"/>
    <w:basedOn w:val="Normal"/>
    <w:link w:val="Style20"/>
    <w:rsid w:val="00cf451c"/>
    <w:pPr>
      <w:widowControl/>
      <w:ind w:firstLine="709"/>
      <w:jc w:val="both"/>
    </w:pPr>
    <w:rPr>
      <w:rFonts w:eastAsia="Times New Roman"/>
      <w:sz w:val="28"/>
    </w:rPr>
  </w:style>
  <w:style w:type="paragraph" w:styleId="BodyTextIndent2">
    <w:name w:val="Body Text Indent 2"/>
    <w:basedOn w:val="Normal"/>
    <w:link w:val="2"/>
    <w:qFormat/>
    <w:rsid w:val="00cf451c"/>
    <w:pPr>
      <w:widowControl/>
      <w:spacing w:lineRule="auto" w:line="480" w:before="0" w:after="120"/>
      <w:ind w:start="283"/>
    </w:pPr>
    <w:rPr>
      <w:rFonts w:eastAsia="Times New Roman"/>
      <w:sz w:val="24"/>
      <w:szCs w:val="24"/>
    </w:rPr>
  </w:style>
  <w:style w:type="paragraph" w:styleId="25" w:customStyle="1">
    <w:name w:val="Основной текст 25"/>
    <w:basedOn w:val="Normal"/>
    <w:qFormat/>
    <w:rsid w:val="00cf451c"/>
    <w:pPr>
      <w:ind w:firstLine="720" w:end="45"/>
      <w:jc w:val="both"/>
    </w:pPr>
    <w:rPr>
      <w:rFonts w:eastAsia="Times New Roman"/>
    </w:rPr>
  </w:style>
  <w:style w:type="paragraph" w:styleId="Style27" w:customStyle="1">
    <w:name w:val="Àáçàö ïðàâèë"/>
    <w:qFormat/>
    <w:rsid w:val="00cf451c"/>
    <w:pPr>
      <w:widowControl/>
      <w:bidi w:val="0"/>
      <w:spacing w:lineRule="auto" w:line="240" w:before="40" w:after="40"/>
      <w:ind w:firstLine="567"/>
      <w:jc w:val="both"/>
    </w:pPr>
    <w:rPr>
      <w:rFonts w:ascii="Arial" w:hAnsi="Arial" w:eastAsia="Times New Roman" w:cs="Times New Roman"/>
      <w:color w:val="auto"/>
      <w:kern w:val="0"/>
      <w:sz w:val="20"/>
      <w:szCs w:val="20"/>
      <w:lang w:eastAsia="ru-RU" w:val="ru-RU" w:bidi="ar-SA"/>
    </w:rPr>
  </w:style>
  <w:style w:type="paragraph" w:styleId="2Arial-0" w:customStyle="1">
    <w:name w:val="Стиль Заголовок 2 + Arial По центру Справа:  -0 см"/>
    <w:basedOn w:val="Heading2"/>
    <w:qFormat/>
    <w:rsid w:val="00cf451c"/>
    <w:pPr>
      <w:keepLines w:val="false"/>
      <w:spacing w:lineRule="atLeast" w:line="240" w:before="120" w:after="60"/>
      <w:jc w:val="center"/>
    </w:pPr>
    <w:rPr>
      <w:rFonts w:ascii="Arial" w:hAnsi="Arial" w:eastAsia="Times New Roman" w:cs="Times New Roman"/>
      <w:caps/>
      <w:color w:val="auto"/>
      <w:sz w:val="24"/>
      <w:szCs w:val="20"/>
    </w:rPr>
  </w:style>
  <w:style w:type="paragraph" w:styleId="211" w:customStyle="1">
    <w:name w:val="Основной текст с отступом 21"/>
    <w:basedOn w:val="Normal"/>
    <w:qFormat/>
    <w:rsid w:val="000c1190"/>
    <w:pPr>
      <w:ind w:firstLine="709" w:end="45"/>
      <w:jc w:val="both"/>
    </w:pPr>
    <w:rPr>
      <w:rFonts w:eastAsia="Times New Roman"/>
      <w:sz w:val="24"/>
    </w:rPr>
  </w:style>
  <w:style w:type="paragraph" w:styleId="3" w:customStyle="1">
    <w:name w:val="[Ростех] Наименование Подраздела (Уровень 3)"/>
    <w:uiPriority w:val="99"/>
    <w:qFormat/>
    <w:rsid w:val="00bb1273"/>
    <w:pPr>
      <w:keepNext w:val="true"/>
      <w:keepLines/>
      <w:widowControl/>
      <w:numPr>
        <w:ilvl w:val="1"/>
        <w:numId w:val="1"/>
      </w:numPr>
      <w:suppressAutoHyphens w:val="true"/>
      <w:bidi w:val="0"/>
      <w:spacing w:lineRule="auto" w:line="240" w:before="240" w:after="0"/>
      <w:jc w:val="start"/>
      <w:outlineLvl w:val="2"/>
    </w:pPr>
    <w:rPr>
      <w:rFonts w:ascii="Proxima Nova ExCn Rg" w:hAnsi="Proxima Nova ExCn Rg" w:eastAsia="Times New Roman" w:cs="Times New Roman"/>
      <w:b/>
      <w:color w:val="auto"/>
      <w:kern w:val="0"/>
      <w:sz w:val="28"/>
      <w:szCs w:val="28"/>
      <w:lang w:eastAsia="ru-RU" w:val="ru-RU" w:bidi="ar-SA"/>
    </w:rPr>
  </w:style>
  <w:style w:type="paragraph" w:styleId="22" w:customStyle="1">
    <w:name w:val="[Ростех] Наименование Раздела (Уровень 2)"/>
    <w:uiPriority w:val="99"/>
    <w:qFormat/>
    <w:rsid w:val="00bb1273"/>
    <w:pPr>
      <w:keepNext w:val="true"/>
      <w:keepLines/>
      <w:widowControl/>
      <w:numPr>
        <w:ilvl w:val="0"/>
        <w:numId w:val="1"/>
      </w:numPr>
      <w:suppressAutoHyphens w:val="true"/>
      <w:bidi w:val="0"/>
      <w:spacing w:lineRule="auto" w:line="240" w:before="240" w:after="0"/>
      <w:jc w:val="center"/>
      <w:outlineLvl w:val="1"/>
    </w:pPr>
    <w:rPr>
      <w:rFonts w:ascii="Proxima Nova ExCn Rg" w:hAnsi="Proxima Nova ExCn Rg" w:eastAsia="Times New Roman" w:cs="Times New Roman"/>
      <w:b/>
      <w:color w:val="auto"/>
      <w:kern w:val="0"/>
      <w:sz w:val="28"/>
      <w:szCs w:val="28"/>
      <w:lang w:eastAsia="ru-RU" w:val="ru-RU" w:bidi="ar-SA"/>
    </w:rPr>
  </w:style>
  <w:style w:type="paragraph" w:styleId="Style28" w:customStyle="1">
    <w:name w:val="[Ростех] Простой текст (Без уровня)"/>
    <w:link w:val="Style23"/>
    <w:uiPriority w:val="99"/>
    <w:qFormat/>
    <w:rsid w:val="00bb1273"/>
    <w:pPr>
      <w:widowControl/>
      <w:numPr>
        <w:ilvl w:val="5"/>
        <w:numId w:val="1"/>
      </w:numPr>
      <w:suppressAutoHyphens w:val="true"/>
      <w:bidi w:val="0"/>
      <w:spacing w:lineRule="auto" w:line="240" w:before="120" w:after="0"/>
      <w:jc w:val="both"/>
    </w:pPr>
    <w:rPr>
      <w:rFonts w:ascii="Proxima Nova ExCn Rg" w:hAnsi="Proxima Nova ExCn Rg" w:eastAsia="Times New Roman" w:cs="Times New Roman"/>
      <w:color w:val="auto"/>
      <w:kern w:val="0"/>
      <w:sz w:val="28"/>
      <w:szCs w:val="28"/>
      <w:lang w:eastAsia="ru-RU" w:val="ru-RU" w:bidi="ar-SA"/>
    </w:rPr>
  </w:style>
  <w:style w:type="paragraph" w:styleId="5" w:customStyle="1">
    <w:name w:val="[Ростех] Текст Подпункта (Уровень 5)"/>
    <w:uiPriority w:val="99"/>
    <w:qFormat/>
    <w:rsid w:val="00bb1273"/>
    <w:pPr>
      <w:widowControl/>
      <w:numPr>
        <w:ilvl w:val="3"/>
        <w:numId w:val="1"/>
      </w:numPr>
      <w:suppressAutoHyphens w:val="true"/>
      <w:bidi w:val="0"/>
      <w:spacing w:lineRule="auto" w:line="240" w:before="120" w:after="0"/>
      <w:jc w:val="both"/>
      <w:outlineLvl w:val="4"/>
    </w:pPr>
    <w:rPr>
      <w:rFonts w:ascii="Proxima Nova ExCn Rg" w:hAnsi="Proxima Nova ExCn Rg" w:eastAsia="Times New Roman" w:cs="Times New Roman"/>
      <w:color w:val="auto"/>
      <w:kern w:val="0"/>
      <w:sz w:val="28"/>
      <w:szCs w:val="28"/>
      <w:lang w:eastAsia="ru-RU" w:val="ru-RU" w:bidi="ar-SA"/>
    </w:rPr>
  </w:style>
  <w:style w:type="paragraph" w:styleId="6" w:customStyle="1">
    <w:name w:val="[Ростех] Текст Подпункта подпункта (Уровень 6)"/>
    <w:uiPriority w:val="99"/>
    <w:qFormat/>
    <w:rsid w:val="00bb1273"/>
    <w:pPr>
      <w:widowControl/>
      <w:numPr>
        <w:ilvl w:val="4"/>
        <w:numId w:val="1"/>
      </w:numPr>
      <w:suppressAutoHyphens w:val="true"/>
      <w:bidi w:val="0"/>
      <w:spacing w:lineRule="auto" w:line="240" w:before="120" w:after="0"/>
      <w:jc w:val="both"/>
      <w:outlineLvl w:val="5"/>
    </w:pPr>
    <w:rPr>
      <w:rFonts w:ascii="Proxima Nova ExCn Rg" w:hAnsi="Proxima Nova ExCn Rg" w:eastAsia="Times New Roman" w:cs="Times New Roman"/>
      <w:color w:val="auto"/>
      <w:kern w:val="0"/>
      <w:sz w:val="28"/>
      <w:szCs w:val="28"/>
      <w:lang w:eastAsia="ru-RU" w:val="ru-RU" w:bidi="ar-SA"/>
    </w:rPr>
  </w:style>
  <w:style w:type="paragraph" w:styleId="4" w:customStyle="1">
    <w:name w:val="[Ростех] Текст Пункта (Уровень 4)"/>
    <w:uiPriority w:val="99"/>
    <w:qFormat/>
    <w:rsid w:val="00bb1273"/>
    <w:pPr>
      <w:widowControl/>
      <w:numPr>
        <w:ilvl w:val="2"/>
        <w:numId w:val="1"/>
      </w:numPr>
      <w:suppressAutoHyphens w:val="true"/>
      <w:bidi w:val="0"/>
      <w:spacing w:lineRule="auto" w:line="240" w:before="120" w:after="0"/>
      <w:jc w:val="both"/>
      <w:outlineLvl w:val="3"/>
    </w:pPr>
    <w:rPr>
      <w:rFonts w:ascii="Proxima Nova ExCn Rg" w:hAnsi="Proxima Nova ExCn Rg" w:eastAsia="Times New Roman" w:cs="Times New Roman"/>
      <w:color w:val="auto"/>
      <w:kern w:val="0"/>
      <w:sz w:val="28"/>
      <w:szCs w:val="28"/>
      <w:lang w:eastAsia="ru-RU" w:val="ru-RU" w:bidi="ar-SA"/>
    </w:rPr>
  </w:style>
  <w:style w:type="paragraph" w:styleId="ConsPlusNormal" w:customStyle="1">
    <w:name w:val="ConsPlusNormal"/>
    <w:qFormat/>
    <w:rsid w:val="0043027a"/>
    <w:pPr>
      <w:widowControl w:val="false"/>
      <w:bidi w:val="0"/>
      <w:spacing w:lineRule="auto" w:line="240" w:before="0" w:after="0"/>
      <w:jc w:val="star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0"/>
      <w:lang w:eastAsia="ru-RU" w:val="ru-RU" w:bidi="ar-SA"/>
    </w:rPr>
  </w:style>
  <w:style w:type="paragraph" w:styleId="Style181" w:customStyle="1">
    <w:name w:val="Style18"/>
    <w:basedOn w:val="Normal"/>
    <w:qFormat/>
    <w:rsid w:val="00c3793f"/>
    <w:pPr>
      <w:jc w:val="center"/>
    </w:pPr>
    <w:rPr>
      <w:rFonts w:eastAsia="Calibri"/>
      <w:sz w:val="24"/>
      <w:szCs w:val="24"/>
    </w:rPr>
  </w:style>
  <w:style w:type="paragraph" w:styleId="Revision">
    <w:name w:val="Revision"/>
    <w:uiPriority w:val="99"/>
    <w:semiHidden/>
    <w:qFormat/>
    <w:rsid w:val="002f1187"/>
    <w:pPr>
      <w:widowControl/>
      <w:bidi w:val="0"/>
      <w:spacing w:lineRule="auto" w:line="240" w:before="0" w:after="0"/>
      <w:jc w:val="start"/>
    </w:pPr>
    <w:rPr>
      <w:rFonts w:ascii="Times New Roman" w:hAnsi="Times New Roman" w:eastAsia="" w:cs="Times New Roman" w:eastAsiaTheme="minorEastAsia"/>
      <w:color w:val="auto"/>
      <w:kern w:val="0"/>
      <w:sz w:val="20"/>
      <w:szCs w:val="20"/>
      <w:lang w:eastAsia="ru-RU" w:val="ru-RU" w:bidi="ar-SA"/>
    </w:rPr>
  </w:style>
  <w:style w:type="paragraph" w:styleId="LBGovstyle1" w:customStyle="1">
    <w:name w:val="LB Gov style 1"/>
    <w:qFormat/>
    <w:rsid w:val="00dc61e6"/>
    <w:pPr>
      <w:widowControl/>
      <w:suppressAutoHyphens w:val="true"/>
      <w:bidi w:val="0"/>
      <w:spacing w:lineRule="auto" w:line="240" w:before="120" w:after="120"/>
      <w:jc w:val="both"/>
      <w:textAlignment w:val="baseline"/>
    </w:pPr>
    <w:rPr>
      <w:rFonts w:ascii="Times New Roman" w:hAnsi="Times New Roman" w:eastAsia="Calibri" w:cs="Times New Roman" w:eastAsiaTheme="minorHAnsi"/>
      <w:b/>
      <w:color w:val="auto"/>
      <w:kern w:val="0"/>
      <w:sz w:val="22"/>
      <w:szCs w:val="22"/>
      <w:lang w:val="ru-RU" w:eastAsia="en-US" w:bidi="ar-SA"/>
    </w:rPr>
  </w:style>
  <w:style w:type="numbering" w:styleId="Style29" w:default="1">
    <w:name w:val="Без списка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-data.rgs.ru/upload/iblock/7f7/Pravila-OSAGO-_red.-ot-15.07.2021_-dlya-sayta.pdf" TargetMode="External"/><Relationship Id="rId3" Type="http://schemas.openxmlformats.org/officeDocument/2006/relationships/hyperlink" Target="mailto:Syas1.school@mail.ru" TargetMode="Externa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oter" Target="footer3.xml"/><Relationship Id="rId7" Type="http://schemas.openxmlformats.org/officeDocument/2006/relationships/footer" Target="footer4.xml"/><Relationship Id="rId8" Type="http://schemas.openxmlformats.org/officeDocument/2006/relationships/footer" Target="footer5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<Relationship Id="rId14" Type="http://schemas.openxmlformats.org/officeDocument/2006/relationships/customXml" Target="../customXml/item2.xml"/><Relationship Id="rId15" Type="http://schemas.openxmlformats.org/officeDocument/2006/relationships/customXml" Target="../customXml/item3.xml"/><Relationship Id="rId16" Type="http://schemas.openxmlformats.org/officeDocument/2006/relationships/customXml" Target="../customXml/item4.xml"/><Relationship Id="rId17" Type="http://schemas.openxmlformats.org/officeDocument/2006/relationships/customXml" Target="../customXml/item5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_rels/item5.xml.rels><?xml version="1.0" encoding="UTF-8"?>
<Relationships xmlns="http://schemas.openxmlformats.org/package/2006/relationships"><Relationship Id="rId1" Type="http://schemas.openxmlformats.org/officeDocument/2006/relationships/customXmlProps" Target="itemProps5.xml"/>
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599f490-7d26-4049-b445-3571080a7ba8">VS2QX4TCUVMJ-136-4872</_dlc_DocId>
    <_dlc_DocIdUrl xmlns="5599f490-7d26-4049-b445-3571080a7ba8">
      <Url>http://vskportal3/SiteDirectory/auto_insurance/_layouts/DocIdRedir.aspx?ID=VS2QX4TCUVMJ-136-4872</Url>
      <Description>VS2QX4TCUVMJ-136-4872</Description>
    </_dlc_DocIdUrl>
    <_x041d__x0430__x0438__x043c__x0435__x043d__x043e__x0432__x0430__x043d__x0438__x0435_ xmlns="3eade46a-8475-46dd-946f-9ff2607d355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AFE1AEE8CA7D44DAF4E6D322A9741C9" ma:contentTypeVersion="1" ma:contentTypeDescription="Создание документа." ma:contentTypeScope="" ma:versionID="5c65e15cfbba0073ffc04f9a60695f82">
  <xsd:schema xmlns:xsd="http://www.w3.org/2001/XMLSchema" xmlns:xs="http://www.w3.org/2001/XMLSchema" xmlns:p="http://schemas.microsoft.com/office/2006/metadata/properties" xmlns:ns2="3eade46a-8475-46dd-946f-9ff2607d3557" xmlns:ns3="5599f490-7d26-4049-b445-3571080a7ba8" targetNamespace="http://schemas.microsoft.com/office/2006/metadata/properties" ma:root="true" ma:fieldsID="08dff29c8e8d87d189a016b1443908c8" ns2:_="" ns3:_="">
    <xsd:import namespace="3eade46a-8475-46dd-946f-9ff2607d3557"/>
    <xsd:import namespace="5599f490-7d26-4049-b445-3571080a7ba8"/>
    <xsd:element name="properties">
      <xsd:complexType>
        <xsd:sequence>
          <xsd:element name="documentManagement">
            <xsd:complexType>
              <xsd:all>
                <xsd:element ref="ns2:_x041d__x0430__x0438__x043c__x0435__x043d__x043e__x0432__x0430__x043d__x0438__x0435_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ade46a-8475-46dd-946f-9ff2607d3557" elementFormDefault="qualified">
    <xsd:import namespace="http://schemas.microsoft.com/office/2006/documentManagement/types"/>
    <xsd:import namespace="http://schemas.microsoft.com/office/infopath/2007/PartnerControls"/>
    <xsd:element name="_x041d__x0430__x0438__x043c__x0435__x043d__x043e__x0432__x0430__x043d__x0438__x0435_" ma:index="8" nillable="true" ma:displayName="Наименование" ma:internalName="_x041d__x0430__x0438__x043c__x0435__x043d__x043e__x0432__x0430__x043d__x0438__x0435_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99f490-7d26-4049-b445-3571080a7ba8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10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9D80B4-E468-4C5C-BD6E-5457C0D7C53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8244D41-DA19-4F50-AA0E-9DDB6067CF4A}">
  <ds:schemaRefs>
    <ds:schemaRef ds:uri="http://schemas.microsoft.com/office/2006/metadata/properties"/>
    <ds:schemaRef ds:uri="http://schemas.microsoft.com/office/infopath/2007/PartnerControls"/>
    <ds:schemaRef ds:uri="5599f490-7d26-4049-b445-3571080a7ba8"/>
    <ds:schemaRef ds:uri="3eade46a-8475-46dd-946f-9ff2607d3557"/>
  </ds:schemaRefs>
</ds:datastoreItem>
</file>

<file path=customXml/itemProps3.xml><?xml version="1.0" encoding="utf-8"?>
<ds:datastoreItem xmlns:ds="http://schemas.openxmlformats.org/officeDocument/2006/customXml" ds:itemID="{2B9B73BC-357F-4321-8161-E567C91AFBD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7504BDC-13A0-400A-B968-1136AD16E07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B78E774-03FC-4DFC-9118-E747B04BAD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ade46a-8475-46dd-946f-9ff2607d3557"/>
    <ds:schemaRef ds:uri="5599f490-7d26-4049-b445-3571080a7b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Application>LibreOffice/26.2.1.2$Windows_X86_64 LibreOffice_project/620$Build-2</Application>
  <AppVersion>15.0000</AppVersion>
  <Pages>8</Pages>
  <Words>2736</Words>
  <Characters>19986</Characters>
  <CharactersWithSpaces>22838</CharactersWithSpaces>
  <Paragraphs>150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2024-12-03T09:50:00Z</dcterms:created>
  <dc:creator>Клишин Сергей</dc:creator>
  <dc:description/>
  <dc:language>ru-RU</dc:language>
  <cp:lastModifiedBy/>
  <cp:lastPrinted>2024-08-02T07:24:00Z</cp:lastPrinted>
  <dcterms:modified xsi:type="dcterms:W3CDTF">2026-08-27T09:09:13Z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0x010100FAFE1AEE8CA7D44DAF4E6D322A9741C9</vt:lpwstr>
  </property>
  <property fmtid="{D5CDD505-2E9C-101B-9397-08002B2CF9AE}" pid="3" name="_dlc_DocIdItemGuid">
    <vt:lpwstr>5ba7f477-aebd-4a97-ace1-6428677e85db</vt:lpwstr>
  </property>
</Properties>
</file>