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45800">
      <w:pPr>
        <w:rPr>
          <w:b/>
        </w:rPr>
      </w:pPr>
    </w:p>
    <w:p w14:paraId="2FC0C866">
      <w:pPr>
        <w:ind w:firstLine="709"/>
        <w:jc w:val="center"/>
      </w:pPr>
      <w:r>
        <w:rPr>
          <w:b/>
        </w:rPr>
        <w:t>ОПИСАНИЕ ОБЪЕКТА ЗАКУПКИ</w:t>
      </w:r>
    </w:p>
    <w:p w14:paraId="11D4C713">
      <w:pPr>
        <w:ind w:firstLine="709"/>
        <w:jc w:val="center"/>
        <w:rPr>
          <w:b/>
        </w:rPr>
      </w:pPr>
      <w:r>
        <w:rPr>
          <w:b/>
        </w:rPr>
        <w:t>на оказание услуг по подготовке и обеспечению выставки исторический техники (далее – ООЗ)</w:t>
      </w:r>
    </w:p>
    <w:p w14:paraId="2AE5EB76">
      <w:pPr>
        <w:ind w:firstLine="709"/>
        <w:rPr>
          <w:b/>
        </w:rPr>
      </w:pPr>
    </w:p>
    <w:p w14:paraId="5186D340">
      <w:pPr>
        <w:pStyle w:val="9"/>
        <w:numPr>
          <w:ilvl w:val="0"/>
          <w:numId w:val="1"/>
        </w:numPr>
        <w:suppressAutoHyphens w:val="0"/>
        <w:ind w:left="0" w:firstLine="709"/>
        <w:contextualSpacing/>
        <w:jc w:val="center"/>
        <w:textAlignment w:val="auto"/>
        <w:rPr>
          <w:b/>
        </w:rPr>
      </w:pPr>
      <w:r>
        <w:rPr>
          <w:b/>
        </w:rPr>
        <w:t>Общие сведения</w:t>
      </w:r>
    </w:p>
    <w:p w14:paraId="3C631FBB">
      <w:pPr>
        <w:pStyle w:val="9"/>
        <w:numPr>
          <w:ilvl w:val="1"/>
          <w:numId w:val="2"/>
        </w:numPr>
        <w:tabs>
          <w:tab w:val="left" w:pos="851"/>
          <w:tab w:val="left" w:pos="1134"/>
          <w:tab w:val="left" w:pos="1276"/>
          <w:tab w:val="left" w:pos="1560"/>
        </w:tabs>
        <w:suppressAutoHyphens w:val="0"/>
        <w:ind w:left="0" w:firstLine="709"/>
        <w:contextualSpacing/>
        <w:textAlignment w:val="auto"/>
      </w:pPr>
      <w:r>
        <w:t>Заказчик: государственное бюджетное учреждение Ленинградской области «Центр патриотического воспитания» (далее – Заказчик).</w:t>
      </w:r>
    </w:p>
    <w:p w14:paraId="41C52ED6">
      <w:pPr>
        <w:pStyle w:val="9"/>
        <w:numPr>
          <w:ilvl w:val="1"/>
          <w:numId w:val="2"/>
        </w:numPr>
        <w:tabs>
          <w:tab w:val="left" w:pos="851"/>
        </w:tabs>
        <w:suppressAutoHyphens w:val="0"/>
        <w:ind w:left="0" w:firstLine="709"/>
        <w:contextualSpacing/>
        <w:textAlignment w:val="auto"/>
      </w:pPr>
      <w:r>
        <w:t xml:space="preserve">Исполнитель обязан подготовить и провести выставку и презентацию восстановленной исторической техники в исправном состоянии (на ходу), участвовавшей в Великой Отечественной войне 1941-1945 гг. (далее – Услуги, Мероприятие): комплекс услуг по организационно-технической подготовке, транспортировке и экспонированию исторической военной техники. </w:t>
      </w:r>
    </w:p>
    <w:p w14:paraId="44A2A2C8">
      <w:pPr>
        <w:pStyle w:val="9"/>
        <w:numPr>
          <w:ilvl w:val="1"/>
          <w:numId w:val="2"/>
        </w:numPr>
        <w:tabs>
          <w:tab w:val="left" w:pos="851"/>
        </w:tabs>
        <w:suppressAutoHyphens w:val="0"/>
        <w:ind w:left="0" w:firstLine="709"/>
        <w:contextualSpacing/>
        <w:textAlignment w:val="auto"/>
      </w:pPr>
      <w:r>
        <w:t>Услуги охватывают:</w:t>
      </w:r>
    </w:p>
    <w:p w14:paraId="2E4BA0BC">
      <w:pPr>
        <w:pStyle w:val="9"/>
        <w:tabs>
          <w:tab w:val="left" w:pos="851"/>
        </w:tabs>
        <w:suppressAutoHyphens w:val="0"/>
        <w:ind w:left="0" w:firstLine="709"/>
        <w:contextualSpacing/>
        <w:textAlignment w:val="auto"/>
      </w:pPr>
      <w:r>
        <w:t>- транспортировку восстановленной исторической техники с использованием эвакуаторов в соответствии с пунктом 2 настоящего ООЗ;</w:t>
      </w:r>
    </w:p>
    <w:p w14:paraId="26620A1D">
      <w:pPr>
        <w:pStyle w:val="9"/>
        <w:tabs>
          <w:tab w:val="left" w:pos="851"/>
        </w:tabs>
        <w:suppressAutoHyphens w:val="0"/>
        <w:ind w:left="0" w:firstLine="709"/>
        <w:contextualSpacing/>
        <w:textAlignment w:val="auto"/>
      </w:pPr>
      <w:r>
        <w:t>- подготовку, экспозицию и презентацию восстановленной исторической техники для молодежи и граждан Ленинградской области в соответствии с пунктом 3 настоящего ООЗ.</w:t>
      </w:r>
    </w:p>
    <w:p w14:paraId="1A2ACEC2">
      <w:pPr>
        <w:pStyle w:val="9"/>
        <w:numPr>
          <w:ilvl w:val="1"/>
          <w:numId w:val="2"/>
        </w:numPr>
        <w:tabs>
          <w:tab w:val="left" w:pos="851"/>
        </w:tabs>
        <w:suppressAutoHyphens w:val="0"/>
        <w:ind w:left="0" w:firstLine="709"/>
        <w:contextualSpacing/>
        <w:textAlignment w:val="auto"/>
      </w:pPr>
      <w:r>
        <w:t xml:space="preserve">Общий срок оказания Услуг не включает время проведения </w:t>
      </w:r>
      <w:r>
        <w:br w:type="textWrapping"/>
      </w:r>
      <w:r>
        <w:t>сдачи-приемки оказанных Услуг и устранения выявленных недостатков оказанных Услуг.</w:t>
      </w:r>
    </w:p>
    <w:p w14:paraId="774AA23E">
      <w:pPr>
        <w:pStyle w:val="9"/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contextualSpacing/>
        <w:textAlignment w:val="auto"/>
        <w:rPr>
          <w:bCs/>
        </w:rPr>
      </w:pPr>
      <w:r>
        <w:rPr>
          <w:bCs/>
        </w:rPr>
        <w:t xml:space="preserve"> Цель Мероприятия: </w:t>
      </w:r>
      <w:r>
        <w:rPr>
          <w:bCs/>
          <w:highlight w:val="white"/>
        </w:rPr>
        <w:t>вовлечение молодежи в деятельность по сохранению исторической памяти.</w:t>
      </w:r>
    </w:p>
    <w:p w14:paraId="053F2674">
      <w:pPr>
        <w:pStyle w:val="9"/>
        <w:tabs>
          <w:tab w:val="left" w:pos="1134"/>
        </w:tabs>
        <w:suppressAutoHyphens w:val="0"/>
        <w:ind w:left="0" w:firstLine="709"/>
        <w:contextualSpacing/>
        <w:textAlignment w:val="auto"/>
        <w:rPr>
          <w:bCs/>
        </w:rPr>
      </w:pPr>
      <w:r>
        <w:rPr>
          <w:bCs/>
        </w:rPr>
        <w:t>Задачи Мероприятия:</w:t>
      </w:r>
    </w:p>
    <w:p w14:paraId="62B2E26A">
      <w:pPr>
        <w:pStyle w:val="9"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contextualSpacing/>
        <w:textAlignment w:val="auto"/>
      </w:pPr>
      <w:r>
        <w:t>укрепление духовно-нравственных ценностей молодежи и сохранение исторической преемственности поколений;</w:t>
      </w:r>
    </w:p>
    <w:p w14:paraId="03A4F825">
      <w:pPr>
        <w:pStyle w:val="9"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contextualSpacing/>
        <w:textAlignment w:val="auto"/>
      </w:pPr>
      <w:r>
        <w:t>противодействие фальсификации исторических событий;</w:t>
      </w:r>
    </w:p>
    <w:p w14:paraId="6AD04BAD">
      <w:pPr>
        <w:pStyle w:val="9"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contextualSpacing/>
        <w:textAlignment w:val="auto"/>
      </w:pPr>
      <w:r>
        <w:t>популяризация героического подвига жителей Ленинграда и бойцов Ленинградского фронта в годы Великой Отечественной войны 1941-1945 г.</w:t>
      </w:r>
    </w:p>
    <w:p w14:paraId="53F41A71">
      <w:pPr>
        <w:pStyle w:val="9"/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contextualSpacing/>
        <w:textAlignment w:val="auto"/>
      </w:pPr>
      <w:r>
        <w:t xml:space="preserve"> Исполнитель на весь срок действия Контракта назначает сотрудника </w:t>
      </w:r>
      <w:r>
        <w:br w:type="textWrapping"/>
      </w:r>
      <w:r>
        <w:t xml:space="preserve">из числа представителей Исполнителя, ответственного за организацию </w:t>
      </w:r>
      <w:r>
        <w:br w:type="textWrapping"/>
      </w:r>
      <w:r>
        <w:t xml:space="preserve">и проведение Мероприятия, а также за взаимодействие с Заказчиком и предоставляет Заказчику данные ответственного сотрудника (ФИО, должность, контактный телефон, адрес электронной почты) </w:t>
      </w:r>
      <w:r>
        <w:rPr>
          <w:bCs/>
        </w:rPr>
        <w:t>в течение 1 (одного) рабочего дня после</w:t>
      </w:r>
      <w:r>
        <w:t xml:space="preserve"> заключения контракта. Ответственный сотрудник Исполнителя взаимодействует </w:t>
      </w:r>
      <w:r>
        <w:br w:type="textWrapping"/>
      </w:r>
      <w:r>
        <w:t xml:space="preserve">с Заказчиком (работниками Заказчика) по любым вопросам в рамках организации </w:t>
      </w:r>
      <w:r>
        <w:br w:type="textWrapping"/>
      </w:r>
      <w:r>
        <w:t xml:space="preserve">и проведения Мероприятия, в том числе участвует в рабочих встречах, совещаниях, взаимодействует с участниками Мероприятия, а также отвечает за оперативное решение всех вопросов по организации и проведению Мероприятия. </w:t>
      </w:r>
    </w:p>
    <w:p w14:paraId="56A73EC9">
      <w:pPr>
        <w:pStyle w:val="9"/>
        <w:numPr>
          <w:ilvl w:val="1"/>
          <w:numId w:val="2"/>
        </w:numPr>
        <w:tabs>
          <w:tab w:val="left" w:pos="710"/>
        </w:tabs>
        <w:suppressAutoHyphens w:val="0"/>
        <w:ind w:left="0" w:firstLine="710"/>
        <w:contextualSpacing/>
        <w:textAlignment w:val="auto"/>
      </w:pPr>
      <w:r>
        <w:t xml:space="preserve"> С целью обеспечения конструктивного взаимодействия Заказчика </w:t>
      </w:r>
      <w:r>
        <w:br w:type="textWrapping"/>
      </w:r>
      <w:r>
        <w:t>и Исполнителя, в период с момента заключения Контракта и до начала Мероприятия должно быть проведено не менее 1 (одного) совместного организационного выездного совещания. Дата и время совещаний согласуются Заказчиком не позднее чем за 1 (один) календарный день до даты их проведения и сообщаются Исполнителю по электронной почте или посредством телефонной связи, указанной в Контракте.</w:t>
      </w:r>
    </w:p>
    <w:p w14:paraId="692087C6">
      <w:pPr>
        <w:pStyle w:val="9"/>
        <w:numPr>
          <w:ilvl w:val="1"/>
          <w:numId w:val="2"/>
        </w:numPr>
        <w:tabs>
          <w:tab w:val="left" w:pos="710"/>
        </w:tabs>
        <w:suppressAutoHyphens w:val="0"/>
        <w:ind w:left="0" w:firstLine="710"/>
        <w:contextualSpacing/>
        <w:textAlignment w:val="auto"/>
      </w:pPr>
      <w:r>
        <w:t xml:space="preserve"> Привлечение к исполнению Контракта третьих лиц допускается только</w:t>
      </w:r>
      <w:r>
        <w:br w:type="textWrapping"/>
      </w:r>
      <w:r>
        <w:t xml:space="preserve">в соответствии с действующим законодательством Российской Федерации. </w:t>
      </w:r>
    </w:p>
    <w:p w14:paraId="2005A035">
      <w:pPr>
        <w:pStyle w:val="9"/>
        <w:numPr>
          <w:ilvl w:val="1"/>
          <w:numId w:val="2"/>
        </w:numPr>
        <w:tabs>
          <w:tab w:val="left" w:pos="710"/>
        </w:tabs>
        <w:suppressAutoHyphens w:val="0"/>
        <w:ind w:left="0" w:firstLine="710"/>
        <w:contextualSpacing/>
        <w:textAlignment w:val="auto"/>
      </w:pPr>
      <w:r>
        <w:t xml:space="preserve">Все согласования в рамках настоящего ООЗ осуществляются </w:t>
      </w:r>
      <w:r>
        <w:br w:type="textWrapping"/>
      </w:r>
      <w:r>
        <w:t xml:space="preserve">в установленные сроки по электронной почте: </w:t>
      </w:r>
      <w:r>
        <w:fldChar w:fldCharType="begin"/>
      </w:r>
      <w:r>
        <w:instrText xml:space="preserve"> HYPERLINK "mailto:centeravangard47@yandex.ru" </w:instrText>
      </w:r>
      <w:r>
        <w:fldChar w:fldCharType="separate"/>
      </w:r>
      <w:r>
        <w:rPr>
          <w:rStyle w:val="5"/>
        </w:rPr>
        <w:t>centeravangard47@yandex.ru</w:t>
      </w:r>
      <w:r>
        <w:rPr>
          <w:rStyle w:val="5"/>
        </w:rPr>
        <w:fldChar w:fldCharType="end"/>
      </w:r>
      <w:r>
        <w:t>.</w:t>
      </w:r>
    </w:p>
    <w:p w14:paraId="12DFCC9A">
      <w:pPr>
        <w:pStyle w:val="9"/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contextualSpacing/>
        <w:textAlignment w:val="auto"/>
      </w:pPr>
      <w:r>
        <w:t xml:space="preserve"> Основная целевая аудитория Мероприятия – молодежь Ленинградской области и других регионов России от 16 лет. </w:t>
      </w:r>
    </w:p>
    <w:p w14:paraId="2EB8DE07">
      <w:pPr>
        <w:pStyle w:val="9"/>
        <w:numPr>
          <w:ilvl w:val="1"/>
          <w:numId w:val="2"/>
        </w:numPr>
        <w:suppressAutoHyphens w:val="0"/>
        <w:ind w:left="0" w:firstLine="709"/>
        <w:contextualSpacing/>
        <w:textAlignment w:val="auto"/>
      </w:pPr>
      <w:r>
        <w:t>Дата проведения Мероприятия –</w:t>
      </w:r>
      <w:r>
        <w:rPr>
          <w:b/>
        </w:rPr>
        <w:t xml:space="preserve"> 9 августа 2026 года</w:t>
      </w:r>
      <w:r>
        <w:t xml:space="preserve">. Изменение даты проведения Мероприятия осуществляется по согласованию с Заказчиком. </w:t>
      </w:r>
    </w:p>
    <w:p w14:paraId="052A8139">
      <w:pPr>
        <w:pStyle w:val="9"/>
        <w:numPr>
          <w:ilvl w:val="1"/>
          <w:numId w:val="2"/>
        </w:numPr>
        <w:suppressAutoHyphens w:val="0"/>
        <w:contextualSpacing/>
        <w:textAlignment w:val="auto"/>
      </w:pPr>
      <w:r>
        <w:t xml:space="preserve">Место проведения Мероприятия: Ленинградская область, Кировский район, урочище Арбузово (Невский пятачок).  </w:t>
      </w:r>
    </w:p>
    <w:p w14:paraId="4AAC108B">
      <w:pPr>
        <w:pStyle w:val="9"/>
        <w:numPr>
          <w:ilvl w:val="1"/>
          <w:numId w:val="2"/>
        </w:numPr>
        <w:ind w:left="0" w:firstLine="710"/>
      </w:pPr>
      <w:r>
        <w:t xml:space="preserve">Во время подготовки и проведения Мероприятия Исполнитель несет ответственность за причинение какого-либо вреда здоровью, жизни или имуществу участников, организаторов, почетных гостей, и третьих лиц. </w:t>
      </w:r>
    </w:p>
    <w:p w14:paraId="46037E1C">
      <w:pPr>
        <w:pStyle w:val="9"/>
        <w:numPr>
          <w:ilvl w:val="1"/>
          <w:numId w:val="2"/>
        </w:numPr>
        <w:suppressAutoHyphens w:val="0"/>
        <w:ind w:left="0" w:firstLine="709"/>
        <w:contextualSpacing/>
        <w:textAlignment w:val="auto"/>
      </w:pPr>
      <w:r>
        <w:t>При проведении Мероприятия Исполнитель руководствуется правилами проведения массовых мероприятий, установленными законодательством, включая требования к обеспечению общественного порядка и общественной безопасности.</w:t>
      </w:r>
    </w:p>
    <w:p w14:paraId="0F09DB4E">
      <w:pPr>
        <w:suppressAutoHyphens w:val="0"/>
        <w:ind w:firstLine="709"/>
        <w:contextualSpacing/>
        <w:jc w:val="center"/>
        <w:textAlignment w:val="auto"/>
        <w:rPr>
          <w:b/>
        </w:rPr>
      </w:pPr>
    </w:p>
    <w:p w14:paraId="082EFEBB">
      <w:pPr>
        <w:tabs>
          <w:tab w:val="left" w:pos="567"/>
        </w:tabs>
        <w:suppressAutoHyphens w:val="0"/>
        <w:contextualSpacing/>
        <w:textAlignment w:val="auto"/>
      </w:pPr>
    </w:p>
    <w:p w14:paraId="0DEEF2AD">
      <w:pPr>
        <w:pStyle w:val="9"/>
        <w:numPr>
          <w:ilvl w:val="0"/>
          <w:numId w:val="4"/>
        </w:numPr>
        <w:tabs>
          <w:tab w:val="left" w:pos="0"/>
        </w:tabs>
        <w:suppressAutoHyphens w:val="0"/>
        <w:contextualSpacing/>
        <w:jc w:val="center"/>
        <w:textAlignment w:val="auto"/>
        <w:rPr>
          <w:b/>
        </w:rPr>
      </w:pPr>
      <w:r>
        <w:rPr>
          <w:b/>
        </w:rPr>
        <w:t xml:space="preserve">Транспортировку восстановленной исторической техники </w:t>
      </w:r>
      <w:r>
        <w:rPr>
          <w:b/>
        </w:rPr>
        <w:br w:type="textWrapping"/>
      </w:r>
      <w:r>
        <w:rPr>
          <w:b/>
        </w:rPr>
        <w:t>с использованием эвакуаторов</w:t>
      </w:r>
    </w:p>
    <w:p w14:paraId="22E086CE">
      <w:pPr>
        <w:pStyle w:val="9"/>
        <w:tabs>
          <w:tab w:val="left" w:pos="0"/>
        </w:tabs>
        <w:suppressAutoHyphens w:val="0"/>
        <w:ind w:left="0" w:firstLine="709"/>
        <w:contextualSpacing/>
        <w:textAlignment w:val="auto"/>
      </w:pPr>
    </w:p>
    <w:p w14:paraId="1AA049E8">
      <w:pPr>
        <w:pStyle w:val="9"/>
        <w:numPr>
          <w:ilvl w:val="1"/>
          <w:numId w:val="4"/>
        </w:numPr>
        <w:ind w:hanging="5"/>
      </w:pPr>
      <w:r>
        <w:t xml:space="preserve">Транспортировка осуществляется с использованием специализированных эвакуаторов, способных перевозить тяжелую технику (грузоподъемность не менее 5 тонн на единицу) не позднее 2 (двух) календарных дней до начала Мероприятия, на территорию Ленинградской области, Кировский район, урочище Арбузово (Невский пятачок).  </w:t>
      </w:r>
    </w:p>
    <w:p w14:paraId="123FFE2F">
      <w:pPr>
        <w:pStyle w:val="9"/>
        <w:numPr>
          <w:ilvl w:val="1"/>
          <w:numId w:val="4"/>
        </w:numPr>
        <w:ind w:left="0" w:firstLine="709"/>
      </w:pPr>
      <w:r>
        <w:t xml:space="preserve">Маршрут (с указанием точек погрузки/разгрузки) должен быть согласован Исполнителем с Заказчиком за 1 (один) календарный день до ее транспортировки. </w:t>
      </w:r>
    </w:p>
    <w:p w14:paraId="3C070DB1">
      <w:pPr>
        <w:pStyle w:val="9"/>
        <w:numPr>
          <w:ilvl w:val="1"/>
          <w:numId w:val="4"/>
        </w:numPr>
        <w:ind w:left="0" w:firstLine="709"/>
      </w:pPr>
      <w:r>
        <w:t>Время в пути должно занимать не более 2 (двух) часов.</w:t>
      </w:r>
    </w:p>
    <w:p w14:paraId="75A5171D">
      <w:pPr>
        <w:pStyle w:val="9"/>
        <w:numPr>
          <w:ilvl w:val="1"/>
          <w:numId w:val="4"/>
        </w:numPr>
        <w:ind w:left="0" w:firstLine="709"/>
      </w:pPr>
      <w:r>
        <w:t xml:space="preserve"> Услуга по транспортировке восстановленной исторической техники должна включать погрузку с использованием крана-манипулятора или лебедки (с защитой днища и кузова от повреждений мягкими креплениями, ремнями и фиксаторами), транспортировку со скоростью не более 60 км/ч и разгрузку на месте экспозиции.</w:t>
      </w:r>
    </w:p>
    <w:p w14:paraId="5974AF3E">
      <w:pPr>
        <w:pStyle w:val="9"/>
        <w:numPr>
          <w:ilvl w:val="1"/>
          <w:numId w:val="4"/>
        </w:numPr>
        <w:ind w:left="0" w:firstLine="709"/>
      </w:pPr>
      <w:r>
        <w:t>Эвакуаторы (не менее 2-х) должны быть оснащены огнетушителями, аптечками и средствами буксировки.</w:t>
      </w:r>
    </w:p>
    <w:p w14:paraId="6C73B32A">
      <w:pPr>
        <w:pStyle w:val="9"/>
        <w:numPr>
          <w:ilvl w:val="1"/>
          <w:numId w:val="4"/>
        </w:numPr>
        <w:ind w:left="0" w:firstLine="709"/>
      </w:pPr>
      <w:r>
        <w:t xml:space="preserve">Водитель эвакуатора должен иметь категорию «C,E» с опытом не менее 3 лет. </w:t>
      </w:r>
    </w:p>
    <w:p w14:paraId="2DAD43B3">
      <w:pPr>
        <w:pStyle w:val="9"/>
        <w:numPr>
          <w:ilvl w:val="1"/>
          <w:numId w:val="4"/>
        </w:numPr>
        <w:ind w:left="0" w:firstLine="709"/>
      </w:pPr>
      <w:r>
        <w:t xml:space="preserve">Погрузка проводится специалистами с использованием подъемных платформ или трапов, с предварительной фиксацией колес, руля и механизмов; </w:t>
      </w:r>
      <w:r>
        <w:br w:type="textWrapping"/>
      </w:r>
      <w:r>
        <w:t>во время движения техника закрепляется цепями и антивибрационными демпферами.</w:t>
      </w:r>
    </w:p>
    <w:p w14:paraId="6B0B042A">
      <w:pPr>
        <w:pStyle w:val="9"/>
        <w:numPr>
          <w:ilvl w:val="1"/>
          <w:numId w:val="4"/>
        </w:numPr>
        <w:ind w:left="0" w:firstLine="709"/>
      </w:pPr>
      <w:r>
        <w:t xml:space="preserve">Разгрузка — в непосредственной близости от места проведения митинга на подготовленной участок. </w:t>
      </w:r>
    </w:p>
    <w:p w14:paraId="20ABACCE">
      <w:pPr>
        <w:pStyle w:val="9"/>
        <w:numPr>
          <w:ilvl w:val="1"/>
          <w:numId w:val="4"/>
        </w:numPr>
        <w:ind w:left="0" w:firstLine="709"/>
      </w:pPr>
      <w:r>
        <w:t xml:space="preserve">Обратная транспортировка в день окончания Мероприятия включает повторную погрузку после демонтажа экспозиции и презентации (проезд не более 3-х км). </w:t>
      </w:r>
    </w:p>
    <w:p w14:paraId="751123E3">
      <w:pPr>
        <w:pStyle w:val="9"/>
        <w:numPr>
          <w:ilvl w:val="1"/>
          <w:numId w:val="4"/>
        </w:numPr>
        <w:ind w:left="0" w:firstLine="709"/>
      </w:pPr>
      <w:r>
        <w:t xml:space="preserve">В случае форс-мажора (ДТП, поломка эвакуатора) Исполнитель обеспечивает резервный транспорт в течение 4 часов. </w:t>
      </w:r>
    </w:p>
    <w:p w14:paraId="2D9ABF7D">
      <w:pPr>
        <w:pStyle w:val="9"/>
        <w:numPr>
          <w:ilvl w:val="1"/>
          <w:numId w:val="4"/>
        </w:numPr>
        <w:tabs>
          <w:tab w:val="left" w:pos="567"/>
        </w:tabs>
        <w:suppressAutoHyphens w:val="0"/>
        <w:ind w:left="0" w:firstLine="709"/>
        <w:contextualSpacing/>
        <w:textAlignment w:val="auto"/>
      </w:pPr>
      <w:r>
        <w:t xml:space="preserve">Для организации выставки Исполнитель обеспечивает перевозку следующей техники и специальных заграждений: </w:t>
      </w:r>
    </w:p>
    <w:p w14:paraId="24B0FA59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  <w:rPr>
          <w:color w:val="FF0000"/>
        </w:rPr>
      </w:pPr>
      <w:r>
        <w:t>45-мм противотанковая пушка – 4 шт.,</w:t>
      </w:r>
    </w:p>
    <w:p w14:paraId="3480FD4D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 xml:space="preserve">Автомобиль ГАЗ-АА – 1 шт., </w:t>
      </w:r>
    </w:p>
    <w:p w14:paraId="53824C10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Танк Т-34 – 2 шт</w:t>
      </w:r>
    </w:p>
    <w:p w14:paraId="48ACDA87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Танк Т-38 – 2 шт.;</w:t>
      </w:r>
    </w:p>
    <w:p w14:paraId="2A484948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Танк КВ-1 – 1 шт.</w:t>
      </w:r>
    </w:p>
    <w:p w14:paraId="323019A3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Танк Т-44 – 1 шт.;</w:t>
      </w:r>
    </w:p>
    <w:p w14:paraId="7A544AD1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ЗИС-5 с полевой кухней – 1 шт.;</w:t>
      </w:r>
    </w:p>
    <w:p w14:paraId="0EC73482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ГАЗ-67 – 1 шт.;</w:t>
      </w:r>
    </w:p>
    <w:p w14:paraId="0B360704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Пушка ЗИС-3 – 2 шт.;</w:t>
      </w:r>
    </w:p>
    <w:p w14:paraId="32B7E93D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Пушка ЗИС-2 – 3 шт.;</w:t>
      </w:r>
    </w:p>
    <w:p w14:paraId="547B9942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Полковая пушка 76 мм – 1 шт.;</w:t>
      </w:r>
    </w:p>
    <w:p w14:paraId="24B3597C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Гаубица 122 мм – 1 шт.;</w:t>
      </w:r>
    </w:p>
    <w:p w14:paraId="0F7CC217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Гаубица 152 мм – 1 шт.;</w:t>
      </w:r>
    </w:p>
    <w:p w14:paraId="402EB03E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Зенитное орудие 85 мм – 1шт.</w:t>
      </w:r>
    </w:p>
    <w:p w14:paraId="5A2C03BA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Зенитное орудие 76 мм – 1 шт.;</w:t>
      </w:r>
    </w:p>
    <w:p w14:paraId="6597E22A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Зенитное орудие 37 мм – 1 шт.;</w:t>
      </w:r>
    </w:p>
    <w:p w14:paraId="0ECC5F2B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Противотанковые ежи – 6 шт.</w:t>
      </w:r>
    </w:p>
    <w:p w14:paraId="516BBC67">
      <w:pPr>
        <w:pStyle w:val="9"/>
        <w:numPr>
          <w:ilvl w:val="1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Для обеспечения эксплуатации и движения техники Исполнитель обеспечивает наличие следующих МТР:</w:t>
      </w:r>
    </w:p>
    <w:p w14:paraId="2D2795B5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Дизельное топливо – 200 литров;</w:t>
      </w:r>
    </w:p>
    <w:p w14:paraId="62A715DF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Масло НТ-16П – 120 литров;</w:t>
      </w:r>
    </w:p>
    <w:p w14:paraId="3EFEF30A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Бензин – 120 литров.</w:t>
      </w:r>
    </w:p>
    <w:p w14:paraId="55BE971B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Масло «Лукойл полусинтетика» - 20 литров.</w:t>
      </w:r>
    </w:p>
    <w:p w14:paraId="0BB7C3CC">
      <w:pPr>
        <w:pStyle w:val="9"/>
        <w:numPr>
          <w:ilvl w:val="3"/>
          <w:numId w:val="4"/>
        </w:numPr>
        <w:tabs>
          <w:tab w:val="left" w:pos="567"/>
        </w:tabs>
        <w:suppressAutoHyphens w:val="0"/>
        <w:contextualSpacing/>
        <w:textAlignment w:val="auto"/>
      </w:pPr>
      <w:r>
        <w:t>Антифриз – 30 литров.</w:t>
      </w:r>
    </w:p>
    <w:p w14:paraId="23DF2C8C">
      <w:pPr>
        <w:pStyle w:val="9"/>
        <w:numPr>
          <w:ilvl w:val="1"/>
          <w:numId w:val="4"/>
        </w:numPr>
        <w:tabs>
          <w:tab w:val="left" w:pos="567"/>
        </w:tabs>
        <w:suppressAutoHyphens w:val="0"/>
        <w:ind w:left="0" w:firstLine="709"/>
        <w:contextualSpacing/>
        <w:textAlignment w:val="auto"/>
      </w:pPr>
      <w:r>
        <w:t xml:space="preserve">Исполнитель обеспечивает использование оригинальных или эквивалентных по характеристикам материалов, которые возможно безопасно использовать для двигателей исторической техники, аккумуляторы с емкостью не менее 55 Ач, бензин АИ-92 или аналогичный для исторической техники, с обязательным контролем уровней жидкостей, смазкой механизмов, проверкой тормозной системы, электрики и двигателя. </w:t>
      </w:r>
    </w:p>
    <w:p w14:paraId="43BCBC9E">
      <w:pPr>
        <w:pStyle w:val="9"/>
        <w:ind w:left="709"/>
        <w:rPr>
          <w:highlight w:val="yellow"/>
        </w:rPr>
      </w:pPr>
    </w:p>
    <w:p w14:paraId="3A9CD75C">
      <w:pPr>
        <w:pStyle w:val="9"/>
        <w:ind w:left="709"/>
        <w:jc w:val="center"/>
      </w:pPr>
    </w:p>
    <w:p w14:paraId="2DFEB5B8">
      <w:pPr>
        <w:pStyle w:val="9"/>
        <w:numPr>
          <w:ilvl w:val="0"/>
          <w:numId w:val="4"/>
        </w:numPr>
        <w:jc w:val="center"/>
        <w:rPr>
          <w:b/>
        </w:rPr>
      </w:pPr>
      <w:r>
        <w:rPr>
          <w:b/>
        </w:rPr>
        <w:t>Подготовка, экспозиция и презентация восстановленной исторической техники для участников и гостей Мероприятия</w:t>
      </w:r>
    </w:p>
    <w:p w14:paraId="1F8E30C2">
      <w:pPr>
        <w:pStyle w:val="9"/>
        <w:numPr>
          <w:ilvl w:val="1"/>
          <w:numId w:val="4"/>
        </w:numPr>
        <w:ind w:left="0" w:firstLine="709"/>
      </w:pPr>
      <w:r>
        <w:t xml:space="preserve">После транспортировки техника размещается на выделенной площадке </w:t>
      </w:r>
      <w:r>
        <w:br w:type="textWrapping"/>
      </w:r>
      <w:r>
        <w:t>с фиксацией на упорах для устойчивости.</w:t>
      </w:r>
    </w:p>
    <w:p w14:paraId="2CF13EF2">
      <w:pPr>
        <w:pStyle w:val="9"/>
        <w:numPr>
          <w:ilvl w:val="1"/>
          <w:numId w:val="4"/>
        </w:numPr>
        <w:ind w:left="0" w:firstLine="709"/>
      </w:pPr>
      <w:r>
        <w:t>Исполнитель обеспечивает наличие указателей «Не прикасаться».</w:t>
      </w:r>
    </w:p>
    <w:p w14:paraId="3E0893CB">
      <w:pPr>
        <w:pStyle w:val="9"/>
        <w:numPr>
          <w:ilvl w:val="1"/>
          <w:numId w:val="4"/>
        </w:numPr>
        <w:ind w:left="0" w:firstLine="709"/>
      </w:pPr>
      <w:r>
        <w:t xml:space="preserve">Подготовка к экспозиции включает финальную чистку (удаление следов транспортировки), проверку внешнего вида и тестовый запуск двигателей для демонстрации (с контролем выхлопа). </w:t>
      </w:r>
    </w:p>
    <w:p w14:paraId="6A1AB054">
      <w:pPr>
        <w:pStyle w:val="9"/>
        <w:numPr>
          <w:ilvl w:val="1"/>
          <w:numId w:val="4"/>
        </w:numPr>
        <w:ind w:left="0" w:firstLine="709"/>
      </w:pPr>
      <w:r>
        <w:t xml:space="preserve">Эксплуатация в дни Мероприятия — осмотр, дозаправка (если требуется), дежурство 1  (одного) механика. </w:t>
      </w:r>
    </w:p>
    <w:p w14:paraId="1CEB81B3">
      <w:pPr>
        <w:pStyle w:val="9"/>
        <w:numPr>
          <w:ilvl w:val="1"/>
          <w:numId w:val="4"/>
        </w:numPr>
        <w:ind w:left="0" w:firstLine="709"/>
      </w:pPr>
      <w:r>
        <w:t>После окончания Мероприятия Исполнитель и получения соответствующих разрешений осуществляет погрузку восстановленной исторической техники на эвакуатор и транспортировку по согласованному с Заказчиком маршруту.</w:t>
      </w:r>
    </w:p>
    <w:p w14:paraId="11DB7B2F">
      <w:pPr>
        <w:pStyle w:val="9"/>
        <w:ind w:left="502"/>
      </w:pPr>
    </w:p>
    <w:p w14:paraId="2C1174AB">
      <w:pPr>
        <w:pStyle w:val="9"/>
        <w:numPr>
          <w:ilvl w:val="0"/>
          <w:numId w:val="4"/>
        </w:numPr>
        <w:jc w:val="center"/>
        <w:rPr>
          <w:b/>
        </w:rPr>
      </w:pPr>
      <w:r>
        <w:rPr>
          <w:b/>
        </w:rPr>
        <w:t>Требования к отчетным документам</w:t>
      </w:r>
    </w:p>
    <w:p w14:paraId="34B59F9C">
      <w:pPr>
        <w:suppressAutoHyphens w:val="0"/>
        <w:ind w:firstLine="709"/>
        <w:contextualSpacing/>
        <w:textAlignment w:val="auto"/>
      </w:pPr>
      <w:r>
        <w:t>С момента полного оказания услуг Исполнитель предоставляет Заказчику сопроводительное письмо со следующей отчетной документацией:</w:t>
      </w:r>
    </w:p>
    <w:p w14:paraId="36B8F532">
      <w:pPr>
        <w:pStyle w:val="9"/>
        <w:numPr>
          <w:ilvl w:val="1"/>
          <w:numId w:val="4"/>
        </w:numPr>
        <w:tabs>
          <w:tab w:val="left" w:pos="0"/>
        </w:tabs>
        <w:suppressAutoHyphens w:val="0"/>
        <w:contextualSpacing/>
        <w:textAlignment w:val="auto"/>
      </w:pPr>
      <w:r>
        <w:t>Информационно-аналитический отчет:</w:t>
      </w:r>
    </w:p>
    <w:p w14:paraId="70A34A9D">
      <w:pPr>
        <w:tabs>
          <w:tab w:val="left" w:pos="0"/>
          <w:tab w:val="left" w:pos="709"/>
        </w:tabs>
        <w:suppressAutoHyphens w:val="0"/>
        <w:contextualSpacing/>
        <w:textAlignment w:val="auto"/>
      </w:pPr>
      <w:r>
        <w:t xml:space="preserve">- текстовая часть информационно-аналитического отчета состоит из описания оказанных услуг в хронологической последовательности, согласно ООЗ. Согласованные с Заказчиком требующие согласования Заказчика материалы на бумажном (формат А4) и электронном носителе (по 1 экз. каждого материала); </w:t>
      </w:r>
    </w:p>
    <w:p w14:paraId="437265DE">
      <w:pPr>
        <w:tabs>
          <w:tab w:val="left" w:pos="0"/>
          <w:tab w:val="left" w:pos="709"/>
        </w:tabs>
        <w:suppressAutoHyphens w:val="0"/>
        <w:contextualSpacing/>
        <w:textAlignment w:val="auto"/>
      </w:pPr>
      <w:r>
        <w:t xml:space="preserve">- отчет подписывается руководителем Исполнителя или уполномоченным им лицом (при наличии и надлежащим образом оформленных полномочий). </w:t>
      </w:r>
    </w:p>
    <w:p w14:paraId="70C85D03">
      <w:pPr>
        <w:tabs>
          <w:tab w:val="left" w:pos="0"/>
          <w:tab w:val="left" w:pos="709"/>
        </w:tabs>
        <w:suppressAutoHyphens w:val="0"/>
        <w:contextualSpacing/>
        <w:textAlignment w:val="auto"/>
      </w:pPr>
      <w:r>
        <w:t>5.2. Финансовый отчет (Исполнитель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 и направляет на адреса электронных почт</w:t>
      </w:r>
      <w:r>
        <w:rPr>
          <w:lang w:val="ru-RU"/>
        </w:rPr>
        <w:t>ы</w:t>
      </w:r>
      <w:bookmarkStart w:id="0" w:name="_GoBack"/>
      <w:bookmarkEnd w:id="0"/>
      <w:r>
        <w:t xml:space="preserve"> </w:t>
      </w:r>
    </w:p>
    <w:sectPr>
      <w:footerReference r:id="rId5" w:type="first"/>
      <w:footerReference r:id="rId3" w:type="default"/>
      <w:footerReference r:id="rId4" w:type="even"/>
      <w:pgSz w:w="11906" w:h="16838"/>
      <w:pgMar w:top="1134" w:right="567" w:bottom="1134" w:left="1134" w:header="0" w:footer="709" w:gutter="0"/>
      <w:cols w:space="720" w:num="1"/>
      <w:formProt w:val="0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oto Serif CJK SC">
    <w:altName w:val="Microsoft YaHei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ACA2E4">
    <w:pPr>
      <w:pStyle w:val="7"/>
      <w:jc w:val="center"/>
    </w:pP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8F9A5D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1C6DE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2"/>
      <w:numFmt w:val="decimal"/>
      <w:lvlText w:val="%1."/>
      <w:lvlJc w:val="left"/>
      <w:pPr>
        <w:ind w:left="502" w:hanging="360"/>
      </w:pPr>
      <w:rPr>
        <w:sz w:val="24"/>
      </w:rPr>
    </w:lvl>
    <w:lvl w:ilvl="1" w:tentative="0">
      <w:start w:val="1"/>
      <w:numFmt w:val="decimal"/>
      <w:lvlText w:val="%1.%2."/>
      <w:lvlJc w:val="left"/>
      <w:pPr>
        <w:ind w:left="714" w:hanging="360"/>
      </w:pPr>
      <w:rPr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428" w:hanging="720"/>
      </w:pPr>
    </w:lvl>
    <w:lvl w:ilvl="3" w:tentative="0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auto"/>
      </w:rPr>
    </w:lvl>
    <w:lvl w:ilvl="4" w:tentative="0">
      <w:start w:val="1"/>
      <w:numFmt w:val="decimal"/>
      <w:lvlText w:val="%1.%2.%3.%4.%5."/>
      <w:lvlJc w:val="left"/>
      <w:pPr>
        <w:ind w:left="2496" w:hanging="1080"/>
      </w:pPr>
    </w:lvl>
    <w:lvl w:ilvl="5" w:tentative="0">
      <w:start w:val="1"/>
      <w:numFmt w:val="decimal"/>
      <w:lvlText w:val="%1.%2.%3.%4.%5.%6."/>
      <w:lvlJc w:val="left"/>
      <w:pPr>
        <w:ind w:left="2850" w:hanging="1080"/>
      </w:pPr>
    </w:lvl>
    <w:lvl w:ilvl="6" w:tentative="0">
      <w:start w:val="1"/>
      <w:numFmt w:val="decimal"/>
      <w:lvlText w:val="%1.%2.%3.%4.%5.%6.%7."/>
      <w:lvlJc w:val="left"/>
      <w:pPr>
        <w:ind w:left="3564" w:hanging="1440"/>
      </w:pPr>
    </w:lvl>
    <w:lvl w:ilvl="7" w:tentative="0">
      <w:start w:val="1"/>
      <w:numFmt w:val="decimal"/>
      <w:lvlText w:val="%1.%2.%3.%4.%5.%6.%7.%8."/>
      <w:lvlJc w:val="left"/>
      <w:pPr>
        <w:ind w:left="3918" w:hanging="1440"/>
      </w:pPr>
    </w:lvl>
    <w:lvl w:ilvl="8" w:tentative="0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054" w:hanging="360"/>
      </w:pPr>
    </w:lvl>
    <w:lvl w:ilvl="1" w:tentative="0">
      <w:start w:val="1"/>
      <w:numFmt w:val="decimal"/>
      <w:lvlText w:val="%1.%2."/>
      <w:lvlJc w:val="left"/>
      <w:pPr>
        <w:ind w:left="1070" w:hanging="360"/>
      </w:pPr>
    </w:lvl>
    <w:lvl w:ilvl="2" w:tentative="0">
      <w:start w:val="1"/>
      <w:numFmt w:val="decimal"/>
      <w:lvlText w:val="%1.%2.%3."/>
      <w:lvlJc w:val="left"/>
      <w:pPr>
        <w:ind w:left="1920" w:hanging="720"/>
      </w:pPr>
    </w:lvl>
    <w:lvl w:ilvl="3" w:tentative="0">
      <w:start w:val="1"/>
      <w:numFmt w:val="decimal"/>
      <w:lvlText w:val="%1.%2.%3.%4."/>
      <w:lvlJc w:val="left"/>
      <w:pPr>
        <w:ind w:left="2269" w:hanging="720"/>
      </w:pPr>
    </w:lvl>
    <w:lvl w:ilvl="4" w:tentative="0">
      <w:start w:val="1"/>
      <w:numFmt w:val="decimal"/>
      <w:lvlText w:val="%1.%2.%3.%4.%5."/>
      <w:lvlJc w:val="left"/>
      <w:pPr>
        <w:ind w:left="2978" w:hanging="1080"/>
      </w:pPr>
    </w:lvl>
    <w:lvl w:ilvl="5" w:tentative="0">
      <w:start w:val="1"/>
      <w:numFmt w:val="decimal"/>
      <w:lvlText w:val="%1.%2.%3.%4.%5.%6."/>
      <w:lvlJc w:val="left"/>
      <w:pPr>
        <w:ind w:left="3327" w:hanging="1080"/>
      </w:pPr>
    </w:lvl>
    <w:lvl w:ilvl="6" w:tentative="0">
      <w:start w:val="1"/>
      <w:numFmt w:val="decimal"/>
      <w:lvlText w:val="%1.%2.%3.%4.%5.%6.%7."/>
      <w:lvlJc w:val="left"/>
      <w:pPr>
        <w:ind w:left="4036" w:hanging="1440"/>
      </w:pPr>
    </w:lvl>
    <w:lvl w:ilvl="7" w:tentative="0">
      <w:start w:val="1"/>
      <w:numFmt w:val="decimal"/>
      <w:lvlText w:val="%1.%2.%3.%4.%5.%6.%7.%8."/>
      <w:lvlJc w:val="left"/>
      <w:pPr>
        <w:ind w:left="4385" w:hanging="1440"/>
      </w:pPr>
    </w:lvl>
    <w:lvl w:ilvl="8" w:tentative="0">
      <w:start w:val="1"/>
      <w:numFmt w:val="decimal"/>
      <w:lvlText w:val="%1.%2.%3.%4.%5.%6.%7.%8.%9."/>
      <w:lvlJc w:val="left"/>
      <w:pPr>
        <w:ind w:left="5094" w:hanging="1800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bullet"/>
      <w:lvlText w:val=""/>
      <w:lvlJc w:val="left"/>
      <w:pPr>
        <w:ind w:left="502" w:hanging="360"/>
      </w:pPr>
      <w:rPr>
        <w:rFonts w:ascii="Symbol" w:hAnsi="Symbol"/>
        <w:b/>
        <w:color w:val="000000"/>
      </w:rPr>
    </w:lvl>
    <w:lvl w:ilvl="1" w:tentative="0">
      <w:start w:val="1"/>
      <w:numFmt w:val="decimal"/>
      <w:lvlText w:val="%1.%2."/>
      <w:lvlJc w:val="left"/>
      <w:pPr>
        <w:ind w:left="2345" w:hanging="360"/>
      </w:pPr>
      <w:rPr>
        <w:b/>
        <w:color w:val="000000"/>
      </w:rPr>
    </w:lvl>
    <w:lvl w:ilvl="2" w:tentative="0">
      <w:start w:val="1"/>
      <w:numFmt w:val="decimal"/>
      <w:lvlText w:val="%1.%2.%3."/>
      <w:lvlJc w:val="left"/>
      <w:pPr>
        <w:ind w:left="1288" w:hanging="720"/>
      </w:pPr>
      <w:rPr>
        <w:b/>
        <w:color w:val="000000"/>
      </w:rPr>
    </w:lvl>
    <w:lvl w:ilvl="3" w:tentative="0">
      <w:start w:val="1"/>
      <w:numFmt w:val="decimal"/>
      <w:lvlText w:val="%1.%2.%3.%4."/>
      <w:lvlJc w:val="left"/>
      <w:pPr>
        <w:ind w:left="2505" w:hanging="720"/>
      </w:pPr>
    </w:lvl>
    <w:lvl w:ilvl="4" w:tentative="0">
      <w:start w:val="1"/>
      <w:numFmt w:val="decimal"/>
      <w:lvlText w:val="%1.%2.%3.%4.%5."/>
      <w:lvlJc w:val="left"/>
      <w:pPr>
        <w:ind w:left="3225" w:hanging="1080"/>
      </w:pPr>
    </w:lvl>
    <w:lvl w:ilvl="5" w:tentative="0">
      <w:start w:val="1"/>
      <w:numFmt w:val="decimal"/>
      <w:lvlText w:val="%1.%2.%3.%4.%5.%6."/>
      <w:lvlJc w:val="left"/>
      <w:pPr>
        <w:ind w:left="3585" w:hanging="1080"/>
      </w:pPr>
    </w:lvl>
    <w:lvl w:ilvl="6" w:tentative="0">
      <w:start w:val="1"/>
      <w:numFmt w:val="decimal"/>
      <w:lvlText w:val="%1.%2.%3.%4.%5.%6.%7."/>
      <w:lvlJc w:val="left"/>
      <w:pPr>
        <w:ind w:left="4305" w:hanging="1440"/>
      </w:pPr>
    </w:lvl>
    <w:lvl w:ilvl="7" w:tentative="0">
      <w:start w:val="1"/>
      <w:numFmt w:val="decimal"/>
      <w:lvlText w:val="%1.%2.%3.%4.%5.%6.%7.%8."/>
      <w:lvlJc w:val="left"/>
      <w:pPr>
        <w:ind w:left="4665" w:hanging="1440"/>
      </w:pPr>
    </w:lvl>
    <w:lvl w:ilvl="8" w:tentative="0">
      <w:start w:val="1"/>
      <w:numFmt w:val="decimal"/>
      <w:lvlText w:val="%1.%2.%3.%4.%5.%6.%7.%8.%9."/>
      <w:lvlJc w:val="left"/>
      <w:pPr>
        <w:ind w:left="5385" w:hanging="180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EB565A"/>
    <w:rsid w:val="0008344E"/>
    <w:rsid w:val="0015326C"/>
    <w:rsid w:val="00750648"/>
    <w:rsid w:val="00A70569"/>
    <w:rsid w:val="00F73532"/>
    <w:rsid w:val="0C3B0A97"/>
    <w:rsid w:val="1CEB565A"/>
    <w:rsid w:val="215544BD"/>
    <w:rsid w:val="21706DE3"/>
    <w:rsid w:val="3B452B58"/>
    <w:rsid w:val="3F5A4C7A"/>
    <w:rsid w:val="44F66D39"/>
    <w:rsid w:val="583E71D6"/>
    <w:rsid w:val="59EC605D"/>
    <w:rsid w:val="5D4E7523"/>
    <w:rsid w:val="7667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uppressAutoHyphens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5"/>
    <w:basedOn w:val="1"/>
    <w:next w:val="1"/>
    <w:semiHidden/>
    <w:unhideWhenUsed/>
    <w:qFormat/>
    <w:uiPriority w:val="9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E54A1" w:themeColor="accent1" w:themeShade="BF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rFonts w:cs="Times New Roman"/>
      <w:color w:val="0000FF"/>
      <w:u w:val="single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table" w:styleId="8">
    <w:name w:val="Table Grid"/>
    <w:basedOn w:val="4"/>
    <w:qFormat/>
    <w:uiPriority w:val="59"/>
    <w:rPr>
      <w:rFonts w:eastAsiaTheme="minorHAns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99"/>
    <w:pPr>
      <w:ind w:left="720"/>
    </w:pPr>
  </w:style>
  <w:style w:type="paragraph" w:customStyle="1" w:styleId="10">
    <w:name w:val="LB Body Text 1"/>
    <w:basedOn w:val="11"/>
    <w:qFormat/>
    <w:uiPriority w:val="0"/>
    <w:rPr>
      <w:lang w:val="ru-RU"/>
    </w:rPr>
  </w:style>
  <w:style w:type="paragraph" w:customStyle="1" w:styleId="11">
    <w:name w:val="Body Text 1"/>
    <w:basedOn w:val="12"/>
    <w:qFormat/>
    <w:uiPriority w:val="0"/>
    <w:pPr>
      <w:ind w:left="0"/>
    </w:pPr>
  </w:style>
  <w:style w:type="paragraph" w:customStyle="1" w:styleId="12">
    <w:name w:val="Основной текст 21"/>
    <w:basedOn w:val="13"/>
    <w:qFormat/>
    <w:uiPriority w:val="0"/>
    <w:pPr>
      <w:ind w:left="720"/>
    </w:pPr>
  </w:style>
  <w:style w:type="paragraph" w:customStyle="1" w:styleId="13">
    <w:name w:val="Основной текст 31"/>
    <w:basedOn w:val="14"/>
    <w:qFormat/>
    <w:uiPriority w:val="0"/>
    <w:pPr>
      <w:ind w:left="1440"/>
    </w:pPr>
    <w:rPr>
      <w:rFonts w:eastAsia="Times New Roman"/>
    </w:rPr>
  </w:style>
  <w:style w:type="paragraph" w:customStyle="1" w:styleId="14">
    <w:name w:val="Body Text 4"/>
    <w:basedOn w:val="6"/>
    <w:qFormat/>
    <w:uiPriority w:val="0"/>
    <w:pPr>
      <w:spacing w:before="120"/>
      <w:ind w:left="2160"/>
    </w:pPr>
    <w:rPr>
      <w:rFonts w:eastAsia="MS Mincho"/>
      <w:szCs w:val="20"/>
      <w:lang w:val="en-GB"/>
    </w:rPr>
  </w:style>
  <w:style w:type="paragraph" w:styleId="15">
    <w:name w:val="No Spacing"/>
    <w:qFormat/>
    <w:uiPriority w:val="1"/>
    <w:pPr>
      <w:suppressAutoHyphens/>
    </w:pPr>
    <w:rPr>
      <w:rFonts w:ascii="Times New Roman" w:hAnsi="Times New Roman" w:eastAsia="Arial Unicode MS" w:cs="Arial Unicode MS"/>
      <w:color w:val="000000"/>
      <w:u w:color="000000"/>
      <w:lang w:val="ru-RU" w:eastAsia="ru-RU" w:bidi="ar-SA"/>
    </w:rPr>
  </w:style>
  <w:style w:type="paragraph" w:customStyle="1" w:styleId="16">
    <w:name w:val="Обычный (Интернет)1"/>
    <w:basedOn w:val="1"/>
    <w:unhideWhenUsed/>
    <w:qFormat/>
    <w:uiPriority w:val="99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1161</Words>
  <Characters>8238</Characters>
  <Lines>71</Lines>
  <Paragraphs>20</Paragraphs>
  <TotalTime>222</TotalTime>
  <ScaleCrop>false</ScaleCrop>
  <LinksUpToDate>false</LinksUpToDate>
  <CharactersWithSpaces>9596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2026-08-04T07:40:00Z</dcterms:created>
  <dc:creator>Ксения Чушкина</dc:creator>
  <cp:lastModifiedBy>WPS_1777893721</cp:lastModifiedBy>
  <dcterms:modified xsi:type="dcterms:W3CDTF">2026-08-05T12:18:42Z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BDD5ECFB5150499DB3187B435D079BE9_11</vt:lpwstr>
  </property>
  <property fmtid="{D5CDD505-2E9C-101B-9397-08002B2CF9AE}" pid="4" name="KSOTemplateDocerSaveRecord">
    <vt:lpwstr>eyJoZGlkIjoiNWZiNmYyMDE0NzM4NmEwMTMxNTlhODVkM2IyZTBkZDQiLCJ1c2VySWQiOiI4MjQ2MzUwMDI2MTEifQ==</vt:lpwstr>
  </property>
</Properties>
</file>