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5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9"/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highlight w:val="white"/>
        </w:rPr>
      </w:pP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highlight w:val="white"/>
          <w:lang w:eastAsia="hi-IN" w:bidi="hi-IN"/>
        </w:rPr>
        <w:t xml:space="preserve">ДОГОВОР </w:t>
      </w:r>
      <w:r>
        <w:rPr>
          <w:rFonts w:ascii="Times New Roman" w:hAnsi="Times New Roman" w:eastAsia="Times New Roman" w:cs="Times New Roman"/>
          <w:b/>
          <w:bCs/>
          <w:i w:val="0"/>
          <w:iCs w:val="0"/>
          <w:sz w:val="22"/>
          <w:szCs w:val="22"/>
          <w:highlight w:val="white"/>
          <w:lang w:eastAsia="hi-IN" w:bidi="hi-IN"/>
        </w:rPr>
        <w:t xml:space="preserve">№ </w:t>
      </w:r>
      <w:r>
        <w:rPr>
          <w:rFonts w:ascii="Times New Roman" w:hAnsi="Times New Roman" w:eastAsia="Times New Roman" w:cs="Times New Roman"/>
          <w:b/>
          <w:i w:val="0"/>
          <w:sz w:val="22"/>
          <w:szCs w:val="22"/>
          <w:highlight w:val="white"/>
        </w:rPr>
      </w:r>
      <w:r>
        <w:rPr>
          <w:rFonts w:ascii="Times New Roman" w:hAnsi="Times New Roman" w:cs="Times New Roman"/>
          <w:b/>
          <w:bCs/>
          <w:i w:val="0"/>
          <w:iCs w:val="0"/>
          <w:sz w:val="22"/>
          <w:szCs w:val="22"/>
          <w:highlight w:val="white"/>
        </w:rPr>
      </w:r>
    </w:p>
    <w:p>
      <w:pPr>
        <w:rPr>
          <w:rFonts w:ascii="Times New Roman" w:hAnsi="Times New Roman" w:cs="Times New Roman"/>
          <w:bCs/>
          <w:sz w:val="22"/>
          <w:szCs w:val="22"/>
          <w:highlight w:val="white"/>
        </w:rPr>
      </w:pPr>
      <w:r>
        <w:rPr>
          <w:rStyle w:val="885"/>
          <w:rFonts w:ascii="Times New Roman" w:hAnsi="Times New Roman" w:eastAsia="Times New Roman" w:cs="Times New Roman"/>
          <w:bCs/>
          <w:color w:val="000000"/>
          <w:sz w:val="22"/>
          <w:szCs w:val="22"/>
          <w:highlight w:val="white"/>
          <w:lang w:eastAsia="hi-IN"/>
        </w:rPr>
        <w:t xml:space="preserve">ИКЗ </w:t>
      </w:r>
      <w:r>
        <w:rPr>
          <w:rFonts w:ascii="Times New Roman" w:hAnsi="Times New Roman" w:eastAsia="Times New Roman" w:cs="Times New Roman"/>
          <w:color w:val="2c363a"/>
          <w:sz w:val="22"/>
          <w:szCs w:val="22"/>
          <w:highlight w:val="white"/>
        </w:rPr>
        <w:t xml:space="preserve">263470317748947030100100010000000000</w:t>
      </w:r>
      <w:r>
        <w:rPr>
          <w:rFonts w:ascii="Times New Roman" w:hAnsi="Times New Roman" w:eastAsia="Times New Roman" w:cs="Times New Roman"/>
          <w:color w:val="2c363a"/>
          <w:sz w:val="22"/>
          <w:szCs w:val="22"/>
          <w:highlight w:val="white"/>
        </w:rPr>
      </w:r>
      <w:r>
        <w:rPr>
          <w:rFonts w:ascii="Times New Roman" w:hAnsi="Times New Roman" w:cs="Times New Roman"/>
          <w:bCs/>
          <w:sz w:val="22"/>
          <w:szCs w:val="22"/>
          <w:highlight w:val="white"/>
        </w:rPr>
      </w: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>
        <w:tblPrEx/>
        <w:trPr/>
        <w:tc>
          <w:tcPr>
            <w:tcW w:w="3190" w:type="dxa"/>
            <w:textDirection w:val="lrTb"/>
            <w:noWrap w:val="false"/>
          </w:tcPr>
          <w:p>
            <w:pPr>
              <w:jc w:val="left"/>
              <w:spacing w:before="120" w:line="100" w:lineRule="atLeast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hi-IN" w:bidi="hi-IN"/>
              </w:rPr>
              <w:t xml:space="preserve">г.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tcW w:w="3190" w:type="dxa"/>
            <w:textDirection w:val="lrTb"/>
            <w:noWrap w:val="false"/>
          </w:tcPr>
          <w:p>
            <w:pPr>
              <w:spacing w:before="120" w:line="100" w:lineRule="atLeast"/>
              <w:widowControl w:val="off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sz w:val="22"/>
                <w:szCs w:val="22"/>
                <w:lang w:eastAsia="hi-IN" w:bidi="hi-IN"/>
              </w:rPr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</w:r>
          </w:p>
        </w:tc>
        <w:tc>
          <w:tcPr>
            <w:tcW w:w="3191" w:type="dxa"/>
            <w:textDirection w:val="lrTb"/>
            <w:noWrap w:val="false"/>
          </w:tcPr>
          <w:p>
            <w:pPr>
              <w:spacing w:before="120" w:line="100" w:lineRule="atLeast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hi-IN" w:bidi="hi-IN"/>
              </w:rPr>
              <w:t xml:space="preserve">от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hi-IN" w:bidi="hi-IN"/>
              </w:rPr>
              <w:t xml:space="preserve">«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hi-IN" w:bidi="hi-IN"/>
              </w:rPr>
              <w:t xml:space="preserve"> 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hi-IN" w:bidi="hi-IN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hi-IN" w:bidi="hi-I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hi-IN" w:bidi="hi-IN"/>
              </w:rPr>
              <w:t xml:space="preserve">сентября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hi-IN" w:bidi="hi-IN"/>
              </w:rPr>
              <w:t xml:space="preserve"> 2026г.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</w:tr>
    </w:tbl>
    <w:p>
      <w:pPr>
        <w:jc w:val="both"/>
        <w:spacing w:line="100" w:lineRule="atLeast"/>
        <w:widowControl w:val="off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  <w:lang w:eastAsia="hi-IN" w:bidi="hi-IN"/>
        </w:rPr>
      </w:r>
      <w:r>
        <w:rPr>
          <w:rFonts w:ascii="Times New Roman" w:hAnsi="Times New Roman" w:cs="Times New Roman"/>
          <w:sz w:val="22"/>
          <w:szCs w:val="22"/>
        </w:rPr>
      </w:r>
    </w:p>
    <w:p>
      <w:pPr>
        <w:pStyle w:val="91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b/>
          <w:sz w:val="22"/>
          <w:szCs w:val="22"/>
        </w:rPr>
        <w:t xml:space="preserve">Муниципальное общеобразовательное бюджетное учреждение «Муринская  средняя общеобразовательная школа № 5»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(сокращенное наименование </w:t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  <w:t xml:space="preserve">МОБУ «Муринская СОШ № 5»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), именуемое в дальнейшем «Заказчик», в лице </w:t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  <w:t xml:space="preserve">директора </w:t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  <w:t xml:space="preserve">Шенкевич</w:t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  <w:t xml:space="preserve"> Галины Борисовны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, действующего на основании Устава, с одной стороны,</w:t>
        <w:br/>
        <w:t xml:space="preserve"> и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__________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с другой стороны, вместе именуемые «Стороны», </w:t>
      </w:r>
      <w:r>
        <w:rPr>
          <w:rFonts w:ascii="Times New Roman" w:hAnsi="Times New Roman" w:eastAsia="Times New Roman" w:cs="Times New Roman"/>
          <w:color w:val="000000"/>
          <w:sz w:val="22"/>
          <w:szCs w:val="22"/>
        </w:rPr>
        <w:t xml:space="preserve">в соответствии с п.</w:t>
      </w:r>
      <w:r>
        <w:rPr>
          <w:rFonts w:ascii="Times New Roman" w:hAnsi="Times New Roman" w:eastAsia="Times New Roman" w:cs="Times New Roman"/>
          <w:color w:val="000000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2"/>
          <w:szCs w:val="22"/>
        </w:rPr>
        <w:t xml:space="preserve">4 ч.1 ст.93 Федерального закона от 05.04.2013 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заключили настоящий договор (далее – договор) о нижеследующем: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22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Предмет договора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Предметом настоящего Договора является поставка товаров в соответствии со спецификацией (приложение №1) для нужд МОБУ «Муринская СОШ № 5», (далее – товар) по адресу: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188678, Ленинградская область, р-н Всеволожский, г. Мурино,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ул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Шоссе в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Лаврики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, д.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53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, к.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1</w:t>
      </w: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Наименование, и количество Товара указаны в Приложении №1 (спецификация товара), являющемся неотъемлемой частью настоящего Договора.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Качество товара, поставляемого по настоящему Договору, должно подтверждаться сертификатами качества иными документами в соответствии с действующим законодательством.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22"/>
        <w:ind w:left="0" w:firstLine="851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Срок поставки товара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Срок поставки Товара: в течение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3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0 (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тридцати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) календарных дней с момента подписания Договора, с учётом времени, отведённого на приём товара Заказчиком.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Место поставки товара: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188678, Ленинградская область, р-н Всеволожский, г. Мурино,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ул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Шоссе в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Лаврики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, д.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53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, к.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1</w:t>
      </w:r>
      <w:r>
        <w:rPr>
          <w:rFonts w:ascii="Times New Roman" w:hAnsi="Times New Roman" w:eastAsia="Times New Roman" w:cs="Times New Roman"/>
          <w:b/>
          <w:bCs/>
          <w:sz w:val="22"/>
          <w:szCs w:val="22"/>
        </w:rPr>
      </w:r>
      <w:r>
        <w:rPr>
          <w:rFonts w:ascii="Times New Roman" w:hAnsi="Times New Roman" w:cs="Times New Roman"/>
          <w:b/>
          <w:bCs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Время поставки: по рабочим дням с 9:00 до 17:00, дата по согласованию с Заказчиком.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22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Права и обязанности сторон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Заказчик обязан: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Принять от Поставщика товар по товарной накладной, в сроки, указанные в п.п.2.1. настоящего договора.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Обнаружив после приемки Товара недостатки, которые не могли быть установлены при обычном способе приемки (скрытые недостатки), известить об этом Поставщика в течение 5 (пяти) рабочих дней.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Обеспечить Поставщику оплату поставленного Товара в случае надлежащего исполнения обязательств по договору в порядке и на условиях, предусмотренных договором.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Информировать Поставщика об изменении своего адреса и реквизитов.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Заказчик имеет право: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Требовать от Поставщика надлежащего выполнения обязательств по настоящему Договору.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Осуществлять контроль за порядком и сроками поставки товаров, соответствующих требованиям договора.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Требовать предоставления надлежащим образом оформленных отчётных и финансовых документов, подтверждающих исполнение обязательств, в соответствии с договором.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Запрашивать информацию о ходе и состоянии исполнения обязательств по договору.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Отказаться от принятия Товара ненадлежащего качества, уведомив об этом Поставщика.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Не оплачивать товар, не соответствующий условиям настоящего договора.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</w:t>
      </w:r>
      <w:r>
        <w:rPr>
          <w:rFonts w:ascii="Times New Roman" w:hAnsi="Times New Roman" w:eastAsia="Times New Roman" w:cs="Times New Roman"/>
          <w:bCs/>
          <w:sz w:val="22"/>
          <w:szCs w:val="22"/>
        </w:rPr>
        <w:t xml:space="preserve">редъявлять Поставщику претензии,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связанные с недостатками поставленного Товара по техническим характеристикам, количеству и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комплектности,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обнаруженные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при приемке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Товара, по качеству - в течение гарантийного срока, установленного</w:t>
      </w:r>
      <w:r>
        <w:rPr>
          <w:rFonts w:ascii="Times New Roman" w:hAnsi="Times New Roman" w:eastAsia="Times New Roman" w:cs="Times New Roman"/>
          <w:bCs/>
          <w:sz w:val="22"/>
          <w:szCs w:val="22"/>
        </w:rPr>
        <w:t xml:space="preserve"> в п. 6.1. настоящего Договора.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В соответствии с действующим гражданским законодательством принять решение об одностороннем отказе от исполнения договора. Заказчик вправе произвести экспертизу поставленного Товара с привлечением эксп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ертов, экспертных организаций до принятия решения об одностороннем отказе от исполнения Договора. Если Заказчиком проведена экспертиза Товара с привлечением экспертов, экспертных организаций, решение об одностороннем отказе от исполнения договора может быт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ь принято Заказчиком только по результатам экспертизы поставленного Товара, если в заключении эксперта, экспертной организации будут подтверждены нарушения условий договора, послужившие основанием для одностороннего отказа Заказчика от исполнения договора.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Поставщик обязан: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Поставить Заказчику товар в срок, указанный в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п.п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. 2.1. настоящего договора.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Поставить Товар, соответствующий обязательным требованиям к его качеству и безопасности, предусмотренным для товара данного рода действующим законодательством Российской Федерации: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Федеральный закон от 30.03.1999 г. №52-ФЗ «О санитарно-эпидемиологическом благополучии населения».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Постановление Прави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тельства Российской Федерации от 01.12.2009 г. №982 «Об утверждении единого перечня продукции, подлежащих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Передать надлежащим образом оформленные отчётные и финансовые документы в порядке и сроки, установленные договором.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bCs/>
          <w:sz w:val="22"/>
          <w:szCs w:val="22"/>
        </w:rPr>
        <w:t xml:space="preserve">Гарантировать качество поставляемого Товара и предоставить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копии сертификатов соответствия, копии гарантийных документов.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Заменить Товар ввиду его ненадлежащего качества, в случае обнаружения в поставленном Товаре недостатков, недостач (некомплектности) или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иных несоответствий условиям Договора в порядке, установленном разделом 5 договора. 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Передать Заказчику надлежаще оформленные документы: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товарные накладные;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- счет;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Поставщик имеет право: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Требовать от Заказчика подписания документов об исполнении им обязательств по договору.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Требовать от Заказчика оплаты по настоящему Договору в случае полного исполнения обязательств по настоящему Договору.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Поставщик вправе осуществить досрочную поставку товара по согласованию с Заказчиком.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22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Цена договора и порядок расчетов 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Цена по настоящему договору составляет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_________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Общая стоимость Договора является твердой (п. 2 ст. 34 44-ФЗ) в течение всего периода исполнения обязательств, за исключением установленных Федеральным законом № 44-ФЗ случаев.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По предложению Заказчика возможно увеличение предусмотренного договором количества товара не более чем на десять проц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ентов или уменьшение предусмотренного договором количества поставляемого товара не более чем на десять процентов. При этом по соглашению сторон допускается изменение с учётом положений бюджетного законодательства РФ цены договора пропорционально дополнител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ьному количеству товара исходя из установленной в договоре цены единицы товара, но не более чем на десять процентов цены договора. При уменьшении предусмотренного договором количества товара Стороны обязаны уменьшить цену договора исходя из единицы товара.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0" w:name="_Hlk175657784"/>
      <w:r>
        <w:rPr>
          <w:rFonts w:ascii="Times New Roman" w:hAnsi="Times New Roman" w:eastAsia="Times New Roman" w:cs="Times New Roman"/>
          <w:sz w:val="22"/>
          <w:szCs w:val="22"/>
          <w:shd w:val="clear" w:color="auto" w:fill="ffffff"/>
        </w:rPr>
        <w:t xml:space="preserve">Заказчик оплачивает товар после поставки и подписании товарной накладной, в размере 100% от общей суммы, указанной в </w:t>
      </w:r>
      <w:r>
        <w:rPr>
          <w:rFonts w:ascii="Times New Roman" w:hAnsi="Times New Roman" w:eastAsia="Times New Roman" w:cs="Times New Roman"/>
          <w:sz w:val="22"/>
          <w:szCs w:val="22"/>
          <w:shd w:val="clear" w:color="auto" w:fill="ffffff"/>
        </w:rPr>
        <w:t xml:space="preserve">п.п</w:t>
      </w:r>
      <w:r>
        <w:rPr>
          <w:rFonts w:ascii="Times New Roman" w:hAnsi="Times New Roman" w:eastAsia="Times New Roman" w:cs="Times New Roman"/>
          <w:sz w:val="22"/>
          <w:szCs w:val="22"/>
          <w:shd w:val="clear" w:color="auto" w:fill="ffffff"/>
        </w:rPr>
        <w:t xml:space="preserve">. 4.1 настоящего договора, в течении </w:t>
      </w:r>
      <w:r>
        <w:rPr>
          <w:rFonts w:ascii="Times New Roman" w:hAnsi="Times New Roman" w:eastAsia="Times New Roman" w:cs="Times New Roman"/>
          <w:b/>
          <w:bCs/>
          <w:sz w:val="22"/>
          <w:szCs w:val="22"/>
          <w:shd w:val="clear" w:color="auto" w:fill="ffffff"/>
        </w:rPr>
        <w:t xml:space="preserve">10 рабочих дней</w:t>
      </w:r>
      <w:r>
        <w:rPr>
          <w:rFonts w:ascii="Times New Roman" w:hAnsi="Times New Roman" w:eastAsia="Times New Roman" w:cs="Times New Roman"/>
          <w:sz w:val="22"/>
          <w:szCs w:val="22"/>
          <w:shd w:val="clear" w:color="auto" w:fill="ffffff"/>
        </w:rPr>
        <w:t xml:space="preserve">. </w:t>
      </w:r>
      <w:r>
        <w:rPr>
          <w:rFonts w:ascii="Times New Roman" w:hAnsi="Times New Roman" w:eastAsia="Times New Roman" w:cs="Times New Roman"/>
          <w:color w:val="000000"/>
          <w:sz w:val="22"/>
          <w:szCs w:val="22"/>
        </w:rPr>
        <w:t xml:space="preserve">Основанием для оплаты оказанных Услуг являются выставленные Заказчику счет, товарная накладная или </w:t>
      </w:r>
      <w:r>
        <w:rPr>
          <w:rFonts w:ascii="Times New Roman" w:hAnsi="Times New Roman" w:eastAsia="Times New Roman" w:cs="Times New Roman"/>
          <w:color w:val="000000"/>
          <w:sz w:val="22"/>
          <w:szCs w:val="22"/>
        </w:rPr>
        <w:t xml:space="preserve">УПД и</w:t>
      </w:r>
      <w:r>
        <w:rPr>
          <w:rFonts w:ascii="Times New Roman" w:hAnsi="Times New Roman" w:eastAsia="Times New Roman" w:cs="Times New Roman"/>
          <w:color w:val="000000"/>
          <w:sz w:val="22"/>
          <w:szCs w:val="22"/>
        </w:rPr>
        <w:t xml:space="preserve"> подписанный сторонами Акт об оказанных услугах</w:t>
      </w:r>
      <w:r>
        <w:rPr>
          <w:rFonts w:ascii="Times New Roman" w:hAnsi="Times New Roman" w:eastAsia="Times New Roman" w:cs="Times New Roman"/>
          <w:sz w:val="22"/>
          <w:szCs w:val="22"/>
          <w:shd w:val="clear" w:color="auto" w:fill="ffffff"/>
        </w:rPr>
        <w:t xml:space="preserve">.</w:t>
      </w:r>
      <w:bookmarkEnd w:id="0"/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Днем оплаты считается дата поступления денежных средств на расчетный счет Поставщика. Ответственность за надлежащее оформление платежного поручения банку на перевод денежных средств лежит на Заказчике.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Товар, поставленный Поставщиком с отклонениями от требований спецификации или иными недостатками, не подлежит оплате Заказчиком до устранения Поставщиком обнаруженных недостатков.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22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Порядок сдачи-приёмки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Поставщик за 2 рабочих дня извещает Заказчика о поставке товара письменно, либо по тел./ факсу, электронной почте.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Доставка Товара производится силами и средствами Поставщика. 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При осуществлении приемки Товара Заказчик обязан осмотреть Товар, проверить его количество и качество, сопроводительные документы на Товар, совершить другие необходимые действия,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обеспечивающие принятие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товара.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По окончании поставки товара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Поставщик передаёт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Заказчику товарные накладные.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Заказчик, приступает к проверке и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приёмке поставленного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товара. Приёмка товара осуществляется в течение 5 рабочих дней, в которые включено время проведения экспертизы.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Поставщик обязан устранить все обнаруженные недостатки своими силами и за свой счёт в сроки, указанные в рекламационном акте.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0"/>
          <w:numId w:val="0"/>
        </w:numPr>
        <w:ind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22"/>
        <w:ind w:left="0" w:firstLine="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Гарантия и качество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Поставщик гарантирует качество поставляемого Товара в пределах гарантийного срока, установленного производителем.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Обнаружив после приёмки товара (в процессе эксплуатации товара) недостатки, которые не могли быть устранены при обычном способе приёмки (скрытые недостатки), Заказчик извещает об этом поставщика в течение 3 дней.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22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Ответственность сторон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За неисполнение или ненадлежащее исполнение своих обязательств по договору Стороны несут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ответственность в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соответствии с действующим законодательством Российской Федерации.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Ответственность Заказчика: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В случае просрочки исполнения Заказчиком обязательств, предусмотренных договором, Поставщик вправе потребовать уплаты пеней. Пеня начисляется за каждый день просрочки исполнения обязательства, предусмотренного догов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ором, начиная со дня, следующего после дня истечения установленного договором срока исполнения обязательства. Пеня устанавливается договором в размере 1/300 действующей на дату уплаты пени ставки рефинансирования Банка России от не уплаченной в срок суммы.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В случае невыполнения, либо ненадлежащего выполнения Заказчиком обязательств, предусмотренных договором, за исключением просрочки исполнения обязательств, предусмотренных договором, Поставщик вправе потребовать уплаты штрафа.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Размер штрафа устанавливается в виде фиксированной суммы и составляет 0,1 % цены договора.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Ответственность Поставщика: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В случае просрочки исполнения Поставщиком обязательств (в том числе гарантийного обязательства), предусмотренных договоро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м, а также в иных случаях неисполнения или ненадлежащего исполнения поставщиком обязательств, предусмотренных договором, заказчик направляет поставщику требование об уплате неустоек (штрафов, пеней) с указанием реквизитов для перечисления денежных средств.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Пеня за просрочку исполнения обязательств (в том числе гарантийного обязательства) начисляется за каждый день просрочки исполнения Поставщиком обязательства, предусмотренного договором, в том числе за нарушение сроков поставки товара, предусмотренных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п.п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. 2.1. договора.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Пеня начисляется за каждый день пр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осрочки исполнения Поставщиком обязательства, предусмотренного договором, и устанавливается в размере не менее одной трехсотой действующей на дату уплаты пени ставки рефинансирования Центрального банка Российской Федерации от цены договора, уменьшенной на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сумму, пропорциональную объему обязательств, предусмотренных договором и фактически исполненных Поставщиком, начиная со дня, следующего после дня истечения установленного договором срока исполнения обязательства, сроков устранения обнаруженных недостатков.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Уплата пени (неустойки) за просрочку или иное ненадлежащее исполнение обязательств по Договору, не освобождает Поставщика от исполнения этих обязательств по Договору.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Уплата штрафных санкций за нарушение обязательств по Договору производится Поставщиком на основании претензии Заказчика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путем перечисления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денежных средств на расчетный счет Заказчика.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8"/>
        <w:numPr>
          <w:ilvl w:val="2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Оплата по Договору осуществл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яется путем выплаты Поставщику по Договору суммы, уменьшенной на сумму неустойки (пени, штрафа), которая подлежит перечислению в установленном порядке в доход бюджета Санкт-Петербурга на основании платежного документа, оформленного Заказчиком, с указанием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Поставщика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за которого осуществляется перечисление неустойки (пени, штрафа) в соответствии с условиями Договора.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В случае неи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сполнения, либо ненадлежащего исполнения Поставщиком обязательств по Договору Заказчик производит оплату по Договору в размере за вычетом суммы неустойки (штрафа, пеней), подлежащей уплате Поставщиком в соответствии с условиями ответственности по Договору.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При исполнении своих обязательств по дог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овору Стороны обязуются соблюдать и обеспечить соблюдение их работниками требований российского антикоррупционного законодательства. При исполнении своих обязательств по настоящему Договору, Стороны, их аффилированные лица, работники и посредники обязуются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принимать меры по недопущению любой возможности возникновения ситуаций, квалифицируемых применимым для целей настоящего Договора законодательством, как конфликт интересов, и принимать меры по предотвращению или урегулированию такого конфликта интересов. К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аждая из Сторон договора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Договора.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22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Обстоятельства непреодолимой силы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Ни одна из сторон не несет ответственности за полное или частичное невыполнение своих договорных обязательств, если это вызвано обстоятельствами непреодолимой силы, то есть чрезвы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чайными и непредотвратимыми при данных условиях обстоятельствами, такими как наводнение, пожар, землетрясение и другими природными бедствиями, равно как война или военные операции, распоряжения органов власти, препятствующие выполнению настоящего договора.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К обстоятельствам непреодолимой силы не относятся, в частности, нарушение обязанностей со стороны контрагентов Поставщика, отсутствие на рынке нужных для исполнения товаров, отсутствие у Поставщика необходимых денежных средств.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При наступлении обстоятельств согласно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п.п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. 8.1 договора и продолжительности действия таких обстоятельств на срок более 30 календарных дней стороны имеют право расторгнуть договор без взаимных претензий друг к другу.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22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Срок действия договора.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4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1" w:name="_Hlk175657577"/>
      <w:r>
        <w:rPr>
          <w:rFonts w:ascii="Times New Roman" w:hAnsi="Times New Roman" w:eastAsia="Times New Roman" w:cs="Times New Roman"/>
          <w:sz w:val="22"/>
          <w:szCs w:val="22"/>
        </w:rPr>
        <w:t xml:space="preserve">Настоящий Договор вступает в силу с момента его подписания Сторонами и действует до 31.12.2026 года.</w:t>
      </w:r>
      <w:bookmarkEnd w:id="1"/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22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Прочие условия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2" w:name="_Hlk175657664"/>
      <w:r>
        <w:rPr>
          <w:rFonts w:ascii="Times New Roman" w:hAnsi="Times New Roman" w:eastAsia="Times New Roman" w:cs="Times New Roman"/>
          <w:sz w:val="22"/>
          <w:szCs w:val="22"/>
        </w:rPr>
        <w:t xml:space="preserve">Вопросы, не урегулированные настоящим договором, разрешаются в соответствии с действующим законодательством РФ.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Споры, возникающие при исполнении настоящего договора, урегулируются путём переговоров. При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не достижении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Сторонами согласия спор может быть передан на рассмотрение в Арбитражный суд Санкт-Петербурга и Ленинградской области.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Договор составлен в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 форме электронного документа, подписанного усиленными электронными подписями Сторон. Стороны вправе изготовить копию Договора на бумажном носителе с проставлением печатей, в 2-х экземплярах, имеющих равную юридическую силу, по одному для каждой из Сторон.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567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Изменения и дополнения к настоящему договору могут быть внесены 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только путем подписания Заказчиком и Исполнителем соответствующего соглашения, являющегося неотъемлемой частью настоящего договора. Все изменения и дополнения к настоящему договору действительны, если они совершены в письменной форме и подписаны Сторонами.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Start w:id="3" w:name="_Hlk175238461"/>
      <w:r>
        <w:rPr>
          <w:rFonts w:ascii="Times New Roman" w:hAnsi="Times New Roman" w:eastAsia="Times New Roman" w:cs="Times New Roman"/>
          <w:sz w:val="22"/>
          <w:szCs w:val="22"/>
        </w:rPr>
        <w:t xml:space="preserve">Стороны соглашаются в целях и в связи с исполнением своих обязательств по Договору осуществлять электронный обмен документами по телекоммуникационным каналам связи, подписанными ЭП.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Электронный документооборот (далее – ЭДО) осуществляется по следующим основным направлениям взаимодействия: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2"/>
          <w:numId w:val="2"/>
        </w:numPr>
        <w:ind w:left="0" w:firstLine="0"/>
        <w:tabs>
          <w:tab w:val="left" w:pos="851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Заключение, изменение, расторжение Договора и Дополнительных соглашений, с учетом Приложений.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2"/>
          <w:numId w:val="2"/>
        </w:numPr>
        <w:ind w:left="0" w:firstLine="0"/>
        <w:tabs>
          <w:tab w:val="left" w:pos="851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Выставление и получение Счетов, универсальных передаточных документов, и иных электронных документов в сфере налогового, бухгалтерского и управленческого учета.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2"/>
          <w:numId w:val="2"/>
        </w:numPr>
        <w:ind w:left="0" w:firstLine="0"/>
        <w:tabs>
          <w:tab w:val="left" w:pos="851" w:leader="none"/>
        </w:tabs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Подписание и направление Актов, в том числе актов сверки расчетов, актов выполненных работ, справок и информации о задолженности.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Стороны признают, что получение документов, подписанных ЭП, эквивалентно получению документов на бумажном носителе и является необходимым и достаточным условием, позволяющим установить, что ЭДО исходит от Стороны, его направившей.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Стороны обязаны информировать друг друга о невозможности обмена д</w:t>
      </w:r>
      <w:r>
        <w:rPr>
          <w:rFonts w:ascii="Times New Roman" w:hAnsi="Times New Roman" w:eastAsia="Times New Roman" w:cs="Times New Roman"/>
          <w:sz w:val="22"/>
          <w:szCs w:val="22"/>
        </w:rPr>
        <w:t xml:space="preserve">окументами в электронном виде, подписанными ЭП, в том числе в случае технического сбоя внутренних систем Стороны. В этом случае в период действия такого сбоя Стороны производят обмен документами на бумажном носителе с подписанием собственноручной подписью.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1"/>
          <w:numId w:val="2"/>
        </w:numPr>
        <w:ind w:left="0"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Перечень вышеуказанных документов, в отношении которых Сторонами осуществляется ЭДО, является открытым.</w:t>
      </w:r>
      <w:bookmarkEnd w:id="3"/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bookmarkEnd w:id="2"/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15"/>
        <w:numPr>
          <w:ilvl w:val="0"/>
          <w:numId w:val="0"/>
        </w:num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br w:type="page" w:clear="all"/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22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  <w:t xml:space="preserve">Место нахождения и банковские реквизиты сторон</w:t>
      </w:r>
      <w:r>
        <w:rPr>
          <w:rFonts w:ascii="Times New Roman" w:hAnsi="Times New Roman" w:eastAsia="Times New Roman" w:cs="Times New Roman"/>
          <w:sz w:val="22"/>
          <w:szCs w:val="22"/>
        </w:rPr>
      </w:r>
    </w:p>
    <w:tbl>
      <w:tblPr>
        <w:tblW w:w="957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967"/>
        <w:gridCol w:w="4612"/>
      </w:tblGrid>
      <w:tr>
        <w:tblPrEx/>
        <w:trPr>
          <w:trHeight w:val="628"/>
        </w:trPr>
        <w:tc>
          <w:tcPr>
            <w:tcW w:w="4967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ЗАКАЗЧИК </w:t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ab/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ab/>
            </w: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ab/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  <w:p>
            <w:pPr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2"/>
                <w:szCs w:val="22"/>
              </w:rPr>
              <w:t xml:space="preserve">МОБУ «Муринская СОШ № 5»</w:t>
            </w:r>
            <w: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r>
          </w:p>
        </w:tc>
        <w:tc>
          <w:tcPr>
            <w:tcW w:w="461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857"/>
        </w:trPr>
        <w:tc>
          <w:tcPr>
            <w:tcW w:w="4967" w:type="dxa"/>
            <w:textDirection w:val="lrTb"/>
            <w:noWrap w:val="false"/>
          </w:tcPr>
          <w:p>
            <w:pPr>
              <w:jc w:val="left"/>
              <w:spacing w:after="0" w:line="240" w:lineRule="auto"/>
              <w:tabs>
                <w:tab w:val="left" w:pos="4678" w:leader="none"/>
              </w:tabs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Юридический адрес: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188678, Ленинградская область, м.р-н Всеволожский, г.п. Муринское, г. Мурино, ул. Шоссе в Лаврики, д. 66 к. 2.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ОГРН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en-US"/>
              </w:rPr>
              <w:t xml:space="preserve">1204700014881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ИНН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4703177489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КПП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470301001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ОКПО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45344240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ОКАТО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41212504000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ОКТМО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41612103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ОКОГУ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4210007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ОКФС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ОКОПФ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75403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ОКВЭД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85.13, 85.14, 85.12,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en-US"/>
              </w:rPr>
              <w:t xml:space="preserve">85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.11, 68.20.2, 86.90.9, 88.91, 85.41,85.42.9, 56.29, 93.29.9, 93.19, 93.11, 91.01,90.03, 90.01, 88.10, 63.99.1, 49.31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Р/счет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03234643416120004500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К/счет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40102810745370000098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Лицевые счета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20015510109, 20015410109, 21015310109 в КФ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val="ru-RU"/>
              </w:rPr>
              <w:t xml:space="preserve">администрации</w:t>
            </w:r>
            <w:r>
              <w:rPr>
                <w:rFonts w:hint="default" w:ascii="Times New Roman" w:hAnsi="Times New Roman" w:eastAsia="Times New Roman" w:cs="Times New Roman"/>
                <w:b w:val="0"/>
                <w:bCs w:val="0"/>
                <w:sz w:val="22"/>
                <w:szCs w:val="22"/>
                <w:lang w:val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Всеволожского муниципального района ЛО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  <w:sz w:val="18"/>
                <w:szCs w:val="18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Банк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ru-RU"/>
              </w:rPr>
              <w:t xml:space="preserve">Операционно-кассовый центр № 1 Северо-Западного главного управления Центрального банка Российской Федерации (сокращенное наименование - ОКЦ № 1 Северо-Западного ГУ Банка России)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after="0" w:line="240" w:lineRule="auto"/>
              <w:rPr>
                <w:rFonts w:ascii="Times New Roman" w:hAnsi="Times New Roman" w:cs="Times New Roman"/>
                <w:b w:val="0"/>
                <w:bCs w:val="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БИК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044030098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461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584"/>
        </w:trPr>
        <w:tc>
          <w:tcPr>
            <w:tcW w:w="4967" w:type="dxa"/>
            <w:textDirection w:val="lrTb"/>
            <w:noWrap w:val="false"/>
          </w:tcPr>
          <w:p>
            <w:pPr>
              <w:contextualSpacing/>
              <w:jc w:val="left"/>
              <w:keepNext/>
              <w:spacing w:line="276" w:lineRule="auto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 w:eastAsia="hi-IN" w:bidi="hi-IN"/>
              </w:rPr>
              <w:t xml:space="preserve">E-mail: info@mur5.ru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contextualSpacing/>
              <w:jc w:val="left"/>
              <w:keepNext/>
              <w:spacing w:line="276" w:lineRule="auto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eastAsia="hi-IN" w:bidi="hi-IN"/>
              </w:rPr>
              <w:t xml:space="preserve">Телефон</w:t>
            </w:r>
            <w:r>
              <w:rPr>
                <w:rFonts w:ascii="Times New Roman" w:hAnsi="Times New Roman" w:eastAsia="Times New Roman" w:cs="Times New Roman"/>
                <w:color w:val="000000"/>
                <w:sz w:val="22"/>
                <w:szCs w:val="22"/>
                <w:lang w:val="en-US" w:eastAsia="hi-IN" w:bidi="hi-IN"/>
              </w:rPr>
              <w:t xml:space="preserve">: +7 (911) 080-80-37</w:t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4612" w:type="dxa"/>
            <w:textDirection w:val="lrTb"/>
            <w:noWrap w:val="false"/>
          </w:tcPr>
          <w:p>
            <w:pPr>
              <w:pStyle w:val="937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en-US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527"/>
        </w:trPr>
        <w:tc>
          <w:tcPr>
            <w:tcW w:w="4967" w:type="dxa"/>
            <w:textDirection w:val="lrTb"/>
            <w:noWrap w:val="false"/>
          </w:tcPr>
          <w:p>
            <w:pPr>
              <w:jc w:val="left"/>
              <w:spacing w:line="100" w:lineRule="atLeast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val="en-US" w:eastAsia="hi-IN" w:bidi="hi-IN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hi-IN" w:bidi="hi-IN"/>
              </w:rPr>
              <w:t xml:space="preserve">Директор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widowControl w:val="off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hi-IN" w:bidi="hi-IN"/>
              </w:rPr>
              <w:t xml:space="preserve">МОБУ «Муринская СОШ №5»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  <w:p>
            <w:pPr>
              <w:jc w:val="both"/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hi-IN" w:bidi="hi-IN"/>
              </w:rPr>
            </w:r>
            <w:r>
              <w:rPr>
                <w:rFonts w:ascii="Times New Roman" w:hAnsi="Times New Roman" w:cs="Times New Roman"/>
                <w:sz w:val="22"/>
                <w:szCs w:val="22"/>
              </w:rPr>
            </w:r>
          </w:p>
        </w:tc>
        <w:tc>
          <w:tcPr>
            <w:tcW w:w="461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</w:tr>
      <w:tr>
        <w:tblPrEx/>
        <w:trPr>
          <w:trHeight w:val="356"/>
        </w:trPr>
        <w:tc>
          <w:tcPr>
            <w:tcW w:w="4967" w:type="dxa"/>
            <w:textDirection w:val="lrTb"/>
            <w:noWrap w:val="false"/>
          </w:tcPr>
          <w:p>
            <w:pPr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hi-IN" w:bidi="hi-IN"/>
              </w:rPr>
              <w:t xml:space="preserve">                    Г. Б.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hi-IN" w:bidi="hi-IN"/>
              </w:rPr>
              <w:t xml:space="preserve">Шенкевич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hi-IN" w:bidi="hi-I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hi-IN" w:bidi="hi-IN"/>
              </w:rPr>
              <w:t xml:space="preserve">м.п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lang w:eastAsia="hi-IN" w:bidi="hi-IN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  <w:tc>
          <w:tcPr>
            <w:tcW w:w="461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</w:r>
          </w:p>
        </w:tc>
      </w:tr>
    </w:tbl>
    <w:p>
      <w:pPr>
        <w:rPr>
          <w:rFonts w:ascii="Times New Roman" w:hAnsi="Times New Roman" w:cs="Times New Roman"/>
          <w:sz w:val="22"/>
          <w:szCs w:val="22"/>
        </w:rPr>
        <w:sectPr>
          <w:headerReference w:type="default" r:id="rId9"/>
          <w:headerReference w:type="even" r:id="rId10"/>
          <w:headerReference w:type="first" r:id="rId11"/>
          <w:footerReference w:type="default" r:id="rId14"/>
          <w:footerReference w:type="even" r:id="rId15"/>
          <w:footerReference w:type="first" r:id="rId16"/>
          <w:footnotePr/>
          <w:endnotePr/>
          <w:type w:val="nextPage"/>
          <w:pgSz w:w="11906" w:h="16838" w:orient="portrait"/>
          <w:pgMar w:top="709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p>
      <w:pPr>
        <w:pStyle w:val="923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pStyle w:val="923"/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sz w:val="22"/>
          <w:szCs w:val="22"/>
        </w:rPr>
        <w:t xml:space="preserve">Приложение № 1</w:t>
      </w:r>
      <w:r>
        <w:rPr>
          <w:rFonts w:ascii="Times New Roman" w:hAnsi="Times New Roman" w:cs="Times New Roman"/>
          <w:b w:val="0"/>
          <w:bCs w:val="0"/>
          <w:i w:val="0"/>
          <w:sz w:val="22"/>
          <w:szCs w:val="22"/>
        </w:rPr>
      </w:r>
    </w:p>
    <w:p>
      <w:pPr>
        <w:pStyle w:val="923"/>
        <w:rPr>
          <w:rFonts w:ascii="Times New Roman" w:hAnsi="Times New Roman" w:cs="Times New Roman"/>
          <w:b w:val="0"/>
          <w:bCs w:val="0"/>
          <w:i w:val="0"/>
          <w:sz w:val="22"/>
          <w:szCs w:val="22"/>
          <w:highlight w:val="white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sz w:val="22"/>
          <w:szCs w:val="22"/>
          <w:highlight w:val="white"/>
        </w:rPr>
        <w:t xml:space="preserve">к договору </w:t>
      </w:r>
      <w:r>
        <w:rPr>
          <w:rFonts w:ascii="Times New Roman" w:hAnsi="Times New Roman" w:eastAsia="Times New Roman" w:cs="Times New Roman"/>
          <w:b w:val="0"/>
          <w:bCs w:val="0"/>
          <w:i w:val="0"/>
          <w:sz w:val="22"/>
          <w:szCs w:val="22"/>
          <w:highlight w:val="white"/>
        </w:rPr>
        <w:t xml:space="preserve">№ </w:t>
      </w:r>
      <w:r>
        <w:rPr>
          <w:rFonts w:ascii="Times New Roman" w:hAnsi="Times New Roman" w:eastAsia="Times New Roman" w:cs="Times New Roman"/>
          <w:b w:val="0"/>
          <w:bCs w:val="0"/>
          <w:i w:val="0"/>
          <w:sz w:val="22"/>
          <w:szCs w:val="22"/>
          <w:highlight w:val="white"/>
        </w:rPr>
        <w:t xml:space="preserve">_</w:t>
      </w:r>
      <w:r>
        <w:rPr>
          <w:rFonts w:ascii="Times New Roman" w:hAnsi="Times New Roman" w:eastAsia="Times New Roman" w:cs="Times New Roman"/>
          <w:b w:val="0"/>
          <w:bCs w:val="0"/>
          <w:i w:val="0"/>
          <w:sz w:val="22"/>
          <w:szCs w:val="22"/>
          <w:highlight w:val="white"/>
        </w:rPr>
        <w:t xml:space="preserve">_</w:t>
      </w:r>
      <w:r>
        <w:rPr>
          <w:rFonts w:ascii="Times New Roman" w:hAnsi="Times New Roman" w:eastAsia="Times New Roman" w:cs="Times New Roman"/>
          <w:b w:val="0"/>
          <w:bCs w:val="0"/>
          <w:i w:val="0"/>
          <w:sz w:val="22"/>
          <w:szCs w:val="22"/>
          <w:highlight w:val="white"/>
        </w:rPr>
        <w:t xml:space="preserve">_</w:t>
      </w:r>
      <w:r>
        <w:rPr>
          <w:rFonts w:ascii="Times New Roman" w:hAnsi="Times New Roman" w:eastAsia="Times New Roman" w:cs="Times New Roman"/>
          <w:b w:val="0"/>
          <w:bCs w:val="0"/>
          <w:i w:val="0"/>
          <w:sz w:val="22"/>
          <w:szCs w:val="22"/>
          <w:highlight w:val="white"/>
        </w:rPr>
        <w:t xml:space="preserve">_</w:t>
      </w:r>
      <w:r>
        <w:rPr>
          <w:rFonts w:ascii="Times New Roman" w:hAnsi="Times New Roman" w:cs="Times New Roman"/>
          <w:b w:val="0"/>
          <w:bCs w:val="0"/>
          <w:i w:val="0"/>
          <w:sz w:val="22"/>
          <w:szCs w:val="22"/>
          <w:highlight w:val="white"/>
        </w:rPr>
      </w:r>
    </w:p>
    <w:p>
      <w:pPr>
        <w:pStyle w:val="923"/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i w:val="0"/>
          <w:sz w:val="22"/>
          <w:szCs w:val="22"/>
        </w:rPr>
        <w:t xml:space="preserve"> от ___ </w:t>
      </w:r>
      <w:r>
        <w:rPr>
          <w:rFonts w:ascii="Times New Roman" w:hAnsi="Times New Roman" w:eastAsia="Times New Roman" w:cs="Times New Roman"/>
          <w:b w:val="0"/>
          <w:bCs w:val="0"/>
          <w:i w:val="0"/>
          <w:sz w:val="22"/>
          <w:szCs w:val="22"/>
        </w:rPr>
        <w:t xml:space="preserve">__________</w:t>
      </w:r>
      <w:r>
        <w:rPr>
          <w:rFonts w:ascii="Times New Roman" w:hAnsi="Times New Roman" w:eastAsia="Times New Roman" w:cs="Times New Roman"/>
          <w:b w:val="0"/>
          <w:bCs w:val="0"/>
          <w:i w:val="0"/>
          <w:sz w:val="22"/>
          <w:szCs w:val="22"/>
        </w:rPr>
        <w:t xml:space="preserve"> 2026г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.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tabs>
          <w:tab w:val="left" w:pos="567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</w:p>
    <w:p>
      <w:pPr>
        <w:tabs>
          <w:tab w:val="left" w:pos="567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СПЕЦИФИКАЦИЯ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</w:r>
    </w:p>
    <w:p>
      <w:pPr>
        <w:tabs>
          <w:tab w:val="left" w:pos="567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На поставку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товаров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 </w:t>
      </w: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  <w:t xml:space="preserve">для нужд МОБУ «Муринская СОШ № 5»</w:t>
      </w:r>
      <w:r>
        <w:rPr>
          <w:rFonts w:ascii="Times New Roman" w:hAnsi="Times New Roman" w:cs="Times New Roman"/>
          <w:b w:val="0"/>
          <w:bCs w:val="0"/>
          <w:sz w:val="22"/>
          <w:szCs w:val="22"/>
        </w:rPr>
      </w:r>
    </w:p>
    <w:p>
      <w:pPr>
        <w:ind w:firstLine="567"/>
        <w:jc w:val="both"/>
        <w:tabs>
          <w:tab w:val="left" w:pos="567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r>
        <w:rPr>
          <w:rFonts w:ascii="Times New Roman" w:hAnsi="Times New Roman" w:cs="Times New Roman"/>
          <w:b w:val="0"/>
          <w:bCs w:val="0"/>
          <w:sz w:val="22"/>
          <w:szCs w:val="22"/>
        </w:rPr>
      </w:r>
    </w:p>
    <w:tbl>
      <w:tblPr>
        <w:tblStyle w:val="945"/>
        <w:tblpPr w:horzAnchor="margin" w:tblpXSpec="center" w:vertAnchor="text" w:tblpYSpec="inside" w:leftFromText="180" w:topFromText="0" w:rightFromText="180" w:bottomFromText="0"/>
        <w:tblW w:w="11312" w:type="dxa"/>
        <w:tblLayout w:type="fixed"/>
        <w:tblLook w:val="04A0" w:firstRow="1" w:lastRow="0" w:firstColumn="1" w:lastColumn="0" w:noHBand="0" w:noVBand="1"/>
      </w:tblPr>
      <w:tblGrid>
        <w:gridCol w:w="543"/>
        <w:gridCol w:w="2580"/>
        <w:gridCol w:w="3522"/>
        <w:gridCol w:w="812"/>
        <w:gridCol w:w="785"/>
        <w:gridCol w:w="1486"/>
        <w:gridCol w:w="1559"/>
        <w:gridCol w:w="25"/>
      </w:tblGrid>
      <w:tr>
        <w:tblPrEx/>
        <w:trPr>
          <w:gridAfter w:val="1"/>
          <w:trHeight w:val="920"/>
        </w:trPr>
        <w:tc>
          <w:tcPr>
            <w:tcW w:w="54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2580" w:type="dxa"/>
            <w:textDirection w:val="lrTb"/>
            <w:noWrap w:val="false"/>
          </w:tcPr>
          <w:p>
            <w:pPr>
              <w:ind w:right="102"/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 xml:space="preserve">Наименование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</w:tc>
        <w:tc>
          <w:tcPr>
            <w:tcW w:w="352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 xml:space="preserve">Характеристики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</w:tc>
        <w:tc>
          <w:tcPr>
            <w:tcW w:w="81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 xml:space="preserve">ЕД. ИЗМ.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</w:tc>
        <w:tc>
          <w:tcPr>
            <w:tcW w:w="785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 xml:space="preserve">КОЛ-ВО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</w:tc>
        <w:tc>
          <w:tcPr>
            <w:tcW w:w="1486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 xml:space="preserve">ЦЕНА ЗА ЕД.,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br/>
              <w:t xml:space="preserve">руб.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</w:tc>
        <w:tc>
          <w:tcPr>
            <w:tcW w:w="155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t xml:space="preserve">СТОИМОСТЬ,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br/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0"/>
                <w:szCs w:val="20"/>
              </w:rPr>
              <w:br/>
              <w:t xml:space="preserve">руб.</w:t>
            </w:r>
            <w:r>
              <w:rPr>
                <w:rFonts w:ascii="Times New Roman" w:hAnsi="Times New Roman" w:cs="Times New Roman"/>
                <w:b w:val="0"/>
                <w:bCs w:val="0"/>
                <w:sz w:val="20"/>
                <w:szCs w:val="20"/>
              </w:rPr>
            </w:r>
          </w:p>
        </w:tc>
      </w:tr>
      <w:tr>
        <w:tblPrEx/>
        <w:trPr>
          <w:gridAfter w:val="1"/>
          <w:trHeight w:val="1628"/>
        </w:trPr>
        <w:tc>
          <w:tcPr>
            <w:tcW w:w="54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2580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Стол оператора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r>
          </w:p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3522" w:type="dxa"/>
            <w:textDirection w:val="lrTb"/>
            <w:noWrap w:val="false"/>
          </w:tcPr>
          <w:p>
            <w:pPr>
              <w:jc w:val="left"/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(ширина не менее 1800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мм,глубина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не менее 800мм,высота не менее 810мм,вместимость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рэковой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color w:val="000000"/>
                <w:sz w:val="22"/>
                <w:szCs w:val="22"/>
              </w:rPr>
              <w:t xml:space="preserve"> не менее 3U)</w:t>
            </w:r>
            <w:r>
              <w:rPr>
                <w:rFonts w:ascii="Times New Roman" w:hAnsi="Times New Roman" w:cs="Times New Roman"/>
                <w:b w:val="0"/>
                <w:bCs w:val="0"/>
                <w:color w:val="000000"/>
                <w:sz w:val="22"/>
                <w:szCs w:val="22"/>
              </w:rPr>
            </w:r>
          </w:p>
          <w:p>
            <w:pPr>
              <w:jc w:val="left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812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шт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785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b w:val="0"/>
                <w:bCs w:val="0"/>
                <w:i/>
                <w:iCs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iCs/>
                <w:sz w:val="22"/>
                <w:szCs w:val="22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bCs w:val="0"/>
                <w:i/>
                <w:iCs/>
                <w:sz w:val="22"/>
                <w:szCs w:val="22"/>
              </w:rPr>
            </w:r>
          </w:p>
        </w:tc>
        <w:tc>
          <w:tcPr>
            <w:tcW w:w="1486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1559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420"/>
        </w:trPr>
        <w:tc>
          <w:tcPr>
            <w:tcW w:w="543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 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gridSpan w:val="5"/>
            <w:tcW w:w="9185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  <w:t xml:space="preserve">ИТОГО:</w:t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gridSpan w:val="2"/>
            <w:tcW w:w="1584" w:type="dxa"/>
            <w:textDirection w:val="lrTb"/>
            <w:noWrap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</w:tr>
    </w:tbl>
    <w:p>
      <w:pPr>
        <w:ind w:firstLine="567"/>
        <w:jc w:val="both"/>
        <w:tabs>
          <w:tab w:val="left" w:pos="567" w:leader="none"/>
        </w:tabs>
        <w:rPr>
          <w:rFonts w:ascii="Times New Roman" w:hAnsi="Times New Roman" w:cs="Times New Roman"/>
          <w:b w:val="0"/>
          <w:bCs w:val="0"/>
          <w:sz w:val="22"/>
          <w:szCs w:val="22"/>
        </w:rPr>
      </w:pPr>
      <w:r>
        <w:rPr>
          <w:rFonts w:ascii="Times New Roman" w:hAnsi="Times New Roman" w:eastAsia="Times New Roman" w:cs="Times New Roman"/>
          <w:b w:val="0"/>
          <w:bCs w:val="0"/>
          <w:sz w:val="22"/>
          <w:szCs w:val="22"/>
        </w:rPr>
      </w:r>
      <w:r>
        <w:rPr>
          <w:rFonts w:ascii="Times New Roman" w:hAnsi="Times New Roman" w:cs="Times New Roman"/>
          <w:b w:val="0"/>
          <w:bCs w:val="0"/>
          <w:sz w:val="22"/>
          <w:szCs w:val="22"/>
        </w:rPr>
      </w:r>
    </w:p>
    <w:tbl>
      <w:tblPr>
        <w:tblW w:w="957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317"/>
        <w:gridCol w:w="4262"/>
      </w:tblGrid>
      <w:tr>
        <w:tblPrEx/>
        <w:trPr>
          <w:trHeight w:val="527"/>
        </w:trPr>
        <w:tc>
          <w:tcPr>
            <w:tcW w:w="5317" w:type="dxa"/>
            <w:textDirection w:val="lrTb"/>
            <w:noWrap w:val="false"/>
          </w:tcPr>
          <w:p>
            <w:pPr>
              <w:jc w:val="left"/>
              <w:spacing w:line="100" w:lineRule="atLeast"/>
              <w:widowControl w:val="off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br/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widowControl w:val="off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widowControl w:val="off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Директор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widowControl w:val="off"/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МОБУ «Муринская СОШ №5»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both"/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</w:r>
            <w: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426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</w:tr>
      <w:tr>
        <w:tblPrEx/>
        <w:trPr>
          <w:trHeight w:val="356"/>
        </w:trPr>
        <w:tc>
          <w:tcPr>
            <w:tcW w:w="5317" w:type="dxa"/>
            <w:textDirection w:val="lrTb"/>
            <w:noWrap w:val="false"/>
          </w:tcPr>
          <w:p>
            <w:pPr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                    Г. Б.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Шенкевич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  <w:p>
            <w:pPr>
              <w:jc w:val="left"/>
              <w:spacing w:line="100" w:lineRule="atLeast"/>
              <w:tabs>
                <w:tab w:val="left" w:pos="0" w:leader="none"/>
                <w:tab w:val="left" w:pos="1080" w:leader="none"/>
              </w:tabs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м.п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  <w:lang w:eastAsia="hi-IN" w:bidi="hi-IN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  <w:tc>
          <w:tcPr>
            <w:tcW w:w="426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b w:val="0"/>
                <w:bCs w:val="0"/>
                <w:sz w:val="22"/>
                <w:szCs w:val="22"/>
              </w:rPr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sz w:val="22"/>
                <w:szCs w:val="22"/>
              </w:rPr>
            </w:r>
          </w:p>
        </w:tc>
      </w:tr>
    </w:tbl>
    <w:p>
      <w:p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eastAsia="Times New Roman" w:cs="Times New Roman"/>
          <w:sz w:val="22"/>
          <w:szCs w:val="22"/>
        </w:rPr>
      </w:r>
      <w:r>
        <w:rPr>
          <w:rFonts w:ascii="Times New Roman" w:hAnsi="Times New Roman" w:eastAsia="Times New Roman" w:cs="Times New Roman"/>
          <w:sz w:val="22"/>
          <w:szCs w:val="22"/>
        </w:rPr>
      </w:r>
    </w:p>
    <w:sectPr>
      <w:headerReference w:type="default" r:id="rId12"/>
      <w:headerReference w:type="first" r:id="rId13"/>
      <w:footnotePr/>
      <w:endnotePr/>
      <w:type w:val="nextPage"/>
      <w:pgSz w:w="11906" w:h="16838" w:orient="portrait"/>
      <w:pgMar w:top="1134" w:right="850" w:bottom="1134" w:left="709" w:header="567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Cambria">
    <w:panose1 w:val="02040503050406030204"/>
  </w:font>
  <w:font w:name="Arial Unicode MS">
    <w:panose1 w:val="020B0604020202020204"/>
  </w:font>
  <w:font w:name="Arial">
    <w:panose1 w:val="020B060402020202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pStyle w:val="740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left" w:pos="0" w:leader="none"/>
        </w:tabs>
      </w:pPr>
    </w:lvl>
  </w:abstractNum>
  <w:abstractNum w:abstractNumId="1">
    <w:multiLevelType w:val="hybridMultilevel"/>
    <w:lvl w:ilvl="0">
      <w:start w:val="1"/>
      <w:numFmt w:val="decimal"/>
      <w:pStyle w:val="915"/>
      <w:isLgl w:val="false"/>
      <w:suff w:val="tab"/>
      <w:lvlText w:val="%1."/>
      <w:lvlJc w:val="left"/>
      <w:pPr>
        <w:ind w:left="1920" w:hanging="360"/>
        <w:tabs>
          <w:tab w:val="left" w:pos="709" w:leader="none"/>
        </w:tabs>
      </w:pPr>
      <w:rPr>
        <w:rFonts w:ascii="Times New Roman" w:hAnsi="Times New Roman" w:eastAsia="Times New Roman" w:cs="Times New Roman"/>
        <w:i w:val="0"/>
        <w:sz w:val="26"/>
        <w:szCs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  <w:tabs>
          <w:tab w:val="left" w:pos="425" w:leader="none"/>
        </w:tabs>
      </w:pPr>
      <w:rPr>
        <w:sz w:val="26"/>
        <w:szCs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1" w:hanging="720"/>
        <w:tabs>
          <w:tab w:val="left" w:pos="0" w:leader="none"/>
        </w:tabs>
      </w:pPr>
      <w:rPr>
        <w:rFonts w:hint="default"/>
        <w:sz w:val="26"/>
        <w:szCs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571" w:hanging="720"/>
        <w:tabs>
          <w:tab w:val="left" w:pos="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31" w:hanging="1080"/>
        <w:tabs>
          <w:tab w:val="left" w:pos="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931" w:hanging="1080"/>
        <w:tabs>
          <w:tab w:val="left" w:pos="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291" w:hanging="1440"/>
        <w:tabs>
          <w:tab w:val="left" w:pos="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291" w:hanging="1440"/>
        <w:tabs>
          <w:tab w:val="left" w:pos="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651" w:hanging="1800"/>
        <w:tabs>
          <w:tab w:val="left" w:pos="0" w:leader="none"/>
        </w:tabs>
      </w:pPr>
      <w:rPr>
        <w:rFonts w:hint="default"/>
      </w:rPr>
    </w:lvl>
  </w:abstractNum>
  <w:abstractNum w:abstractNumId="2">
    <w:multiLevelType w:val="hybridMultilevel"/>
    <w:lvl w:ilvl="0">
      <w:start w:val="1"/>
      <w:numFmt w:val="bullet"/>
      <w:pStyle w:val="917"/>
      <w:isLgl w:val="false"/>
      <w:suff w:val="tab"/>
      <w:lvlText w:val="-"/>
      <w:lvlJc w:val="left"/>
      <w:pPr>
        <w:ind w:left="1287" w:hanging="360"/>
        <w:tabs>
          <w:tab w:val="left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  <w:tabs>
          <w:tab w:val="left" w:pos="709" w:leader="none"/>
        </w:tabs>
      </w:pPr>
      <w:rPr>
        <w:rFonts w:ascii="Times New Roman" w:hAnsi="Times New Roman" w:eastAsia="Times New Roman" w:cs="Times New Roman"/>
        <w:i w:val="0"/>
        <w:sz w:val="26"/>
        <w:szCs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  <w:tabs>
          <w:tab w:val="left" w:pos="425" w:leader="none"/>
        </w:tabs>
      </w:pPr>
      <w:rPr>
        <w:sz w:val="26"/>
        <w:szCs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1" w:hanging="720"/>
        <w:tabs>
          <w:tab w:val="left" w:pos="0" w:leader="none"/>
        </w:tabs>
      </w:pPr>
      <w:rPr>
        <w:rFonts w:hint="default"/>
        <w:sz w:val="26"/>
        <w:szCs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571" w:hanging="720"/>
        <w:tabs>
          <w:tab w:val="left" w:pos="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31" w:hanging="1080"/>
        <w:tabs>
          <w:tab w:val="left" w:pos="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931" w:hanging="1080"/>
        <w:tabs>
          <w:tab w:val="left" w:pos="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291" w:hanging="1440"/>
        <w:tabs>
          <w:tab w:val="left" w:pos="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291" w:hanging="1440"/>
        <w:tabs>
          <w:tab w:val="left" w:pos="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651" w:hanging="1800"/>
        <w:tabs>
          <w:tab w:val="left" w:pos="0" w:leader="none"/>
        </w:tabs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  <w:tabs>
          <w:tab w:val="left" w:pos="709" w:leader="none"/>
        </w:tabs>
      </w:pPr>
      <w:rPr>
        <w:rFonts w:ascii="Times New Roman" w:hAnsi="Times New Roman" w:eastAsia="Times New Roman" w:cs="Times New Roman"/>
        <w:i w:val="0"/>
        <w:sz w:val="26"/>
        <w:szCs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  <w:tabs>
          <w:tab w:val="left" w:pos="425" w:leader="none"/>
        </w:tabs>
      </w:pPr>
      <w:rPr>
        <w:sz w:val="26"/>
        <w:szCs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1" w:hanging="720"/>
        <w:tabs>
          <w:tab w:val="left" w:pos="0" w:leader="none"/>
        </w:tabs>
      </w:pPr>
      <w:rPr>
        <w:rFonts w:hint="default"/>
        <w:sz w:val="26"/>
        <w:szCs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571" w:hanging="720"/>
        <w:tabs>
          <w:tab w:val="left" w:pos="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31" w:hanging="1080"/>
        <w:tabs>
          <w:tab w:val="left" w:pos="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931" w:hanging="1080"/>
        <w:tabs>
          <w:tab w:val="left" w:pos="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291" w:hanging="1440"/>
        <w:tabs>
          <w:tab w:val="left" w:pos="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291" w:hanging="1440"/>
        <w:tabs>
          <w:tab w:val="left" w:pos="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651" w:hanging="1800"/>
        <w:tabs>
          <w:tab w:val="left" w:pos="0" w:leader="none"/>
        </w:tabs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20" w:hanging="360"/>
        <w:tabs>
          <w:tab w:val="left" w:pos="709" w:leader="none"/>
        </w:tabs>
      </w:pPr>
      <w:rPr>
        <w:rFonts w:ascii="Times New Roman" w:hAnsi="Times New Roman" w:eastAsia="Times New Roman" w:cs="Times New Roman"/>
        <w:i w:val="0"/>
        <w:sz w:val="26"/>
        <w:szCs w:val="26"/>
      </w:rPr>
    </w:lvl>
    <w:lvl w:ilvl="1">
      <w:start w:val="1"/>
      <w:numFmt w:val="decimal"/>
      <w:isLgl w:val="false"/>
      <w:suff w:val="tab"/>
      <w:lvlText w:val="%1.%2."/>
      <w:lvlJc w:val="left"/>
      <w:pPr>
        <w:ind w:left="1211" w:hanging="360"/>
        <w:tabs>
          <w:tab w:val="left" w:pos="425" w:leader="none"/>
        </w:tabs>
      </w:pPr>
      <w:rPr>
        <w:sz w:val="26"/>
        <w:szCs w:val="26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571" w:hanging="720"/>
        <w:tabs>
          <w:tab w:val="left" w:pos="0" w:leader="none"/>
        </w:tabs>
      </w:pPr>
      <w:rPr>
        <w:rFonts w:hint="default"/>
        <w:sz w:val="26"/>
        <w:szCs w:val="26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571" w:hanging="720"/>
        <w:tabs>
          <w:tab w:val="left" w:pos="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931" w:hanging="1080"/>
        <w:tabs>
          <w:tab w:val="left" w:pos="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931" w:hanging="1080"/>
        <w:tabs>
          <w:tab w:val="left" w:pos="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291" w:hanging="1440"/>
        <w:tabs>
          <w:tab w:val="left" w:pos="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291" w:hanging="1440"/>
        <w:tabs>
          <w:tab w:val="left" w:pos="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651" w:hanging="1800"/>
        <w:tabs>
          <w:tab w:val="left" w:pos="0" w:leader="none"/>
        </w:tabs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741"/>
    <w:link w:val="740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739"/>
    <w:next w:val="739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74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739"/>
    <w:next w:val="739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74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739"/>
    <w:next w:val="739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74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739"/>
    <w:next w:val="739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74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739"/>
    <w:next w:val="739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74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739"/>
    <w:next w:val="739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74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739"/>
    <w:next w:val="739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74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739"/>
    <w:next w:val="739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74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4">
    <w:name w:val="Title"/>
    <w:basedOn w:val="739"/>
    <w:next w:val="739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741"/>
    <w:link w:val="34"/>
    <w:uiPriority w:val="10"/>
    <w:rPr>
      <w:sz w:val="48"/>
      <w:szCs w:val="48"/>
    </w:rPr>
  </w:style>
  <w:style w:type="character" w:styleId="37">
    <w:name w:val="Subtitle Char"/>
    <w:basedOn w:val="741"/>
    <w:link w:val="756"/>
    <w:uiPriority w:val="11"/>
    <w:rPr>
      <w:sz w:val="24"/>
      <w:szCs w:val="24"/>
    </w:rPr>
  </w:style>
  <w:style w:type="paragraph" w:styleId="38">
    <w:name w:val="Quote"/>
    <w:basedOn w:val="739"/>
    <w:next w:val="739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739"/>
    <w:next w:val="739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character" w:styleId="43">
    <w:name w:val="Header Char"/>
    <w:basedOn w:val="741"/>
    <w:link w:val="750"/>
    <w:uiPriority w:val="99"/>
  </w:style>
  <w:style w:type="character" w:styleId="45">
    <w:name w:val="Footer Char"/>
    <w:basedOn w:val="741"/>
    <w:link w:val="753"/>
    <w:uiPriority w:val="99"/>
  </w:style>
  <w:style w:type="character" w:styleId="47">
    <w:name w:val="Caption Char"/>
    <w:basedOn w:val="741"/>
    <w:link w:val="746"/>
    <w:uiPriority w:val="35"/>
    <w:rPr>
      <w:b/>
      <w:bCs/>
      <w:color w:val="4f81bd" w:themeColor="accent1"/>
      <w:sz w:val="18"/>
      <w:szCs w:val="18"/>
    </w:rPr>
  </w:style>
  <w:style w:type="table" w:styleId="49">
    <w:name w:val="Table Grid Light"/>
    <w:basedOn w:val="7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74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74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74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8">
    <w:name w:val="List Table 7 Colorful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9">
    <w:name w:val="List Table 7 Colorful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50">
    <w:name w:val="List Table 7 Colorful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1">
    <w:name w:val="List Table 7 Colorful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2">
    <w:name w:val="List Table 7 Colorful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3">
    <w:name w:val="Lined - Accent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5">
    <w:name w:val="Lined - Accent 2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6">
    <w:name w:val="Lined - Accent 3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7">
    <w:name w:val="Lined - Accent 4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8">
    <w:name w:val="Lined - Accent 5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9">
    <w:name w:val="Lined - Accent 6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0">
    <w:name w:val="Bordered &amp; Lined - Accent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2">
    <w:name w:val="Bordered &amp; Lined - Accent 2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3">
    <w:name w:val="Bordered &amp; Lined - Accent 3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4">
    <w:name w:val="Bordered &amp; Lined - Accent 4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5">
    <w:name w:val="Bordered &amp; Lined - Accent 5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6">
    <w:name w:val="Bordered &amp; Lined - Accent 6"/>
    <w:basedOn w:val="74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7">
    <w:name w:val="Bordered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74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6">
    <w:name w:val="Footnote Text Char"/>
    <w:link w:val="749"/>
    <w:uiPriority w:val="99"/>
    <w:rPr>
      <w:sz w:val="18"/>
    </w:rPr>
  </w:style>
  <w:style w:type="character" w:styleId="177">
    <w:name w:val="footnote reference"/>
    <w:basedOn w:val="741"/>
    <w:uiPriority w:val="99"/>
    <w:unhideWhenUsed/>
    <w:rPr>
      <w:vertAlign w:val="superscript"/>
    </w:rPr>
  </w:style>
  <w:style w:type="paragraph" w:styleId="178">
    <w:name w:val="endnote text"/>
    <w:basedOn w:val="739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741"/>
    <w:uiPriority w:val="99"/>
    <w:semiHidden/>
    <w:unhideWhenUsed/>
    <w:rPr>
      <w:vertAlign w:val="superscript"/>
    </w:rPr>
  </w:style>
  <w:style w:type="paragraph" w:styleId="181">
    <w:name w:val="toc 1"/>
    <w:basedOn w:val="739"/>
    <w:next w:val="739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739"/>
    <w:next w:val="739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739"/>
    <w:next w:val="739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739"/>
    <w:next w:val="739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739"/>
    <w:next w:val="739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739"/>
    <w:next w:val="739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739"/>
    <w:next w:val="739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739"/>
    <w:next w:val="739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739"/>
    <w:next w:val="739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739"/>
    <w:next w:val="739"/>
    <w:uiPriority w:val="99"/>
    <w:unhideWhenUsed/>
    <w:pPr>
      <w:spacing w:after="0" w:afterAutospacing="0"/>
    </w:pPr>
  </w:style>
  <w:style w:type="paragraph" w:styleId="739" w:default="1">
    <w:name w:val="Normal"/>
    <w:qFormat/>
    <w:pPr>
      <w:jc w:val="center"/>
    </w:pPr>
    <w:rPr>
      <w:sz w:val="28"/>
      <w:szCs w:val="28"/>
      <w:lang w:eastAsia="zh-CN"/>
    </w:rPr>
  </w:style>
  <w:style w:type="paragraph" w:styleId="740">
    <w:name w:val="Heading 1"/>
    <w:basedOn w:val="739"/>
    <w:next w:val="739"/>
    <w:qFormat/>
    <w:pPr>
      <w:numPr>
        <w:ilvl w:val="0"/>
        <w:numId w:val="1"/>
      </w:numPr>
      <w:jc w:val="left"/>
      <w:keepNext/>
      <w:spacing w:before="240" w:after="60"/>
      <w:widowControl w:val="off"/>
      <w:outlineLvl w:val="0"/>
    </w:pPr>
    <w:rPr>
      <w:rFonts w:ascii="Cambria" w:hAnsi="Cambria" w:cs="Cambria"/>
      <w:b/>
      <w:bCs/>
      <w:sz w:val="32"/>
      <w:szCs w:val="32"/>
    </w:rPr>
  </w:style>
  <w:style w:type="character" w:styleId="741" w:default="1">
    <w:name w:val="Default Paragraph Font"/>
    <w:uiPriority w:val="1"/>
    <w:unhideWhenUsed/>
  </w:style>
  <w:style w:type="table" w:styleId="74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3" w:default="1">
    <w:name w:val="No List"/>
    <w:uiPriority w:val="99"/>
    <w:semiHidden/>
    <w:unhideWhenUsed/>
  </w:style>
  <w:style w:type="character" w:styleId="744">
    <w:name w:val="Hyperlink"/>
    <w:qFormat/>
    <w:rPr>
      <w:color w:val="0000ff"/>
      <w:u w:val="single"/>
    </w:rPr>
  </w:style>
  <w:style w:type="paragraph" w:styleId="745">
    <w:name w:val="Balloon Text"/>
    <w:basedOn w:val="739"/>
    <w:qFormat/>
    <w:rPr>
      <w:rFonts w:ascii="Tahoma" w:hAnsi="Tahoma" w:cs="Tahoma"/>
      <w:sz w:val="16"/>
      <w:szCs w:val="16"/>
    </w:rPr>
  </w:style>
  <w:style w:type="paragraph" w:styleId="746">
    <w:name w:val="Caption"/>
    <w:basedOn w:val="739"/>
    <w:qFormat/>
    <w:pPr>
      <w:spacing w:before="120" w:after="120"/>
      <w:suppressLineNumbers/>
    </w:pPr>
    <w:rPr>
      <w:rFonts w:cs="Arial Unicode MS"/>
      <w:i/>
      <w:iCs/>
      <w:sz w:val="24"/>
      <w:szCs w:val="24"/>
    </w:rPr>
  </w:style>
  <w:style w:type="paragraph" w:styleId="747">
    <w:name w:val="annotation subject"/>
    <w:basedOn w:val="748"/>
    <w:next w:val="748"/>
    <w:qFormat/>
    <w:rPr>
      <w:b/>
      <w:bCs/>
    </w:rPr>
  </w:style>
  <w:style w:type="paragraph" w:styleId="748" w:customStyle="1">
    <w:name w:val="Текст примечания1"/>
    <w:basedOn w:val="739"/>
    <w:qFormat/>
    <w:rPr>
      <w:sz w:val="20"/>
      <w:szCs w:val="20"/>
    </w:rPr>
  </w:style>
  <w:style w:type="paragraph" w:styleId="749">
    <w:name w:val="footnote text"/>
    <w:basedOn w:val="739"/>
    <w:qFormat/>
    <w:rPr>
      <w:sz w:val="20"/>
      <w:szCs w:val="20"/>
    </w:rPr>
  </w:style>
  <w:style w:type="paragraph" w:styleId="750">
    <w:name w:val="Header"/>
    <w:basedOn w:val="739"/>
    <w:qFormat/>
    <w:rPr>
      <w:rFonts w:ascii="Calibri" w:hAnsi="Calibri" w:cs="Calibri"/>
      <w:sz w:val="20"/>
      <w:szCs w:val="20"/>
    </w:rPr>
  </w:style>
  <w:style w:type="paragraph" w:styleId="751">
    <w:name w:val="Body Text"/>
    <w:basedOn w:val="739"/>
    <w:qFormat/>
    <w:pPr>
      <w:jc w:val="left"/>
      <w:spacing w:after="120" w:line="100" w:lineRule="atLeast"/>
    </w:pPr>
    <w:rPr>
      <w:sz w:val="24"/>
      <w:szCs w:val="24"/>
      <w:lang w:bidi="hi-IN"/>
    </w:rPr>
  </w:style>
  <w:style w:type="paragraph" w:styleId="752">
    <w:name w:val="Body Text Indent"/>
    <w:basedOn w:val="739"/>
    <w:qFormat/>
    <w:pPr>
      <w:ind w:left="283" w:firstLine="709"/>
      <w:jc w:val="both"/>
      <w:spacing w:line="100" w:lineRule="atLeast"/>
      <w:tabs>
        <w:tab w:val="left" w:pos="0" w:leader="none"/>
        <w:tab w:val="left" w:pos="1080" w:leader="none"/>
      </w:tabs>
    </w:pPr>
    <w:rPr>
      <w:sz w:val="24"/>
      <w:szCs w:val="24"/>
      <w:lang w:bidi="hi-IN"/>
    </w:rPr>
  </w:style>
  <w:style w:type="paragraph" w:styleId="753">
    <w:name w:val="Footer"/>
    <w:basedOn w:val="739"/>
    <w:qFormat/>
    <w:pPr>
      <w:tabs>
        <w:tab w:val="center" w:pos="4677" w:leader="none"/>
        <w:tab w:val="right" w:pos="9355" w:leader="none"/>
      </w:tabs>
    </w:pPr>
    <w:rPr>
      <w:szCs w:val="20"/>
    </w:rPr>
  </w:style>
  <w:style w:type="paragraph" w:styleId="754">
    <w:name w:val="List"/>
    <w:basedOn w:val="751"/>
    <w:qFormat/>
    <w:rPr>
      <w:rFonts w:cs="Arial"/>
    </w:rPr>
  </w:style>
  <w:style w:type="paragraph" w:styleId="755">
    <w:name w:val="Normal (Web)"/>
    <w:basedOn w:val="739"/>
    <w:qFormat/>
    <w:pPr>
      <w:jc w:val="left"/>
      <w:spacing w:before="280" w:after="280"/>
    </w:pPr>
    <w:rPr>
      <w:sz w:val="24"/>
      <w:szCs w:val="24"/>
    </w:rPr>
  </w:style>
  <w:style w:type="paragraph" w:styleId="756">
    <w:name w:val="Subtitle"/>
    <w:basedOn w:val="739"/>
    <w:next w:val="751"/>
    <w:qFormat/>
    <w:rPr>
      <w:b/>
      <w:sz w:val="48"/>
      <w:szCs w:val="20"/>
    </w:rPr>
  </w:style>
  <w:style w:type="character" w:styleId="757" w:customStyle="1">
    <w:name w:val="WW8Num1z0"/>
    <w:qFormat/>
  </w:style>
  <w:style w:type="character" w:styleId="758" w:customStyle="1">
    <w:name w:val="WW8Num1z1"/>
    <w:qFormat/>
  </w:style>
  <w:style w:type="character" w:styleId="759" w:customStyle="1">
    <w:name w:val="WW8Num1z2"/>
    <w:qFormat/>
  </w:style>
  <w:style w:type="character" w:styleId="760" w:customStyle="1">
    <w:name w:val="WW8Num1z3"/>
    <w:qFormat/>
  </w:style>
  <w:style w:type="character" w:styleId="761" w:customStyle="1">
    <w:name w:val="WW8Num1z4"/>
    <w:qFormat/>
  </w:style>
  <w:style w:type="character" w:styleId="762" w:customStyle="1">
    <w:name w:val="WW8Num1z5"/>
    <w:qFormat/>
  </w:style>
  <w:style w:type="character" w:styleId="763" w:customStyle="1">
    <w:name w:val="WW8Num1z6"/>
    <w:qFormat/>
  </w:style>
  <w:style w:type="character" w:styleId="764" w:customStyle="1">
    <w:name w:val="WW8Num1z7"/>
    <w:qFormat/>
  </w:style>
  <w:style w:type="character" w:styleId="765" w:customStyle="1">
    <w:name w:val="WW8Num1z8"/>
    <w:qFormat/>
  </w:style>
  <w:style w:type="character" w:styleId="766" w:customStyle="1">
    <w:name w:val="WW8Num2z0"/>
    <w:qFormat/>
    <w:rPr>
      <w:rFonts w:ascii="Times New Roman" w:hAnsi="Times New Roman" w:eastAsia="Times New Roman" w:cs="Times New Roman"/>
      <w:sz w:val="26"/>
      <w:szCs w:val="26"/>
    </w:rPr>
  </w:style>
  <w:style w:type="character" w:styleId="767" w:customStyle="1">
    <w:name w:val="WW8Num2z1"/>
    <w:qFormat/>
    <w:rPr>
      <w:sz w:val="26"/>
      <w:szCs w:val="26"/>
    </w:rPr>
  </w:style>
  <w:style w:type="character" w:styleId="768" w:customStyle="1">
    <w:name w:val="WW8Num2z2"/>
    <w:qFormat/>
    <w:rPr>
      <w:rFonts w:hint="default"/>
      <w:sz w:val="26"/>
      <w:szCs w:val="26"/>
    </w:rPr>
  </w:style>
  <w:style w:type="character" w:styleId="769" w:customStyle="1">
    <w:name w:val="WW8Num2z3"/>
    <w:qFormat/>
    <w:rPr>
      <w:rFonts w:hint="default"/>
    </w:rPr>
  </w:style>
  <w:style w:type="character" w:styleId="770" w:customStyle="1">
    <w:name w:val="WW8Num3z0"/>
    <w:qFormat/>
    <w:rPr>
      <w:rFonts w:hint="default" w:ascii="Times New Roman" w:hAnsi="Times New Roman" w:cs="Times New Roman"/>
    </w:rPr>
  </w:style>
  <w:style w:type="character" w:styleId="771" w:customStyle="1">
    <w:name w:val="Основной шрифт абзаца3"/>
    <w:qFormat/>
  </w:style>
  <w:style w:type="character" w:styleId="772" w:customStyle="1">
    <w:name w:val="Основной шрифт абзаца2"/>
    <w:qFormat/>
  </w:style>
  <w:style w:type="character" w:styleId="773" w:customStyle="1">
    <w:name w:val="WW8Num4z0"/>
    <w:qFormat/>
    <w:rPr>
      <w:rFonts w:hint="default"/>
    </w:rPr>
  </w:style>
  <w:style w:type="character" w:styleId="774" w:customStyle="1">
    <w:name w:val="WW8Num4z1"/>
    <w:qFormat/>
  </w:style>
  <w:style w:type="character" w:styleId="775" w:customStyle="1">
    <w:name w:val="WW8Num4z2"/>
    <w:qFormat/>
  </w:style>
  <w:style w:type="character" w:styleId="776" w:customStyle="1">
    <w:name w:val="WW8Num4z3"/>
    <w:qFormat/>
  </w:style>
  <w:style w:type="character" w:styleId="777" w:customStyle="1">
    <w:name w:val="WW8Num4z4"/>
    <w:qFormat/>
  </w:style>
  <w:style w:type="character" w:styleId="778" w:customStyle="1">
    <w:name w:val="WW8Num4z5"/>
    <w:qFormat/>
  </w:style>
  <w:style w:type="character" w:styleId="779" w:customStyle="1">
    <w:name w:val="WW8Num4z6"/>
    <w:qFormat/>
  </w:style>
  <w:style w:type="character" w:styleId="780" w:customStyle="1">
    <w:name w:val="WW8Num4z7"/>
    <w:qFormat/>
  </w:style>
  <w:style w:type="character" w:styleId="781" w:customStyle="1">
    <w:name w:val="WW8Num4z8"/>
    <w:qFormat/>
  </w:style>
  <w:style w:type="character" w:styleId="782" w:customStyle="1">
    <w:name w:val="WW8Num5z0"/>
    <w:qFormat/>
    <w:rPr>
      <w:rFonts w:hint="default"/>
    </w:rPr>
  </w:style>
  <w:style w:type="character" w:styleId="783" w:customStyle="1">
    <w:name w:val="WW8Num5z1"/>
    <w:qFormat/>
  </w:style>
  <w:style w:type="character" w:styleId="784" w:customStyle="1">
    <w:name w:val="WW8Num5z2"/>
    <w:qFormat/>
  </w:style>
  <w:style w:type="character" w:styleId="785" w:customStyle="1">
    <w:name w:val="WW8Num5z3"/>
    <w:qFormat/>
  </w:style>
  <w:style w:type="character" w:styleId="786" w:customStyle="1">
    <w:name w:val="WW8Num5z4"/>
    <w:qFormat/>
  </w:style>
  <w:style w:type="character" w:styleId="787" w:customStyle="1">
    <w:name w:val="WW8Num5z5"/>
    <w:qFormat/>
  </w:style>
  <w:style w:type="character" w:styleId="788" w:customStyle="1">
    <w:name w:val="WW8Num5z6"/>
    <w:qFormat/>
  </w:style>
  <w:style w:type="character" w:styleId="789" w:customStyle="1">
    <w:name w:val="WW8Num5z7"/>
    <w:qFormat/>
  </w:style>
  <w:style w:type="character" w:styleId="790" w:customStyle="1">
    <w:name w:val="WW8Num5z8"/>
    <w:qFormat/>
  </w:style>
  <w:style w:type="character" w:styleId="791" w:customStyle="1">
    <w:name w:val="WW8Num6z0"/>
    <w:qFormat/>
    <w:rPr>
      <w:rFonts w:hint="default"/>
    </w:rPr>
  </w:style>
  <w:style w:type="character" w:styleId="792" w:customStyle="1">
    <w:name w:val="WW8Num6z1"/>
    <w:qFormat/>
  </w:style>
  <w:style w:type="character" w:styleId="793" w:customStyle="1">
    <w:name w:val="WW8Num6z2"/>
    <w:qFormat/>
  </w:style>
  <w:style w:type="character" w:styleId="794" w:customStyle="1">
    <w:name w:val="WW8Num6z3"/>
    <w:qFormat/>
  </w:style>
  <w:style w:type="character" w:styleId="795" w:customStyle="1">
    <w:name w:val="WW8Num6z4"/>
    <w:qFormat/>
  </w:style>
  <w:style w:type="character" w:styleId="796" w:customStyle="1">
    <w:name w:val="WW8Num6z5"/>
    <w:qFormat/>
  </w:style>
  <w:style w:type="character" w:styleId="797" w:customStyle="1">
    <w:name w:val="WW8Num6z6"/>
    <w:qFormat/>
  </w:style>
  <w:style w:type="character" w:styleId="798" w:customStyle="1">
    <w:name w:val="WW8Num6z7"/>
    <w:qFormat/>
  </w:style>
  <w:style w:type="character" w:styleId="799" w:customStyle="1">
    <w:name w:val="WW8Num6z8"/>
    <w:qFormat/>
  </w:style>
  <w:style w:type="character" w:styleId="800" w:customStyle="1">
    <w:name w:val="WW8Num7z0"/>
    <w:qFormat/>
    <w:rPr>
      <w:rFonts w:hint="default" w:eastAsia="Times New Roman"/>
      <w:color w:val="000000"/>
    </w:rPr>
  </w:style>
  <w:style w:type="character" w:styleId="801" w:customStyle="1">
    <w:name w:val="WW8Num7z1"/>
    <w:qFormat/>
  </w:style>
  <w:style w:type="character" w:styleId="802" w:customStyle="1">
    <w:name w:val="WW8Num7z2"/>
    <w:qFormat/>
  </w:style>
  <w:style w:type="character" w:styleId="803" w:customStyle="1">
    <w:name w:val="WW8Num7z3"/>
    <w:qFormat/>
  </w:style>
  <w:style w:type="character" w:styleId="804" w:customStyle="1">
    <w:name w:val="WW8Num7z4"/>
    <w:qFormat/>
  </w:style>
  <w:style w:type="character" w:styleId="805" w:customStyle="1">
    <w:name w:val="WW8Num7z5"/>
    <w:qFormat/>
  </w:style>
  <w:style w:type="character" w:styleId="806" w:customStyle="1">
    <w:name w:val="WW8Num7z6"/>
    <w:qFormat/>
  </w:style>
  <w:style w:type="character" w:styleId="807" w:customStyle="1">
    <w:name w:val="WW8Num7z7"/>
    <w:qFormat/>
  </w:style>
  <w:style w:type="character" w:styleId="808" w:customStyle="1">
    <w:name w:val="WW8Num7z8"/>
    <w:qFormat/>
  </w:style>
  <w:style w:type="character" w:styleId="809" w:customStyle="1">
    <w:name w:val="WW8Num8z0"/>
    <w:qFormat/>
    <w:rPr>
      <w:rFonts w:hint="default"/>
    </w:rPr>
  </w:style>
  <w:style w:type="character" w:styleId="810" w:customStyle="1">
    <w:name w:val="WW8Num9z0"/>
    <w:qFormat/>
    <w:rPr>
      <w:rFonts w:hint="default"/>
    </w:rPr>
  </w:style>
  <w:style w:type="character" w:styleId="811" w:customStyle="1">
    <w:name w:val="WW8Num9z1"/>
    <w:qFormat/>
  </w:style>
  <w:style w:type="character" w:styleId="812" w:customStyle="1">
    <w:name w:val="WW8Num9z2"/>
    <w:qFormat/>
  </w:style>
  <w:style w:type="character" w:styleId="813" w:customStyle="1">
    <w:name w:val="WW8Num9z3"/>
    <w:qFormat/>
  </w:style>
  <w:style w:type="character" w:styleId="814" w:customStyle="1">
    <w:name w:val="WW8Num9z4"/>
    <w:qFormat/>
  </w:style>
  <w:style w:type="character" w:styleId="815" w:customStyle="1">
    <w:name w:val="WW8Num9z5"/>
  </w:style>
  <w:style w:type="character" w:styleId="816" w:customStyle="1">
    <w:name w:val="WW8Num9z6"/>
    <w:qFormat/>
  </w:style>
  <w:style w:type="character" w:styleId="817" w:customStyle="1">
    <w:name w:val="WW8Num9z7"/>
    <w:qFormat/>
  </w:style>
  <w:style w:type="character" w:styleId="818" w:customStyle="1">
    <w:name w:val="WW8Num9z8"/>
    <w:qFormat/>
  </w:style>
  <w:style w:type="character" w:styleId="819" w:customStyle="1">
    <w:name w:val="WW8Num10z0"/>
    <w:qFormat/>
    <w:rPr>
      <w:rFonts w:ascii="Times New Roman" w:hAnsi="Times New Roman" w:eastAsia="Times New Roman" w:cs="Times New Roman"/>
      <w:sz w:val="26"/>
      <w:szCs w:val="26"/>
    </w:rPr>
  </w:style>
  <w:style w:type="character" w:styleId="820" w:customStyle="1">
    <w:name w:val="WW8Num10z1"/>
    <w:qFormat/>
    <w:rPr>
      <w:sz w:val="26"/>
      <w:szCs w:val="26"/>
    </w:rPr>
  </w:style>
  <w:style w:type="character" w:styleId="821" w:customStyle="1">
    <w:name w:val="WW8Num10z2"/>
    <w:qFormat/>
    <w:rPr>
      <w:rFonts w:hint="default"/>
      <w:sz w:val="26"/>
      <w:szCs w:val="26"/>
    </w:rPr>
  </w:style>
  <w:style w:type="character" w:styleId="822" w:customStyle="1">
    <w:name w:val="WW8Num10z3"/>
    <w:rPr>
      <w:rFonts w:hint="default"/>
    </w:rPr>
  </w:style>
  <w:style w:type="character" w:styleId="823" w:customStyle="1">
    <w:name w:val="WW8Num11z0"/>
    <w:qFormat/>
    <w:rPr>
      <w:rFonts w:hint="default"/>
    </w:rPr>
  </w:style>
  <w:style w:type="character" w:styleId="824" w:customStyle="1">
    <w:name w:val="WW8Num12z0"/>
    <w:qFormat/>
    <w:rPr>
      <w:rFonts w:hint="default"/>
    </w:rPr>
  </w:style>
  <w:style w:type="character" w:styleId="825" w:customStyle="1">
    <w:name w:val="WW8Num12z1"/>
    <w:qFormat/>
    <w:rPr>
      <w:rFonts w:hint="default"/>
    </w:rPr>
  </w:style>
  <w:style w:type="character" w:styleId="826" w:customStyle="1">
    <w:name w:val="WW8Num13z0"/>
    <w:qFormat/>
    <w:rPr>
      <w:rFonts w:hint="default" w:ascii="Times New Roman" w:hAnsi="Times New Roman" w:cs="Times New Roman"/>
    </w:rPr>
  </w:style>
  <w:style w:type="character" w:styleId="827" w:customStyle="1">
    <w:name w:val="WW8Num13z1"/>
    <w:qFormat/>
    <w:rPr>
      <w:rFonts w:hint="default" w:ascii="Courier New" w:hAnsi="Courier New" w:cs="Courier New"/>
    </w:rPr>
  </w:style>
  <w:style w:type="character" w:styleId="828" w:customStyle="1">
    <w:name w:val="WW8Num13z2"/>
    <w:qFormat/>
    <w:rPr>
      <w:rFonts w:hint="default" w:ascii="Wingdings" w:hAnsi="Wingdings" w:cs="Wingdings"/>
    </w:rPr>
  </w:style>
  <w:style w:type="character" w:styleId="829" w:customStyle="1">
    <w:name w:val="WW8Num13z3"/>
    <w:qFormat/>
    <w:rPr>
      <w:rFonts w:hint="default" w:ascii="Symbol" w:hAnsi="Symbol" w:cs="Symbol"/>
    </w:rPr>
  </w:style>
  <w:style w:type="character" w:styleId="830" w:customStyle="1">
    <w:name w:val="WW8Num14z0"/>
    <w:qFormat/>
    <w:rPr>
      <w:rFonts w:hint="default"/>
    </w:rPr>
  </w:style>
  <w:style w:type="character" w:styleId="831" w:customStyle="1">
    <w:name w:val="WW8Num14z1"/>
    <w:qFormat/>
    <w:rPr>
      <w:rFonts w:ascii="Times New Roman" w:hAnsi="Times New Roman" w:eastAsia="Times New Roman" w:cs="Times New Roman"/>
    </w:rPr>
  </w:style>
  <w:style w:type="character" w:styleId="832" w:customStyle="1">
    <w:name w:val="WW8Num15z0"/>
    <w:qFormat/>
    <w:rPr>
      <w:rFonts w:ascii="Times New Roman" w:hAnsi="Times New Roman" w:eastAsia="Times New Roman" w:cs="Times New Roman"/>
    </w:rPr>
  </w:style>
  <w:style w:type="character" w:styleId="833" w:customStyle="1">
    <w:name w:val="WW8Num15z1"/>
    <w:qFormat/>
  </w:style>
  <w:style w:type="character" w:styleId="834" w:customStyle="1">
    <w:name w:val="WW8Num15z2"/>
  </w:style>
  <w:style w:type="character" w:styleId="835" w:customStyle="1">
    <w:name w:val="WW8Num15z3"/>
    <w:qFormat/>
  </w:style>
  <w:style w:type="character" w:styleId="836" w:customStyle="1">
    <w:name w:val="WW8Num15z4"/>
    <w:qFormat/>
  </w:style>
  <w:style w:type="character" w:styleId="837" w:customStyle="1">
    <w:name w:val="WW8Num15z5"/>
    <w:qFormat/>
  </w:style>
  <w:style w:type="character" w:styleId="838" w:customStyle="1">
    <w:name w:val="WW8Num15z6"/>
    <w:qFormat/>
  </w:style>
  <w:style w:type="character" w:styleId="839" w:customStyle="1">
    <w:name w:val="WW8Num15z7"/>
    <w:qFormat/>
  </w:style>
  <w:style w:type="character" w:styleId="840" w:customStyle="1">
    <w:name w:val="WW8Num15z8"/>
    <w:qFormat/>
  </w:style>
  <w:style w:type="character" w:styleId="841" w:customStyle="1">
    <w:name w:val="WW8Num16z0"/>
    <w:qFormat/>
    <w:rPr>
      <w:rFonts w:hint="default" w:ascii="Times New Roman" w:hAnsi="Times New Roman" w:cs="Times New Roman"/>
    </w:rPr>
  </w:style>
  <w:style w:type="character" w:styleId="842" w:customStyle="1">
    <w:name w:val="WW8Num17z0"/>
    <w:qFormat/>
  </w:style>
  <w:style w:type="character" w:styleId="843" w:customStyle="1">
    <w:name w:val="WW8Num17z1"/>
    <w:qFormat/>
  </w:style>
  <w:style w:type="character" w:styleId="844" w:customStyle="1">
    <w:name w:val="WW8Num17z2"/>
    <w:qFormat/>
  </w:style>
  <w:style w:type="character" w:styleId="845" w:customStyle="1">
    <w:name w:val="WW8Num17z3"/>
    <w:qFormat/>
  </w:style>
  <w:style w:type="character" w:styleId="846" w:customStyle="1">
    <w:name w:val="WW8Num17z4"/>
  </w:style>
  <w:style w:type="character" w:styleId="847" w:customStyle="1">
    <w:name w:val="WW8Num17z5"/>
    <w:qFormat/>
  </w:style>
  <w:style w:type="character" w:styleId="848" w:customStyle="1">
    <w:name w:val="WW8Num17z6"/>
    <w:qFormat/>
  </w:style>
  <w:style w:type="character" w:styleId="849" w:customStyle="1">
    <w:name w:val="WW8Num17z7"/>
    <w:qFormat/>
  </w:style>
  <w:style w:type="character" w:styleId="850" w:customStyle="1">
    <w:name w:val="WW8Num17z8"/>
    <w:qFormat/>
  </w:style>
  <w:style w:type="character" w:styleId="851" w:customStyle="1">
    <w:name w:val="WW8Num18z0"/>
    <w:qFormat/>
  </w:style>
  <w:style w:type="character" w:styleId="852" w:customStyle="1">
    <w:name w:val="WW8Num18z1"/>
    <w:qFormat/>
  </w:style>
  <w:style w:type="character" w:styleId="853" w:customStyle="1">
    <w:name w:val="WW8Num18z2"/>
    <w:qFormat/>
  </w:style>
  <w:style w:type="character" w:styleId="854" w:customStyle="1">
    <w:name w:val="WW8Num18z3"/>
    <w:qFormat/>
  </w:style>
  <w:style w:type="character" w:styleId="855" w:customStyle="1">
    <w:name w:val="WW8Num18z4"/>
    <w:qFormat/>
  </w:style>
  <w:style w:type="character" w:styleId="856" w:customStyle="1">
    <w:name w:val="WW8Num18z5"/>
  </w:style>
  <w:style w:type="character" w:styleId="857" w:customStyle="1">
    <w:name w:val="WW8Num18z6"/>
    <w:qFormat/>
  </w:style>
  <w:style w:type="character" w:styleId="858" w:customStyle="1">
    <w:name w:val="WW8Num18z7"/>
    <w:qFormat/>
  </w:style>
  <w:style w:type="character" w:styleId="859" w:customStyle="1">
    <w:name w:val="WW8Num18z8"/>
    <w:qFormat/>
  </w:style>
  <w:style w:type="character" w:styleId="860" w:customStyle="1">
    <w:name w:val="WW8Num19z0"/>
    <w:qFormat/>
  </w:style>
  <w:style w:type="character" w:styleId="861" w:customStyle="1">
    <w:name w:val="WW8Num19z1"/>
    <w:qFormat/>
  </w:style>
  <w:style w:type="character" w:styleId="862" w:customStyle="1">
    <w:name w:val="WW8Num19z2"/>
    <w:qFormat/>
  </w:style>
  <w:style w:type="character" w:styleId="863" w:customStyle="1">
    <w:name w:val="WW8Num19z3"/>
  </w:style>
  <w:style w:type="character" w:styleId="864" w:customStyle="1">
    <w:name w:val="WW8Num19z4"/>
    <w:qFormat/>
  </w:style>
  <w:style w:type="character" w:styleId="865" w:customStyle="1">
    <w:name w:val="WW8Num19z5"/>
    <w:qFormat/>
  </w:style>
  <w:style w:type="character" w:styleId="866" w:customStyle="1">
    <w:name w:val="WW8Num19z6"/>
  </w:style>
  <w:style w:type="character" w:styleId="867" w:customStyle="1">
    <w:name w:val="WW8Num19z7"/>
    <w:qFormat/>
  </w:style>
  <w:style w:type="character" w:styleId="868" w:customStyle="1">
    <w:name w:val="WW8Num19z8"/>
  </w:style>
  <w:style w:type="character" w:styleId="869" w:customStyle="1">
    <w:name w:val="WW8Num20z0"/>
    <w:qFormat/>
    <w:rPr>
      <w:rFonts w:hint="default"/>
    </w:rPr>
  </w:style>
  <w:style w:type="character" w:styleId="870" w:customStyle="1">
    <w:name w:val="Основной шрифт абзаца1"/>
    <w:qFormat/>
  </w:style>
  <w:style w:type="character" w:styleId="871" w:customStyle="1">
    <w:name w:val="Подзаголовок Знак"/>
    <w:qFormat/>
    <w:rPr>
      <w:rFonts w:ascii="Times New Roman" w:hAnsi="Times New Roman" w:eastAsia="Times New Roman" w:cs="Times New Roman"/>
      <w:b/>
      <w:sz w:val="48"/>
      <w:szCs w:val="20"/>
    </w:rPr>
  </w:style>
  <w:style w:type="character" w:styleId="872" w:customStyle="1">
    <w:name w:val="Абзац списка Знак"/>
    <w:qFormat/>
    <w:rPr>
      <w:rFonts w:ascii="Times New Roman" w:hAnsi="Times New Roman" w:eastAsia="Times New Roman" w:cs="Times New Roman"/>
      <w:sz w:val="28"/>
      <w:szCs w:val="20"/>
    </w:rPr>
  </w:style>
  <w:style w:type="character" w:styleId="873" w:customStyle="1">
    <w:name w:val="пункт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874" w:customStyle="1">
    <w:name w:val="абзац Знак"/>
    <w:qFormat/>
    <w:rPr>
      <w:rFonts w:ascii="Times New Roman" w:hAnsi="Times New Roman" w:eastAsia="Times New Roman" w:cs="Times New Roman"/>
      <w:sz w:val="26"/>
      <w:szCs w:val="26"/>
    </w:rPr>
  </w:style>
  <w:style w:type="character" w:styleId="875" w:customStyle="1">
    <w:name w:val="подпункт Знак"/>
    <w:qFormat/>
    <w:rPr>
      <w:rFonts w:ascii="Times New Roman" w:hAnsi="Times New Roman" w:eastAsia="Times New Roman" w:cs="Times New Roman"/>
      <w:sz w:val="26"/>
      <w:szCs w:val="26"/>
    </w:rPr>
  </w:style>
  <w:style w:type="character" w:styleId="876" w:customStyle="1">
    <w:name w:val="Текст выноски Знак"/>
    <w:qFormat/>
    <w:rPr>
      <w:rFonts w:ascii="Tahoma" w:hAnsi="Tahoma" w:eastAsia="Times New Roman" w:cs="Tahoma"/>
      <w:sz w:val="16"/>
      <w:szCs w:val="16"/>
    </w:rPr>
  </w:style>
  <w:style w:type="character" w:styleId="877" w:customStyle="1">
    <w:name w:val="название Знак"/>
    <w:qFormat/>
    <w:rPr>
      <w:rFonts w:ascii="Times New Roman" w:hAnsi="Times New Roman" w:eastAsia="Times New Roman" w:cs="Times New Roman"/>
      <w:sz w:val="26"/>
      <w:szCs w:val="26"/>
    </w:rPr>
  </w:style>
  <w:style w:type="character" w:styleId="878" w:customStyle="1">
    <w:name w:val="черточка Знак"/>
    <w:qFormat/>
    <w:rPr>
      <w:rFonts w:ascii="Times New Roman" w:hAnsi="Times New Roman" w:eastAsia="Times New Roman" w:cs="Times New Roman"/>
      <w:sz w:val="24"/>
      <w:szCs w:val="26"/>
    </w:rPr>
  </w:style>
  <w:style w:type="character" w:styleId="879" w:customStyle="1">
    <w:name w:val="под1 Знак"/>
    <w:basedOn w:val="875"/>
    <w:rPr>
      <w:rFonts w:ascii="Times New Roman" w:hAnsi="Times New Roman" w:eastAsia="Times New Roman" w:cs="Times New Roman"/>
      <w:sz w:val="26"/>
      <w:szCs w:val="26"/>
    </w:rPr>
  </w:style>
  <w:style w:type="character" w:styleId="880" w:customStyle="1">
    <w:name w:val="прик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881" w:customStyle="1">
    <w:name w:val="Верхний колонтитул Знак"/>
    <w:qFormat/>
    <w:rPr>
      <w:rFonts w:ascii="Calibri" w:hAnsi="Calibri" w:eastAsia="Times New Roman" w:cs="Times New Roman"/>
    </w:rPr>
  </w:style>
  <w:style w:type="character" w:styleId="882" w:customStyle="1">
    <w:name w:val="пункты Знак"/>
    <w:qFormat/>
    <w:rPr>
      <w:rFonts w:ascii="Times New Roman" w:hAnsi="Times New Roman" w:eastAsia="Times New Roman" w:cs="Times New Roman"/>
      <w:b/>
      <w:sz w:val="26"/>
      <w:szCs w:val="26"/>
    </w:rPr>
  </w:style>
  <w:style w:type="character" w:styleId="883" w:customStyle="1">
    <w:name w:val="приложение2 Знак"/>
    <w:qFormat/>
    <w:rPr>
      <w:rFonts w:ascii="Times New Roman" w:hAnsi="Times New Roman" w:eastAsia="Times New Roman" w:cs="Times New Roman"/>
      <w:i/>
      <w:sz w:val="26"/>
      <w:szCs w:val="26"/>
      <w:lang w:bidi="hi-IN"/>
    </w:rPr>
  </w:style>
  <w:style w:type="character" w:styleId="884" w:customStyle="1">
    <w:name w:val="середина1 Знак"/>
    <w:rPr>
      <w:rFonts w:ascii="Times New Roman" w:hAnsi="Times New Roman" w:eastAsia="Times New Roman" w:cs="Times New Roman"/>
      <w:b/>
      <w:sz w:val="28"/>
      <w:szCs w:val="28"/>
    </w:rPr>
  </w:style>
  <w:style w:type="character" w:styleId="885" w:customStyle="1">
    <w:name w:val="текст Знак"/>
    <w:qFormat/>
    <w:rPr>
      <w:rFonts w:ascii="Times New Roman" w:hAnsi="Times New Roman" w:eastAsia="Times New Roman" w:cs="Times New Roman"/>
      <w:sz w:val="24"/>
      <w:szCs w:val="24"/>
      <w:lang w:bidi="hi-IN"/>
    </w:rPr>
  </w:style>
  <w:style w:type="character" w:styleId="886" w:customStyle="1">
    <w:name w:val="абз Знак"/>
    <w:basedOn w:val="874"/>
    <w:qFormat/>
    <w:rPr>
      <w:rFonts w:ascii="Times New Roman" w:hAnsi="Times New Roman" w:eastAsia="Times New Roman" w:cs="Times New Roman"/>
      <w:sz w:val="26"/>
      <w:szCs w:val="26"/>
    </w:rPr>
  </w:style>
  <w:style w:type="character" w:styleId="887" w:customStyle="1">
    <w:name w:val="приложение Знак"/>
    <w:qFormat/>
    <w:rPr>
      <w:rFonts w:ascii="Times New Roman" w:hAnsi="Times New Roman" w:eastAsia="Times New Roman" w:cs="Times New Roman"/>
    </w:rPr>
  </w:style>
  <w:style w:type="character" w:styleId="888" w:customStyle="1">
    <w:name w:val="приложение1 Знак"/>
    <w:rPr>
      <w:rFonts w:ascii="Times New Roman" w:hAnsi="Times New Roman" w:eastAsia="Times New Roman" w:cs="Times New Roman"/>
      <w:sz w:val="28"/>
      <w:szCs w:val="28"/>
    </w:rPr>
  </w:style>
  <w:style w:type="character" w:styleId="889" w:customStyle="1">
    <w:name w:val="Нижний колонтитул Знак"/>
    <w:qFormat/>
    <w:rPr>
      <w:rFonts w:ascii="Times New Roman" w:hAnsi="Times New Roman" w:eastAsia="Times New Roman" w:cs="Times New Roman"/>
      <w:sz w:val="28"/>
    </w:rPr>
  </w:style>
  <w:style w:type="character" w:styleId="890" w:customStyle="1">
    <w:name w:val="середина2 Знак"/>
    <w:qFormat/>
    <w:rPr>
      <w:rFonts w:ascii="Times New Roman" w:hAnsi="Times New Roman" w:eastAsia="Times New Roman" w:cs="Times New Roman"/>
      <w:sz w:val="28"/>
      <w:szCs w:val="28"/>
    </w:rPr>
  </w:style>
  <w:style w:type="character" w:styleId="891" w:customStyle="1">
    <w:name w:val="Текст сноски Знак"/>
    <w:qFormat/>
    <w:rPr>
      <w:rFonts w:ascii="Times New Roman" w:hAnsi="Times New Roman" w:eastAsia="Times New Roman" w:cs="Times New Roman"/>
    </w:rPr>
  </w:style>
  <w:style w:type="character" w:styleId="892" w:customStyle="1">
    <w:name w:val="Символ сноски"/>
    <w:qFormat/>
    <w:rPr>
      <w:vertAlign w:val="superscript"/>
    </w:rPr>
  </w:style>
  <w:style w:type="character" w:styleId="893" w:customStyle="1">
    <w:name w:val="Знак примечания1"/>
    <w:qFormat/>
    <w:rPr>
      <w:sz w:val="16"/>
      <w:szCs w:val="16"/>
    </w:rPr>
  </w:style>
  <w:style w:type="character" w:styleId="894" w:customStyle="1">
    <w:name w:val="Текст примечания Знак"/>
    <w:qFormat/>
    <w:rPr>
      <w:rFonts w:ascii="Times New Roman" w:hAnsi="Times New Roman" w:eastAsia="Times New Roman" w:cs="Times New Roman"/>
    </w:rPr>
  </w:style>
  <w:style w:type="character" w:styleId="895" w:customStyle="1">
    <w:name w:val="Тема примечания Знак"/>
    <w:qFormat/>
    <w:rPr>
      <w:rFonts w:ascii="Times New Roman" w:hAnsi="Times New Roman" w:eastAsia="Times New Roman" w:cs="Times New Roman"/>
      <w:b/>
      <w:bCs/>
    </w:rPr>
  </w:style>
  <w:style w:type="character" w:styleId="896" w:customStyle="1">
    <w:name w:val="середина Знак"/>
    <w:qFormat/>
    <w:rPr>
      <w:rFonts w:ascii="Times New Roman" w:hAnsi="Times New Roman" w:eastAsia="Times New Roman" w:cs="Times New Roman"/>
      <w:sz w:val="26"/>
      <w:szCs w:val="26"/>
      <w:lang w:bidi="hi-IN"/>
    </w:rPr>
  </w:style>
  <w:style w:type="character" w:styleId="897" w:customStyle="1">
    <w:name w:val="дефис Знак"/>
    <w:basedOn w:val="878"/>
    <w:qFormat/>
    <w:rPr>
      <w:rFonts w:ascii="Times New Roman" w:hAnsi="Times New Roman" w:eastAsia="Times New Roman" w:cs="Times New Roman"/>
      <w:sz w:val="24"/>
      <w:szCs w:val="26"/>
    </w:rPr>
  </w:style>
  <w:style w:type="character" w:styleId="898" w:customStyle="1">
    <w:name w:val="Абзац Знак"/>
    <w:qFormat/>
    <w:rPr>
      <w:rFonts w:ascii="Times New Roman" w:hAnsi="Times New Roman" w:eastAsia="Times New Roman" w:cs="Times New Roman"/>
      <w:sz w:val="24"/>
      <w:szCs w:val="24"/>
    </w:rPr>
  </w:style>
  <w:style w:type="character" w:styleId="899" w:customStyle="1">
    <w:name w:val="подпись Знак"/>
    <w:qFormat/>
    <w:rPr>
      <w:rFonts w:ascii="Times New Roman" w:hAnsi="Times New Roman" w:eastAsia="Times New Roman" w:cs="Times New Roman"/>
      <w:sz w:val="26"/>
      <w:szCs w:val="26"/>
    </w:rPr>
  </w:style>
  <w:style w:type="character" w:styleId="900" w:customStyle="1">
    <w:name w:val="дата Знак"/>
    <w:qFormat/>
  </w:style>
  <w:style w:type="character" w:styleId="901" w:customStyle="1">
    <w:name w:val="Без интервала Знак"/>
    <w:qFormat/>
    <w:rPr>
      <w:rFonts w:ascii="Times New Roman" w:hAnsi="Times New Roman" w:eastAsia="Times New Roman" w:cs="Times New Roman"/>
      <w:sz w:val="28"/>
    </w:rPr>
  </w:style>
  <w:style w:type="character" w:styleId="902" w:customStyle="1">
    <w:name w:val="Заголовок 1 Знак"/>
    <w:qFormat/>
    <w:rPr>
      <w:rFonts w:ascii="Cambria" w:hAnsi="Cambria" w:eastAsia="Times New Roman" w:cs="Cambria"/>
      <w:b/>
      <w:bCs/>
      <w:sz w:val="32"/>
      <w:szCs w:val="32"/>
    </w:rPr>
  </w:style>
  <w:style w:type="character" w:styleId="903" w:customStyle="1">
    <w:name w:val="Основной текст Знак"/>
    <w:qFormat/>
    <w:rPr>
      <w:rFonts w:ascii="Times New Roman" w:hAnsi="Times New Roman" w:eastAsia="Times New Roman" w:cs="Times New Roman"/>
      <w:sz w:val="24"/>
      <w:szCs w:val="24"/>
      <w:lang w:bidi="hi-IN"/>
    </w:rPr>
  </w:style>
  <w:style w:type="character" w:styleId="904" w:customStyle="1">
    <w:name w:val="Основной текст с отступом Знак"/>
    <w:qFormat/>
    <w:rPr>
      <w:rFonts w:ascii="Times New Roman" w:hAnsi="Times New Roman" w:eastAsia="Times New Roman" w:cs="Times New Roman"/>
      <w:sz w:val="24"/>
      <w:szCs w:val="24"/>
      <w:lang w:bidi="hi-IN"/>
    </w:rPr>
  </w:style>
  <w:style w:type="paragraph" w:styleId="905" w:customStyle="1">
    <w:name w:val="Heading"/>
    <w:basedOn w:val="739"/>
    <w:next w:val="751"/>
    <w:qFormat/>
    <w:pPr>
      <w:jc w:val="left"/>
      <w:keepNext/>
      <w:spacing w:before="240" w:line="100" w:lineRule="atLeast"/>
      <w:widowControl w:val="off"/>
    </w:pPr>
    <w:rPr>
      <w:rFonts w:ascii="Arial" w:hAnsi="Arial" w:cs="Arial"/>
      <w:b/>
      <w:bCs/>
      <w:lang w:bidi="hi-IN"/>
    </w:rPr>
  </w:style>
  <w:style w:type="paragraph" w:styleId="906" w:customStyle="1">
    <w:name w:val="Index"/>
    <w:basedOn w:val="739"/>
    <w:qFormat/>
    <w:pPr>
      <w:suppressLineNumbers/>
    </w:pPr>
  </w:style>
  <w:style w:type="paragraph" w:styleId="907" w:customStyle="1">
    <w:name w:val="Название объекта2"/>
    <w:basedOn w:val="739"/>
    <w:qFormat/>
    <w:pPr>
      <w:spacing w:before="120" w:after="120"/>
      <w:suppressLineNumbers/>
    </w:pPr>
    <w:rPr>
      <w:rFonts w:cs="Arial"/>
      <w:i/>
      <w:iCs/>
      <w:sz w:val="24"/>
      <w:szCs w:val="24"/>
    </w:rPr>
  </w:style>
  <w:style w:type="paragraph" w:styleId="908" w:customStyle="1">
    <w:name w:val="Указатель2"/>
    <w:basedOn w:val="739"/>
    <w:qFormat/>
    <w:pPr>
      <w:suppressLineNumbers/>
    </w:pPr>
    <w:rPr>
      <w:rFonts w:cs="Arial"/>
    </w:rPr>
  </w:style>
  <w:style w:type="paragraph" w:styleId="909" w:customStyle="1">
    <w:name w:val="Название объекта1"/>
    <w:basedOn w:val="739"/>
    <w:qFormat/>
    <w:pPr>
      <w:spacing w:before="120" w:after="120"/>
      <w:suppressLineNumbers/>
    </w:pPr>
    <w:rPr>
      <w:rFonts w:cs="Arial"/>
      <w:i/>
      <w:iCs/>
      <w:sz w:val="24"/>
      <w:szCs w:val="24"/>
    </w:rPr>
  </w:style>
  <w:style w:type="paragraph" w:styleId="910" w:customStyle="1">
    <w:name w:val="Указатель1"/>
    <w:basedOn w:val="739"/>
    <w:qFormat/>
    <w:pPr>
      <w:suppressLineNumbers/>
    </w:pPr>
    <w:rPr>
      <w:rFonts w:cs="Arial"/>
    </w:rPr>
  </w:style>
  <w:style w:type="paragraph" w:styleId="911">
    <w:name w:val="List Paragraph"/>
    <w:basedOn w:val="739"/>
    <w:qFormat/>
    <w:pPr>
      <w:contextualSpacing/>
      <w:ind w:left="720"/>
    </w:pPr>
    <w:rPr>
      <w:szCs w:val="20"/>
    </w:rPr>
  </w:style>
  <w:style w:type="paragraph" w:styleId="912" w:customStyle="1">
    <w:name w:val="пункт"/>
    <w:basedOn w:val="911"/>
    <w:qFormat/>
    <w:pPr>
      <w:ind w:left="0" w:firstLine="851"/>
      <w:jc w:val="both"/>
    </w:pPr>
    <w:rPr>
      <w:sz w:val="24"/>
      <w:szCs w:val="24"/>
    </w:rPr>
  </w:style>
  <w:style w:type="paragraph" w:styleId="913" w:customStyle="1">
    <w:name w:val="абзац"/>
    <w:basedOn w:val="739"/>
    <w:qFormat/>
    <w:pPr>
      <w:ind w:firstLine="709"/>
      <w:jc w:val="both"/>
    </w:pPr>
    <w:rPr>
      <w:sz w:val="26"/>
      <w:szCs w:val="26"/>
    </w:rPr>
  </w:style>
  <w:style w:type="paragraph" w:styleId="914">
    <w:name w:val="No Spacing"/>
    <w:qFormat/>
    <w:rPr>
      <w:sz w:val="28"/>
      <w:lang w:eastAsia="zh-CN"/>
    </w:rPr>
  </w:style>
  <w:style w:type="paragraph" w:styleId="915" w:customStyle="1">
    <w:name w:val="подпункт"/>
    <w:basedOn w:val="912"/>
    <w:qFormat/>
    <w:pPr>
      <w:numPr>
        <w:ilvl w:val="0"/>
        <w:numId w:val="2"/>
      </w:numPr>
    </w:pPr>
    <w:rPr>
      <w:sz w:val="26"/>
      <w:szCs w:val="26"/>
    </w:rPr>
  </w:style>
  <w:style w:type="paragraph" w:styleId="916" w:customStyle="1">
    <w:name w:val="название"/>
    <w:basedOn w:val="739"/>
    <w:qFormat/>
    <w:pPr>
      <w:ind w:right="4253"/>
      <w:jc w:val="both"/>
    </w:pPr>
    <w:rPr>
      <w:sz w:val="26"/>
      <w:szCs w:val="26"/>
    </w:rPr>
  </w:style>
  <w:style w:type="paragraph" w:styleId="917" w:customStyle="1">
    <w:name w:val="черточка"/>
    <w:basedOn w:val="915"/>
    <w:qFormat/>
    <w:pPr>
      <w:numPr>
        <w:ilvl w:val="0"/>
        <w:numId w:val="3"/>
      </w:numPr>
      <w:ind w:left="284" w:hanging="284"/>
      <w:tabs>
        <w:tab w:val="left" w:pos="284" w:leader="none"/>
      </w:tabs>
    </w:pPr>
    <w:rPr>
      <w:sz w:val="24"/>
    </w:rPr>
  </w:style>
  <w:style w:type="paragraph" w:styleId="918" w:customStyle="1">
    <w:name w:val="под1"/>
    <w:basedOn w:val="915"/>
    <w:qFormat/>
    <w:pPr>
      <w:ind w:left="0" w:firstLine="567"/>
      <w:tabs>
        <w:tab w:val="left" w:pos="851" w:leader="none"/>
      </w:tabs>
    </w:pPr>
  </w:style>
  <w:style w:type="paragraph" w:styleId="919" w:customStyle="1">
    <w:name w:val="прик"/>
    <w:basedOn w:val="739"/>
    <w:qFormat/>
    <w:pPr>
      <w:ind w:firstLine="709"/>
      <w:spacing w:after="240"/>
    </w:pPr>
    <w:rPr>
      <w:sz w:val="24"/>
      <w:szCs w:val="24"/>
    </w:rPr>
  </w:style>
  <w:style w:type="paragraph" w:styleId="920" w:customStyle="1">
    <w:name w:val="Верхний и нижний колонтитулы"/>
    <w:basedOn w:val="739"/>
    <w:qFormat/>
    <w:pPr>
      <w:tabs>
        <w:tab w:val="center" w:pos="4819" w:leader="none"/>
        <w:tab w:val="right" w:pos="9638" w:leader="none"/>
      </w:tabs>
      <w:suppressLineNumbers/>
    </w:pPr>
  </w:style>
  <w:style w:type="paragraph" w:styleId="921" w:customStyle="1">
    <w:name w:val="Header and Footer"/>
    <w:basedOn w:val="739"/>
    <w:qFormat/>
    <w:pPr>
      <w:tabs>
        <w:tab w:val="center" w:pos="4819" w:leader="none"/>
        <w:tab w:val="right" w:pos="9638" w:leader="none"/>
      </w:tabs>
      <w:suppressLineNumbers/>
    </w:pPr>
  </w:style>
  <w:style w:type="paragraph" w:styleId="922" w:customStyle="1">
    <w:name w:val="пункты"/>
    <w:basedOn w:val="912"/>
    <w:qFormat/>
    <w:pPr>
      <w:ind w:left="1920" w:hanging="360"/>
      <w:tabs>
        <w:tab w:val="left" w:pos="709" w:leader="none"/>
        <w:tab w:val="left" w:pos="1560" w:leader="none"/>
      </w:tabs>
    </w:pPr>
    <w:rPr>
      <w:b/>
      <w:sz w:val="26"/>
      <w:szCs w:val="26"/>
    </w:rPr>
  </w:style>
  <w:style w:type="paragraph" w:styleId="923" w:customStyle="1">
    <w:name w:val="приложение2"/>
    <w:basedOn w:val="739"/>
    <w:qFormat/>
    <w:pPr>
      <w:ind w:left="5103"/>
      <w:jc w:val="right"/>
      <w:tabs>
        <w:tab w:val="left" w:pos="1100" w:leader="none"/>
      </w:tabs>
    </w:pPr>
    <w:rPr>
      <w:i/>
      <w:sz w:val="26"/>
      <w:szCs w:val="26"/>
      <w:lang w:bidi="hi-IN"/>
    </w:rPr>
  </w:style>
  <w:style w:type="paragraph" w:styleId="924" w:customStyle="1">
    <w:name w:val="середина1"/>
    <w:basedOn w:val="739"/>
    <w:qFormat/>
    <w:rPr>
      <w:b/>
    </w:rPr>
  </w:style>
  <w:style w:type="paragraph" w:styleId="925" w:customStyle="1">
    <w:name w:val="текст"/>
    <w:basedOn w:val="913"/>
    <w:qFormat/>
    <w:pPr>
      <w:ind w:firstLine="0"/>
    </w:pPr>
    <w:rPr>
      <w:sz w:val="24"/>
      <w:szCs w:val="24"/>
      <w:lang w:bidi="hi-IN"/>
    </w:rPr>
  </w:style>
  <w:style w:type="paragraph" w:styleId="926" w:customStyle="1">
    <w:name w:val="Default"/>
    <w:qFormat/>
    <w:rPr>
      <w:rFonts w:eastAsia="Calibri"/>
      <w:color w:val="000000"/>
      <w:sz w:val="24"/>
      <w:szCs w:val="24"/>
      <w:lang w:eastAsia="zh-CN"/>
    </w:rPr>
  </w:style>
  <w:style w:type="paragraph" w:styleId="927" w:customStyle="1">
    <w:name w:val="абз"/>
    <w:basedOn w:val="913"/>
    <w:qFormat/>
    <w:pPr>
      <w:spacing w:after="120"/>
    </w:pPr>
  </w:style>
  <w:style w:type="paragraph" w:styleId="928" w:customStyle="1">
    <w:name w:val="приложение"/>
    <w:basedOn w:val="739"/>
    <w:qFormat/>
    <w:pPr>
      <w:ind w:left="3969"/>
      <w:jc w:val="right"/>
      <w:pageBreakBefore/>
    </w:pPr>
    <w:rPr>
      <w:sz w:val="20"/>
      <w:szCs w:val="20"/>
    </w:rPr>
  </w:style>
  <w:style w:type="paragraph" w:styleId="929" w:customStyle="1">
    <w:name w:val="приложение1"/>
    <w:basedOn w:val="739"/>
    <w:qFormat/>
    <w:pPr>
      <w:ind w:left="5103"/>
      <w:jc w:val="right"/>
      <w:pageBreakBefore/>
      <w:spacing w:after="240"/>
      <w:tabs>
        <w:tab w:val="left" w:pos="1100" w:leader="none"/>
      </w:tabs>
    </w:pPr>
  </w:style>
  <w:style w:type="paragraph" w:styleId="930" w:customStyle="1">
    <w:name w:val="середина2"/>
    <w:basedOn w:val="924"/>
    <w:qFormat/>
    <w:rPr>
      <w:b w:val="0"/>
    </w:rPr>
  </w:style>
  <w:style w:type="paragraph" w:styleId="931" w:customStyle="1">
    <w:name w:val="середина"/>
    <w:basedOn w:val="739"/>
    <w:qFormat/>
    <w:rPr>
      <w:sz w:val="26"/>
      <w:szCs w:val="26"/>
      <w:lang w:bidi="hi-IN"/>
    </w:rPr>
  </w:style>
  <w:style w:type="paragraph" w:styleId="932" w:customStyle="1">
    <w:name w:val="дефис"/>
    <w:basedOn w:val="917"/>
    <w:qFormat/>
  </w:style>
  <w:style w:type="paragraph" w:styleId="933" w:customStyle="1">
    <w:name w:val="подпись"/>
    <w:basedOn w:val="739"/>
    <w:qFormat/>
    <w:rPr>
      <w:sz w:val="26"/>
      <w:szCs w:val="26"/>
    </w:rPr>
  </w:style>
  <w:style w:type="paragraph" w:styleId="934" w:customStyle="1">
    <w:name w:val="Абзац"/>
    <w:basedOn w:val="739"/>
    <w:qFormat/>
    <w:pPr>
      <w:ind w:firstLine="720"/>
      <w:jc w:val="both"/>
      <w:spacing w:line="276" w:lineRule="auto"/>
    </w:pPr>
    <w:rPr>
      <w:sz w:val="24"/>
      <w:szCs w:val="24"/>
    </w:rPr>
  </w:style>
  <w:style w:type="paragraph" w:styleId="935" w:customStyle="1">
    <w:name w:val="дата"/>
    <w:basedOn w:val="922"/>
    <w:qFormat/>
    <w:pPr>
      <w:ind w:left="851" w:hanging="567"/>
    </w:pPr>
  </w:style>
  <w:style w:type="paragraph" w:styleId="936" w:customStyle="1">
    <w:name w:val="Текст1"/>
    <w:basedOn w:val="739"/>
    <w:qFormat/>
    <w:pPr>
      <w:jc w:val="left"/>
      <w:spacing w:line="100" w:lineRule="atLeast"/>
    </w:pPr>
    <w:rPr>
      <w:rFonts w:ascii="Courier New" w:hAnsi="Courier New" w:cs="Courier New"/>
      <w:sz w:val="20"/>
      <w:szCs w:val="20"/>
      <w:lang w:bidi="hi-IN"/>
    </w:rPr>
  </w:style>
  <w:style w:type="paragraph" w:styleId="937" w:customStyle="1">
    <w:name w:val="Без интервала1"/>
    <w:qFormat/>
    <w:pPr>
      <w:spacing w:line="100" w:lineRule="atLeast"/>
    </w:pPr>
    <w:rPr>
      <w:sz w:val="24"/>
      <w:szCs w:val="24"/>
      <w:lang w:eastAsia="zh-CN" w:bidi="hi-IN"/>
    </w:rPr>
  </w:style>
  <w:style w:type="paragraph" w:styleId="938" w:customStyle="1">
    <w:name w:val="Содержимое таблицы"/>
    <w:basedOn w:val="739"/>
    <w:qFormat/>
    <w:pPr>
      <w:jc w:val="left"/>
      <w:spacing w:line="100" w:lineRule="atLeast"/>
      <w:widowControl w:val="off"/>
      <w:suppressLineNumbers/>
    </w:pPr>
    <w:rPr>
      <w:rFonts w:cs="Tahoma"/>
      <w:color w:val="000000"/>
      <w:sz w:val="24"/>
      <w:szCs w:val="24"/>
      <w:lang w:val="en-US" w:bidi="hi-IN"/>
    </w:rPr>
  </w:style>
  <w:style w:type="paragraph" w:styleId="939" w:customStyle="1">
    <w:name w:val="Заголовок таблицы"/>
    <w:basedOn w:val="938"/>
    <w:qFormat/>
    <w:pPr>
      <w:jc w:val="center"/>
    </w:pPr>
    <w:rPr>
      <w:b/>
      <w:bCs/>
    </w:rPr>
  </w:style>
  <w:style w:type="paragraph" w:styleId="940" w:customStyle="1">
    <w:name w:val="Table Contents"/>
    <w:basedOn w:val="739"/>
    <w:qFormat/>
    <w:pPr>
      <w:widowControl w:val="off"/>
      <w:suppressLineNumbers/>
    </w:pPr>
  </w:style>
  <w:style w:type="paragraph" w:styleId="941" w:customStyle="1">
    <w:name w:val="Table Heading"/>
    <w:basedOn w:val="940"/>
    <w:qFormat/>
    <w:rPr>
      <w:b/>
      <w:bCs/>
    </w:rPr>
  </w:style>
  <w:style w:type="paragraph" w:styleId="942" w:customStyle="1">
    <w:name w:val="msonormal"/>
    <w:basedOn w:val="739"/>
    <w:qFormat/>
    <w:pPr>
      <w:jc w:val="left"/>
      <w:spacing w:before="100" w:beforeAutospacing="1" w:after="100" w:afterAutospacing="1"/>
    </w:pPr>
    <w:rPr>
      <w:sz w:val="24"/>
      <w:szCs w:val="24"/>
      <w:lang w:eastAsia="ru-RU"/>
    </w:rPr>
  </w:style>
  <w:style w:type="table" w:styleId="943" w:customStyle="1">
    <w:name w:val="Сетка таблицы111"/>
    <w:basedOn w:val="742"/>
    <w:next w:val="944"/>
    <w:uiPriority w:val="39"/>
    <w:rPr>
      <w:rFonts w:ascii="Calibri" w:hAnsi="Calibri" w:eastAsia="Calibr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44">
    <w:name w:val="Table Grid"/>
    <w:basedOn w:val="742"/>
    <w:uiPriority w:val="39"/>
    <w:unhideWhenUsed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945" w:customStyle="1">
    <w:name w:val="Сетка таблицы1"/>
    <w:basedOn w:val="742"/>
    <w:next w:val="944"/>
    <w:uiPriority w:val="39"/>
    <w:rPr>
      <w:rFonts w:asciiTheme="minorHAnsi" w:hAnsiTheme="minorHAnsi" w:eastAsiaTheme="minorHAnsi" w:cstheme="minorBidi"/>
      <w:sz w:val="22"/>
      <w:szCs w:val="22"/>
      <w:lang w:eastAsia="en-U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footer" Target="footer1.xml" /><Relationship Id="rId15" Type="http://schemas.openxmlformats.org/officeDocument/2006/relationships/footer" Target="footer2.xml" /><Relationship Id="rId16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Р7-Офис/2025.3.1.923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a.shekhonina</cp:lastModifiedBy>
  <cp:revision>2</cp:revision>
  <dcterms:created xsi:type="dcterms:W3CDTF">2026-07-30T13:36:00Z</dcterms:created>
  <dcterms:modified xsi:type="dcterms:W3CDTF">2026-09-17T05:59:01Z</dcterms:modified>
</cp:coreProperties>
</file>