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8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Договор № </w:t>
      </w:r>
      <w:r>
        <w:rPr>
          <w:sz w:val="23"/>
          <w:szCs w:val="23"/>
        </w:rPr>
      </w:r>
      <w:r>
        <w:rPr>
          <w:sz w:val="23"/>
          <w:szCs w:val="23"/>
        </w:rPr>
      </w:r>
    </w:p>
    <w:tbl>
      <w:tblPr>
        <w:tblW w:w="1013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94"/>
        <w:gridCol w:w="5042"/>
      </w:tblGrid>
      <w:tr>
        <w:tblPrEx/>
        <w:trPr/>
        <w:tc>
          <w:tcPr>
            <w:tcW w:w="5094" w:type="dxa"/>
            <w:textDirection w:val="lrTb"/>
            <w:noWrap w:val="false"/>
          </w:tcPr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Ленинградская область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tcW w:w="5042" w:type="dxa"/>
            <w:textDirection w:val="lrTb"/>
            <w:noWrap w:val="false"/>
          </w:tcPr>
          <w:p>
            <w:pPr>
              <w:pStyle w:val="780"/>
              <w:jc w:val="righ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«____»              2026 г.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pStyle w:val="780"/>
        <w:rPr>
          <w:sz w:val="23"/>
          <w:szCs w:val="23"/>
        </w:rPr>
      </w:pPr>
      <w:r>
        <w:rPr>
          <w:sz w:val="23"/>
          <w:szCs w:val="23"/>
        </w:rPr>
        <w:t xml:space="preserve">г. Кировск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spacing w:before="0" w:after="0"/>
        <w:rPr>
          <w:sz w:val="23"/>
          <w:szCs w:val="23"/>
        </w:rPr>
      </w:pPr>
      <w:r>
        <w:rPr>
          <w:b/>
          <w:sz w:val="24"/>
          <w:szCs w:val="24"/>
        </w:rPr>
        <w:t xml:space="preserve">Государственное казенное учреждение Ленинградской области «Ленинградская областная противопожарно-спасательная служба»,</w:t>
      </w:r>
      <w:r>
        <w:rPr>
          <w:sz w:val="24"/>
          <w:szCs w:val="24"/>
        </w:rPr>
        <w:t xml:space="preserve"> (ГКУ «Леноблпожспас)</w:t>
      </w:r>
      <w:r>
        <w:rPr>
          <w:iCs/>
          <w:sz w:val="24"/>
          <w:szCs w:val="24"/>
        </w:rPr>
        <w:t xml:space="preserve">, именуемое в дальнейшем </w:t>
      </w:r>
      <w:r>
        <w:rPr>
          <w:b/>
          <w:sz w:val="24"/>
          <w:szCs w:val="24"/>
        </w:rPr>
        <w:t xml:space="preserve">Заказчик</w:t>
      </w:r>
      <w:r>
        <w:rPr>
          <w:iCs/>
          <w:sz w:val="24"/>
          <w:szCs w:val="24"/>
        </w:rPr>
        <w:t xml:space="preserve">, в лице заместителя начальника учреждения Васильченко Дмитрия Анатольевича, </w:t>
      </w:r>
      <w:r>
        <w:rPr>
          <w:sz w:val="24"/>
          <w:szCs w:val="24"/>
        </w:rPr>
        <w:t xml:space="preserve">действующего на основании Доверенности от 18 октября 2022 года (бланк 47 БА 3509546, зарегистрирована в реестре за № 47/35-н/47-2022-5-303),</w:t>
      </w:r>
      <w:r>
        <w:rPr>
          <w:sz w:val="23"/>
          <w:szCs w:val="23"/>
        </w:rPr>
        <w:t xml:space="preserve"> с одной стороны, и 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ind w:firstLine="709"/>
        <w:jc w:val="both"/>
        <w:spacing w:before="0" w:after="0"/>
        <w:rPr>
          <w:sz w:val="23"/>
          <w:szCs w:val="23"/>
        </w:rPr>
      </w:pPr>
      <w:r>
        <w:rPr>
          <w:sz w:val="23"/>
          <w:szCs w:val="23"/>
        </w:rPr>
      </w:r>
      <w:r>
        <w:rPr>
          <w:b/>
          <w:bCs/>
          <w:sz w:val="24"/>
          <w:szCs w:val="23"/>
        </w:rPr>
        <w:t xml:space="preserve">________________________,</w:t>
      </w:r>
      <w:r>
        <w:rPr>
          <w:sz w:val="24"/>
          <w:szCs w:val="23"/>
        </w:rPr>
        <w:t xml:space="preserve"> в лице ____________________, действующего на основании ___________</w:t>
      </w:r>
      <w:r>
        <w:rPr>
          <w:sz w:val="23"/>
          <w:szCs w:val="23"/>
        </w:rPr>
        <w:t xml:space="preserve">, с другой стороны,</w:t>
      </w:r>
      <w:r>
        <w:rPr>
          <w:sz w:val="24"/>
          <w:szCs w:val="23"/>
        </w:rPr>
        <w:t xml:space="preserve"> на основании  п.4 ч.1 ст.93 Федерального закона № 44-ФЗ от 05.04.2013 года, </w:t>
      </w:r>
      <w:r>
        <w:rPr>
          <w:sz w:val="23"/>
          <w:szCs w:val="23"/>
        </w:rPr>
        <w:t xml:space="preserve">заключили настоящий договор о нижеследующем: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jc w:val="center"/>
        <w:rPr>
          <w:sz w:val="23"/>
          <w:szCs w:val="23"/>
        </w:rPr>
      </w:pPr>
      <w:r>
        <w:rPr>
          <w:b/>
          <w:sz w:val="23"/>
          <w:szCs w:val="23"/>
        </w:rPr>
        <w:t xml:space="preserve">1. Предмет договора.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tabs>
          <w:tab w:val="left" w:pos="426" w:leader="none"/>
          <w:tab w:val="clear" w:pos="708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1.1. Заказчик поручает, а Исполнитель выполняет услуги по утилиз</w:t>
      </w:r>
      <w:r>
        <w:rPr>
          <w:sz w:val="23"/>
          <w:szCs w:val="23"/>
        </w:rPr>
        <w:t xml:space="preserve">ации аппаратных средств, разборке (переработке) оборудования, с целью извлечения возможно содержащихся в нем драгоценных металлов, имеющего полный износ, не подлежащего ремонту и использованию, не содержащего радиоактивных, взрывчатых и токсичных веществ.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823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.2. Услуги оказываются силами и средствами Исполнителя в течение 3 (трех) рабочих дней с момента получения Исполнителем письменной заявки от Заказчика, составленной в произвольной форме и направленной на электронный адрес Исполнителя: ________________</w:t>
      </w:r>
      <w:r>
        <w:rPr>
          <w:sz w:val="24"/>
          <w:szCs w:val="24"/>
        </w:rPr>
      </w:r>
    </w:p>
    <w:p>
      <w:pPr>
        <w:pStyle w:val="780"/>
        <w:ind w:firstLine="709"/>
        <w:jc w:val="both"/>
        <w:tabs>
          <w:tab w:val="left" w:pos="426" w:leader="none"/>
          <w:tab w:val="clear" w:pos="708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1.</w:t>
      </w:r>
      <w:r>
        <w:rPr>
          <w:sz w:val="23"/>
          <w:szCs w:val="23"/>
        </w:rPr>
        <w:t xml:space="preserve">3</w:t>
      </w:r>
      <w:r>
        <w:rPr>
          <w:sz w:val="23"/>
          <w:szCs w:val="23"/>
        </w:rPr>
        <w:t xml:space="preserve">. Заказчик продаёт Исполнителю материалы, полученные после переработки оборудования.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823"/>
        <w:ind w:firstLine="709"/>
        <w:rPr>
          <w:b/>
          <w:sz w:val="23"/>
          <w:szCs w:val="23"/>
        </w:rPr>
      </w:pPr>
      <w:r>
        <w:rPr>
          <w:color w:val="000000"/>
          <w:sz w:val="23"/>
          <w:szCs w:val="23"/>
        </w:rPr>
        <w:t xml:space="preserve">1.</w:t>
      </w:r>
      <w:r>
        <w:rPr>
          <w:color w:val="000000"/>
          <w:sz w:val="23"/>
          <w:szCs w:val="23"/>
        </w:rPr>
        <w:t xml:space="preserve">4</w:t>
      </w:r>
      <w:r>
        <w:rPr>
          <w:color w:val="000000"/>
          <w:sz w:val="23"/>
          <w:szCs w:val="23"/>
        </w:rPr>
        <w:t xml:space="preserve">. ИКЗ: </w:t>
      </w:r>
      <w:r>
        <w:rPr>
          <w:color w:val="000000"/>
          <w:sz w:val="23"/>
          <w:szCs w:val="23"/>
        </w:rPr>
        <w:t xml:space="preserve">262470603110347060100100030000000242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Style w:val="780"/>
        <w:jc w:val="center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jc w:val="center"/>
        <w:rPr>
          <w:b/>
          <w:bCs/>
          <w:sz w:val="23"/>
          <w:szCs w:val="23"/>
          <w:highlight w:val="none"/>
        </w:rPr>
      </w:pPr>
      <w:r>
        <w:rPr>
          <w:b/>
          <w:sz w:val="23"/>
          <w:szCs w:val="23"/>
        </w:rPr>
        <w:t xml:space="preserve">2. Условия поставки.</w:t>
      </w:r>
      <w:r>
        <w:rPr>
          <w:b/>
          <w:bCs/>
          <w:sz w:val="23"/>
          <w:szCs w:val="23"/>
          <w:highlight w:val="none"/>
        </w:rPr>
      </w:r>
      <w:r>
        <w:rPr>
          <w:b/>
          <w:bCs/>
          <w:sz w:val="23"/>
          <w:szCs w:val="23"/>
          <w:highlight w:val="none"/>
        </w:rPr>
      </w:r>
    </w:p>
    <w:p>
      <w:pPr>
        <w:pStyle w:val="780"/>
        <w:ind w:firstLine="709"/>
        <w:jc w:val="both"/>
        <w:tabs>
          <w:tab w:val="left" w:pos="426" w:leader="none"/>
          <w:tab w:val="clear" w:pos="708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2.1. На каждую партию оборудования Заказчик составляет товарную накладную (унифицированная форма – ТОРГ-12) и Опись с указанием: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tabs>
          <w:tab w:val="left" w:pos="426" w:leader="none"/>
          <w:tab w:val="clear" w:pos="708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- отправителя оборудования;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tabs>
          <w:tab w:val="left" w:pos="426" w:leader="none"/>
          <w:tab w:val="clear" w:pos="708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- адреса отправителя;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tabs>
          <w:tab w:val="left" w:pos="426" w:leader="none"/>
          <w:tab w:val="clear" w:pos="708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- номера договора;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tabs>
          <w:tab w:val="left" w:pos="426" w:leader="none"/>
          <w:tab w:val="clear" w:pos="708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- общей массы партии оборудования;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tabs>
          <w:tab w:val="left" w:pos="426" w:leader="none"/>
          <w:tab w:val="clear" w:pos="708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- массовой доли драгоценных металлов (при наличии сведений).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tabs>
          <w:tab w:val="left" w:pos="426" w:leader="none"/>
          <w:tab w:val="clear" w:pos="708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2.2. Опись должна быть составлена в двух экземплярах - по одному для каждой из Сторон.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2.3. Доставка и погрузка/разгрузка оборудования на склад Исполнителя осуществляется силами Исполнителя.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Style w:val="780"/>
        <w:jc w:val="center"/>
        <w:rPr>
          <w:sz w:val="23"/>
          <w:szCs w:val="23"/>
        </w:rPr>
      </w:pPr>
      <w:r>
        <w:rPr>
          <w:b/>
          <w:sz w:val="23"/>
          <w:szCs w:val="23"/>
        </w:rPr>
        <w:t xml:space="preserve">3. Стоимость услуги.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bCs/>
          <w:sz w:val="23"/>
          <w:szCs w:val="23"/>
        </w:rPr>
      </w:pPr>
      <w:r>
        <w:rPr>
          <w:sz w:val="23"/>
          <w:szCs w:val="23"/>
        </w:rPr>
        <w:t xml:space="preserve">3.1. Стоимость услуг составляет:______________</w:t>
      </w:r>
      <w:r>
        <w:rPr>
          <w:sz w:val="23"/>
          <w:szCs w:val="23"/>
        </w:rPr>
        <w:t xml:space="preserve">,</w:t>
      </w:r>
      <w:r>
        <w:rPr>
          <w:sz w:val="23"/>
          <w:szCs w:val="23"/>
        </w:rPr>
        <w:t xml:space="preserve"> за один килограмм оборудования (импортное или крупногабаритное отечественное).</w:t>
      </w:r>
      <w:r>
        <w:rPr>
          <w:bCs/>
          <w:sz w:val="23"/>
          <w:szCs w:val="23"/>
        </w:rPr>
      </w:r>
      <w:r>
        <w:rPr>
          <w:bCs/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3.2. Стоимость работ по переработке партии оборудования вычисляется путем умножения стоимости </w:t>
      </w:r>
      <w:r>
        <w:rPr>
          <w:sz w:val="23"/>
          <w:szCs w:val="23"/>
        </w:rPr>
        <w:t xml:space="preserve">услуг</w:t>
      </w:r>
      <w:r>
        <w:rPr>
          <w:sz w:val="23"/>
          <w:szCs w:val="23"/>
        </w:rPr>
        <w:t xml:space="preserve">, указанной в п. 3.1. на вес фактически поставленного в партии оборудования.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3.3. Сумма настоящего Договора составляет: </w:t>
      </w:r>
      <w:r>
        <w:rPr>
          <w:sz w:val="23"/>
          <w:szCs w:val="23"/>
        </w:rPr>
        <w:t xml:space="preserve">____________________________________</w:t>
      </w:r>
      <w:r>
        <w:rPr>
          <w:sz w:val="23"/>
          <w:szCs w:val="23"/>
        </w:rPr>
      </w:r>
    </w:p>
    <w:p>
      <w:pPr>
        <w:pStyle w:val="780"/>
        <w:ind w:firstLine="426"/>
        <w:jc w:val="center"/>
        <w:rPr>
          <w:sz w:val="23"/>
          <w:szCs w:val="23"/>
        </w:rPr>
      </w:pPr>
      <w:r>
        <w:rPr>
          <w:b/>
          <w:sz w:val="23"/>
          <w:szCs w:val="23"/>
        </w:rPr>
        <w:t xml:space="preserve">4. Обязанности сторон.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Заказчик обязуется: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Передать Исполнителю партию оборудования, подлежащего переработке в соответствии с Описью и товарной накладной.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4.1.2. Оплатить работы по переработке оборудования в соответствии с условиями настоящего Договора. 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В течение трёх рабочих дней со дня предоставления «Акта выполненных работ» передать Исполнителю подписанный Акт или мотивированный отказ.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Исполнитель обязуется: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Принять у Заказчика партию оборудования, подлежащего переработке с составлением приёмного акта.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Выставить счёт Заказчику в соответствии с п. 3.2. настоящего Договора и предоставить Заказчику надлежащим образом оформленный «Акт </w:t>
      </w:r>
      <w:r>
        <w:rPr>
          <w:sz w:val="23"/>
          <w:szCs w:val="23"/>
        </w:rPr>
        <w:t xml:space="preserve">об оказании услуг</w:t>
      </w:r>
      <w:r>
        <w:rPr>
          <w:sz w:val="23"/>
          <w:szCs w:val="23"/>
        </w:rPr>
        <w:t xml:space="preserve">».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Произвести переработку полученного оборудования с выделением из него сырья, содержащего драгоценные металлы (ДМ) и других сопутствующих материалов (СМ) с последующим обращением их в соответствии с законодательством РФ.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По ит</w:t>
      </w:r>
      <w:r>
        <w:rPr>
          <w:sz w:val="23"/>
          <w:szCs w:val="23"/>
        </w:rPr>
        <w:t xml:space="preserve">огам переработки составить и передать Заказчику Акт изменения состояния с указанием в нём веса сырья, содержащего драгоценные металлы и веса сопутствующих металлов. Длительность переработки сырья у переработчика не может превышать 40 (сорока) рабочих дней.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Произвести оплату Заказчику фактически поставленных драгоценных и сопутствующих металлов в соответствии с условиями настоящего договора.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jc w:val="both"/>
        <w:rPr>
          <w:sz w:val="24"/>
          <w:szCs w:val="24"/>
        </w:rPr>
      </w:pPr>
      <w:r>
        <w:rPr>
          <w:sz w:val="23"/>
          <w:szCs w:val="23"/>
        </w:rPr>
        <w:t xml:space="preserve">      </w:t>
      </w:r>
      <w:r>
        <w:rPr>
          <w:sz w:val="23"/>
          <w:szCs w:val="23"/>
        </w:rPr>
        <w:t xml:space="preserve">4.2.6. </w:t>
      </w:r>
      <w:r>
        <w:rPr>
          <w:sz w:val="24"/>
          <w:szCs w:val="24"/>
        </w:rPr>
        <w:t xml:space="preserve">До заключения Договора, в составе заявки на закупку (оферты), предоставить информацию (декларацию) о соответствии требованиям, установленным разделом 8 Договора.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center"/>
        <w:rPr>
          <w:sz w:val="23"/>
          <w:szCs w:val="23"/>
        </w:rPr>
      </w:pPr>
      <w:r>
        <w:rPr>
          <w:b/>
          <w:sz w:val="23"/>
          <w:szCs w:val="23"/>
        </w:rPr>
        <w:t xml:space="preserve">5. </w:t>
      </w:r>
      <w:r>
        <w:rPr>
          <w:b/>
          <w:bCs/>
          <w:sz w:val="23"/>
          <w:szCs w:val="23"/>
        </w:rPr>
        <w:t xml:space="preserve">Порядок расчёта и платежей.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848"/>
        <w:ind w:left="0" w:firstLine="709"/>
        <w:jc w:val="both"/>
        <w:spacing w:before="0" w:after="0"/>
        <w:rPr>
          <w:sz w:val="23"/>
          <w:szCs w:val="23"/>
        </w:rPr>
      </w:pPr>
      <w:r>
        <w:rPr>
          <w:sz w:val="23"/>
          <w:szCs w:val="23"/>
        </w:rPr>
        <w:t xml:space="preserve">5.1. Заказчик оплачивает фактическую стоимость работ (услуг) в течение  </w:t>
      </w:r>
      <w:r>
        <w:rPr>
          <w:sz w:val="24"/>
          <w:szCs w:val="24"/>
        </w:rPr>
        <w:t xml:space="preserve">7 (семи) </w:t>
      </w:r>
      <w:r>
        <w:rPr>
          <w:sz w:val="23"/>
          <w:szCs w:val="23"/>
        </w:rPr>
        <w:t xml:space="preserve">рабочих дней на основании выставленного Сторонами «Акта </w:t>
      </w:r>
      <w:r>
        <w:rPr>
          <w:sz w:val="23"/>
          <w:szCs w:val="23"/>
        </w:rPr>
        <w:t xml:space="preserve">об оказании услуг</w:t>
      </w:r>
      <w:r>
        <w:rPr>
          <w:sz w:val="23"/>
          <w:szCs w:val="23"/>
        </w:rPr>
        <w:t xml:space="preserve">» и выставления счёта на оплату Исполнителем.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848"/>
        <w:ind w:left="0" w:firstLine="709"/>
        <w:jc w:val="both"/>
        <w:spacing w:before="0" w:after="0"/>
        <w:rPr>
          <w:bCs/>
          <w:sz w:val="23"/>
          <w:szCs w:val="23"/>
        </w:rPr>
      </w:pPr>
      <w:r>
        <w:rPr>
          <w:sz w:val="23"/>
          <w:szCs w:val="23"/>
        </w:rPr>
        <w:t xml:space="preserve">5.2. Исполнитель оплачивает Заказчику фактически поставленные драгоценные металлы в следующем порядке:</w:t>
      </w:r>
      <w:r>
        <w:rPr>
          <w:bCs/>
          <w:sz w:val="23"/>
          <w:szCs w:val="23"/>
        </w:rPr>
      </w:r>
      <w:r>
        <w:rPr>
          <w:bCs/>
          <w:sz w:val="23"/>
          <w:szCs w:val="23"/>
        </w:rPr>
      </w:r>
    </w:p>
    <w:p>
      <w:pPr>
        <w:pStyle w:val="780"/>
        <w:ind w:firstLine="709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5.2.1. Стоимость втори</w:t>
      </w:r>
      <w:r>
        <w:rPr>
          <w:sz w:val="23"/>
          <w:szCs w:val="23"/>
        </w:rPr>
        <w:t xml:space="preserve">чных ДМ устанавливается в рублях за 1 грамм металла в сырье в соответствии с действующим Прейскурантом стоимости покупки вторичного сырья, содержащего ДМ (приложение №1 к Договору) и включает в себя все налоги, предусмотренные Российским законодательством.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bCs/>
          <w:sz w:val="23"/>
          <w:szCs w:val="23"/>
        </w:rPr>
        <w:t xml:space="preserve">5.2.2. Паспорт-расчёт, подтверждающий количество ДМ в поставленном сырье, содержащем ДМ и расчетом оплаты за поставленные ДМ, выписывается </w:t>
      </w:r>
      <w:r>
        <w:rPr>
          <w:sz w:val="23"/>
          <w:szCs w:val="23"/>
        </w:rPr>
        <w:t xml:space="preserve">Исполнителем Заказчику на основании Акта входного контроля </w:t>
      </w:r>
      <w:r>
        <w:rPr>
          <w:bCs/>
          <w:sz w:val="23"/>
          <w:szCs w:val="23"/>
        </w:rPr>
        <w:t xml:space="preserve">в течение 10 (десяти) рабочих дней со дня согласования Акта входного контроля. В течение 10 (десяти) рабочих дней со дня получения всех паспортов от специализированных предприятий, которым было передано сырьё </w:t>
      </w:r>
      <w:r>
        <w:rPr>
          <w:sz w:val="23"/>
          <w:szCs w:val="23"/>
        </w:rPr>
        <w:t xml:space="preserve">Заказчика, Исполнитель передает Заказчику выписанный на их основании паспорт-расчет.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5.2.3. Перечисление Заказчику денежных средств за ДМ производится в течение 5 (пяти) банковских дней с момента получения от Заказчика счета на оплату, товарной накладной </w:t>
      </w:r>
      <w:r>
        <w:rPr>
          <w:bCs/>
          <w:sz w:val="23"/>
          <w:szCs w:val="23"/>
        </w:rPr>
        <w:t xml:space="preserve">с указанием перечисляемой суммы. При этом в случае, если оплата была произведена по паспорту-расчету, выписанному на основании Акта входного контроля, оплата считается произведенной в полном объеме и в дальнейшем перерасчет между сторонами не производится.</w:t>
      </w:r>
      <w:r>
        <w:rPr>
          <w:bCs/>
          <w:sz w:val="23"/>
          <w:szCs w:val="23"/>
        </w:rPr>
      </w:r>
      <w:r>
        <w:rPr>
          <w:bCs/>
          <w:sz w:val="23"/>
          <w:szCs w:val="23"/>
        </w:rPr>
      </w:r>
    </w:p>
    <w:p>
      <w:pPr>
        <w:pStyle w:val="848"/>
        <w:ind w:left="0" w:firstLine="709"/>
        <w:jc w:val="both"/>
        <w:spacing w:before="0" w:after="0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5.3. </w:t>
      </w:r>
      <w:r>
        <w:rPr>
          <w:sz w:val="23"/>
          <w:szCs w:val="23"/>
        </w:rPr>
        <w:t xml:space="preserve">Исполнитель производит оплату Заказчику фактически поставленных сопутствующих металлов в следующем порядке:</w:t>
      </w:r>
      <w:r>
        <w:rPr>
          <w:bCs/>
          <w:sz w:val="23"/>
          <w:szCs w:val="23"/>
        </w:rPr>
      </w:r>
      <w:r>
        <w:rPr>
          <w:bCs/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bCs/>
          <w:sz w:val="23"/>
          <w:szCs w:val="23"/>
        </w:rPr>
        <w:t xml:space="preserve">5.3.1. </w:t>
      </w:r>
      <w:r>
        <w:rPr>
          <w:sz w:val="23"/>
          <w:szCs w:val="23"/>
        </w:rPr>
        <w:t xml:space="preserve">Стоимость сопутствующих металлов (СМ) устанавливается в рублях за 1 килограмм металла в сырье в соответствии с Прейскурантом стоимости покупки сопут</w:t>
      </w:r>
      <w:r>
        <w:rPr>
          <w:sz w:val="23"/>
          <w:szCs w:val="23"/>
        </w:rPr>
        <w:t xml:space="preserve">ствующего сырья (приложение № 2 к договору) и включает в себя все налоги, предусмотренные Российским законодательством. В качестве базовой цены принимается средняя цена на черные и цветные металлы в г. Санкт-Петербурге, которая указывается в приёмном акте.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bCs/>
          <w:sz w:val="23"/>
          <w:szCs w:val="23"/>
        </w:rPr>
      </w:pPr>
      <w:r>
        <w:rPr>
          <w:sz w:val="23"/>
          <w:szCs w:val="23"/>
        </w:rPr>
        <w:t xml:space="preserve">5.3.2. </w:t>
      </w:r>
      <w:r>
        <w:rPr>
          <w:bCs/>
          <w:sz w:val="23"/>
          <w:szCs w:val="23"/>
        </w:rPr>
        <w:t xml:space="preserve">Перечисление Заказчику денежных средств за СМ производится в течение 5 (пяти) банковских дней с момента получения от заказчика счета на оплату, товарной накладной с указанием перечисляемой суммы.</w:t>
      </w:r>
      <w:r>
        <w:rPr>
          <w:bCs/>
          <w:sz w:val="23"/>
          <w:szCs w:val="23"/>
        </w:rPr>
      </w:r>
      <w:r>
        <w:rPr>
          <w:bCs/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jc w:val="center"/>
        <w:rPr>
          <w:sz w:val="23"/>
          <w:szCs w:val="23"/>
        </w:rPr>
      </w:pPr>
      <w:r>
        <w:rPr>
          <w:b/>
          <w:sz w:val="23"/>
          <w:szCs w:val="23"/>
        </w:rPr>
        <w:t xml:space="preserve">6. Обстоятельства непреодолимой силы.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9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6.1. Ни одна из Сторон не не</w:t>
      </w:r>
      <w:r>
        <w:rPr>
          <w:sz w:val="23"/>
          <w:szCs w:val="23"/>
        </w:rPr>
        <w:t xml:space="preserve">сёт ответственности за полное или частичное невыполнение своих обязательств по настоящему Договору, если это невыполнение связано с действием обстоятельств непреодолимой силы, как то: наводнение, землетрясение или другие стихийные бедствия, блокады, и т.п.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6.2</w:t>
      </w:r>
      <w:r>
        <w:rPr>
          <w:b/>
          <w:sz w:val="23"/>
          <w:szCs w:val="23"/>
        </w:rPr>
        <w:t xml:space="preserve">. </w:t>
      </w:r>
      <w:r>
        <w:rPr>
          <w:sz w:val="23"/>
          <w:szCs w:val="23"/>
        </w:rPr>
        <w:t xml:space="preserve">Если одно из обстоятельств непреодолимой силы повлияет на возможность выполнения Сторонами </w:t>
      </w:r>
      <w:r>
        <w:rPr>
          <w:sz w:val="23"/>
          <w:szCs w:val="23"/>
        </w:rPr>
        <w:t xml:space="preserve">обязательств по настоящему Договору, сроки их выполнения продлеваются соответственно на срок действия обстоятельств непреодолимой силы. Сторона, для которой выполнение обязательства по настоящему Договору, стало невозможным вследствие наступления указанных</w:t>
      </w:r>
      <w:r>
        <w:rPr>
          <w:sz w:val="23"/>
          <w:szCs w:val="23"/>
        </w:rPr>
        <w:t xml:space="preserve"> обстоятельств, должна в кратчайшие сроки письменно проинформировать другую Сторону о начале и времени прекращения обстоятельств непреодолимой силы, с приложением документов (изданных уполномоченным органом), подтверждающих наступление таких обстоятельств.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7. Порядок разрешения споров.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Style w:val="780"/>
        <w:ind w:firstLine="709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7.1. </w:t>
      </w:r>
      <w:r>
        <w:rPr>
          <w:spacing w:val="-2"/>
          <w:sz w:val="23"/>
          <w:szCs w:val="23"/>
        </w:rPr>
        <w:t xml:space="preserve">Все споры по настоящему Договору либо в связи с ним разрешаются сторонами, прежде всего путем переговоров. </w:t>
      </w:r>
      <w:r>
        <w:rPr>
          <w:sz w:val="23"/>
          <w:szCs w:val="23"/>
        </w:rPr>
        <w:t xml:space="preserve">Сторона, имеющая намерение обратиться в суд, направляет в адрес второй Стороны претензию с приложением всех необходимых документов для ее рассмотрения. Претензия рассматривается в срок не более 15 рабочих дней с момента ее получения. </w:t>
      </w:r>
      <w:r>
        <w:rPr>
          <w:spacing w:val="-2"/>
          <w:sz w:val="23"/>
          <w:szCs w:val="23"/>
        </w:rPr>
        <w:t xml:space="preserve">Если в процессе переговоров и </w:t>
      </w:r>
      <w:r>
        <w:rPr>
          <w:sz w:val="23"/>
          <w:szCs w:val="23"/>
        </w:rPr>
        <w:t xml:space="preserve">в претензионном порядке </w:t>
      </w:r>
      <w:r>
        <w:rPr>
          <w:spacing w:val="-2"/>
          <w:sz w:val="23"/>
          <w:szCs w:val="23"/>
        </w:rPr>
        <w:t xml:space="preserve">стороны не придут к взаимоприемлемому решению, споры разрешаются в соответствии с действующим законодательством РФ в Арбитражном суде Санкт-Петербурга и Ленинградской области.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Style w:val="780"/>
        <w:jc w:val="center"/>
        <w:rPr>
          <w:b/>
          <w:bCs/>
          <w:sz w:val="24"/>
          <w:szCs w:val="24"/>
          <w:lang w:bidi="ru-RU"/>
        </w:rPr>
      </w:pPr>
      <w:r>
        <w:rPr>
          <w:b/>
          <w:bCs/>
          <w:sz w:val="24"/>
          <w:szCs w:val="24"/>
          <w:lang w:bidi="ru-RU"/>
        </w:rPr>
      </w:r>
      <w:r>
        <w:rPr>
          <w:b/>
          <w:bCs/>
          <w:sz w:val="24"/>
          <w:szCs w:val="24"/>
          <w:lang w:bidi="ru-RU"/>
        </w:rPr>
      </w:r>
      <w:r>
        <w:rPr>
          <w:b/>
          <w:bCs/>
          <w:sz w:val="24"/>
          <w:szCs w:val="24"/>
          <w:lang w:bidi="ru-RU"/>
        </w:rPr>
      </w:r>
    </w:p>
    <w:p>
      <w:pPr>
        <w:pStyle w:val="780"/>
        <w:jc w:val="center"/>
        <w:rPr>
          <w:b/>
          <w:bCs/>
          <w:sz w:val="24"/>
          <w:szCs w:val="24"/>
          <w:highlight w:val="none"/>
          <w:lang w:bidi="ru-RU"/>
        </w:rPr>
      </w:pPr>
      <w:r>
        <w:rPr>
          <w:b/>
          <w:sz w:val="24"/>
          <w:szCs w:val="24"/>
          <w:lang w:bidi="ru-RU"/>
        </w:rPr>
        <w:t xml:space="preserve">8. Единые требования</w:t>
      </w:r>
      <w:r>
        <w:rPr>
          <w:b/>
          <w:bCs/>
          <w:sz w:val="24"/>
          <w:szCs w:val="24"/>
          <w:highlight w:val="none"/>
          <w:lang w:bidi="ru-RU"/>
        </w:rPr>
      </w:r>
      <w:r>
        <w:rPr>
          <w:b/>
          <w:bCs/>
          <w:sz w:val="24"/>
          <w:szCs w:val="24"/>
          <w:highlight w:val="none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 </w:t>
      </w:r>
      <w:r>
        <w:rPr>
          <w:sz w:val="24"/>
          <w:szCs w:val="24"/>
          <w:lang w:bidi="ru-RU"/>
        </w:rPr>
        <w:t xml:space="preserve">8.1. В соответствии с частью 1 статьи 31 Федерального закона № 44-ФЗ от 05.04.2013 года, Заказчик устанавливает следующие единые требования к Исполнителю: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</w:t>
      </w:r>
      <w:r>
        <w:rPr>
          <w:sz w:val="24"/>
          <w:szCs w:val="24"/>
          <w:lang w:bidi="ru-RU"/>
        </w:rPr>
        <w:t xml:space="preserve">8.1.1. соответствие Исполнителя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</w:t>
      </w:r>
      <w:r>
        <w:rPr>
          <w:sz w:val="24"/>
          <w:szCs w:val="24"/>
          <w:lang w:bidi="ru-RU"/>
        </w:rPr>
        <w:t xml:space="preserve">8.1.2. не проведение ликвидации Исполнителя - юридического лица и отсутствие решения арбитражного суда о признании Исполнителя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</w:t>
      </w:r>
      <w:r>
        <w:rPr>
          <w:sz w:val="24"/>
          <w:szCs w:val="24"/>
          <w:lang w:bidi="ru-RU"/>
        </w:rPr>
        <w:t xml:space="preserve">8.1.3. не приостановление деятельности Исполнителя в порядке, установленном Кодексом Российской Федерации об административных правонарушениях;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</w:t>
      </w:r>
      <w:r>
        <w:rPr>
          <w:sz w:val="24"/>
          <w:szCs w:val="24"/>
          <w:lang w:bidi="ru-RU"/>
        </w:rPr>
        <w:t xml:space="preserve">8.1.4. отсутствие у Исполнителя недоимки по налогам, сборам, задолженности по иным обязательным платежам в бюджеты бюджетной системы Российс</w:t>
      </w:r>
      <w:r>
        <w:rPr>
          <w:sz w:val="24"/>
          <w:szCs w:val="24"/>
          <w:lang w:bidi="ru-RU"/>
        </w:rPr>
        <w:t xml:space="preserve">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</w:t>
      </w:r>
      <w:r>
        <w:rPr>
          <w:sz w:val="24"/>
          <w:szCs w:val="24"/>
          <w:lang w:bidi="ru-RU"/>
        </w:rPr>
        <w:t xml:space="preserve">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</w:t>
      </w:r>
      <w:r>
        <w:rPr>
          <w:sz w:val="24"/>
          <w:szCs w:val="24"/>
          <w:lang w:bidi="ru-RU"/>
        </w:rPr>
        <w:t xml:space="preserve">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Исполнитель считается соответствующим установленному тре</w:t>
      </w:r>
      <w:r>
        <w:rPr>
          <w:sz w:val="24"/>
          <w:szCs w:val="24"/>
          <w:lang w:bidi="ru-RU"/>
        </w:rPr>
        <w:t xml:space="preserve">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</w:t>
      </w:r>
      <w:r>
        <w:rPr>
          <w:sz w:val="24"/>
          <w:szCs w:val="24"/>
          <w:lang w:bidi="ru-RU"/>
        </w:rPr>
        <w:t xml:space="preserve">8.1.5. отсутствие у Испол</w:t>
      </w:r>
      <w:r>
        <w:rPr>
          <w:sz w:val="24"/>
          <w:szCs w:val="24"/>
          <w:lang w:bidi="ru-RU"/>
        </w:rPr>
        <w:t xml:space="preserve">нителя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Исполнителя судимости за преступления в сфере экономики</w:t>
      </w:r>
      <w:r>
        <w:rPr>
          <w:sz w:val="24"/>
          <w:szCs w:val="24"/>
          <w:lang w:bidi="ru-RU"/>
        </w:rPr>
        <w:t xml:space="preserve">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</w:t>
      </w:r>
      <w:r>
        <w:rPr>
          <w:sz w:val="24"/>
          <w:szCs w:val="24"/>
          <w:lang w:bidi="ru-RU"/>
        </w:rP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</w:t>
      </w:r>
      <w:r>
        <w:rPr>
          <w:sz w:val="24"/>
          <w:szCs w:val="24"/>
          <w:lang w:bidi="ru-RU"/>
        </w:rPr>
        <w:t xml:space="preserve">8.1.6. исполнитель - юридическое лицо, которое в течение двух л</w:t>
      </w:r>
      <w:r>
        <w:rPr>
          <w:sz w:val="24"/>
          <w:szCs w:val="24"/>
          <w:lang w:bidi="ru-RU"/>
        </w:rPr>
        <w:t xml:space="preserve">ет до момента подачи заявки (оферты)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</w:t>
      </w:r>
      <w:r>
        <w:rPr>
          <w:sz w:val="24"/>
          <w:szCs w:val="24"/>
          <w:lang w:bidi="ru-RU"/>
        </w:rPr>
        <w:t xml:space="preserve">8.1.7. обладание Исполнителем исключительными правами на результаты интеллектуальной деятельно</w:t>
      </w:r>
      <w:r>
        <w:rPr>
          <w:sz w:val="24"/>
          <w:szCs w:val="24"/>
          <w:lang w:bidi="ru-RU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</w:t>
      </w:r>
      <w:r>
        <w:rPr>
          <w:sz w:val="24"/>
          <w:szCs w:val="24"/>
          <w:lang w:bidi="ru-RU"/>
        </w:rPr>
        <w:t xml:space="preserve">8.1.8. отсутствие между исполнителем и заказчиком конфликта интересов, под которым понимаются случаи, при которых руководитель заказчика, </w:t>
      </w:r>
      <w:r>
        <w:rPr>
          <w:sz w:val="24"/>
          <w:szCs w:val="24"/>
          <w:lang w:bidi="ru-RU"/>
        </w:rPr>
        <w:t xml:space="preserve">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</w:t>
      </w:r>
      <w:r>
        <w:rPr>
          <w:sz w:val="24"/>
          <w:szCs w:val="24"/>
          <w:lang w:bidi="ru-RU"/>
        </w:rPr>
        <w:t xml:space="preserve">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</w:t>
      </w:r>
      <w:r>
        <w:rPr>
          <w:sz w:val="24"/>
          <w:szCs w:val="24"/>
          <w:lang w:bidi="ru-RU"/>
        </w:rPr>
        <w:t xml:space="preserve">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</w:t>
      </w:r>
      <w:r>
        <w:rPr>
          <w:sz w:val="24"/>
          <w:szCs w:val="24"/>
          <w:lang w:bidi="ru-RU"/>
        </w:rPr>
        <w:t xml:space="preserve">и детьми, дедушкой, бабушкой и внуками), полнородными и не полнородными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понимаются физически</w:t>
      </w:r>
      <w:r>
        <w:rPr>
          <w:sz w:val="24"/>
          <w:szCs w:val="24"/>
          <w:lang w:bidi="ru-RU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</w:t>
      </w:r>
      <w:r>
        <w:rPr>
          <w:sz w:val="24"/>
          <w:szCs w:val="24"/>
          <w:lang w:bidi="ru-RU"/>
        </w:rPr>
        <w:t xml:space="preserve">8.1.9. испо</w:t>
      </w:r>
      <w:r>
        <w:rPr>
          <w:sz w:val="24"/>
          <w:szCs w:val="24"/>
          <w:lang w:bidi="ru-RU"/>
        </w:rPr>
        <w:t xml:space="preserve">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sz w:val="24"/>
          <w:szCs w:val="24"/>
          <w:lang w:bidi="ru-RU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highlight w:val="none"/>
          <w:lang w:bidi="ru-RU"/>
        </w:rPr>
      </w:pPr>
      <w:r>
        <w:rPr>
          <w:sz w:val="24"/>
          <w:szCs w:val="24"/>
          <w:lang w:bidi="ru-RU"/>
        </w:rPr>
        <w:t xml:space="preserve">        </w:t>
      </w:r>
      <w:r>
        <w:rPr>
          <w:sz w:val="24"/>
          <w:szCs w:val="24"/>
          <w:lang w:bidi="ru-RU"/>
        </w:rPr>
        <w:t xml:space="preserve">8.1.10. отсутствие у Исполнителя ограничений для участия в закупках, установленных законодательством Российской Федерации.</w:t>
      </w:r>
      <w:r>
        <w:rPr>
          <w:sz w:val="24"/>
          <w:szCs w:val="24"/>
          <w:highlight w:val="none"/>
          <w:lang w:bidi="ru-RU"/>
        </w:rPr>
      </w:r>
      <w:r>
        <w:rPr>
          <w:sz w:val="24"/>
          <w:szCs w:val="24"/>
          <w:highlight w:val="none"/>
          <w:lang w:bidi="ru-RU"/>
        </w:rPr>
      </w:r>
    </w:p>
    <w:p>
      <w:pPr>
        <w:jc w:val="both"/>
        <w:rPr>
          <w:sz w:val="24"/>
          <w:szCs w:val="24"/>
          <w:lang w:bidi="ru-RU"/>
        </w:rPr>
      </w:pPr>
      <w:r>
        <w:rPr>
          <w:sz w:val="24"/>
          <w:szCs w:val="24"/>
          <w:highlight w:val="none"/>
          <w:lang w:bidi="ru-RU"/>
        </w:rPr>
        <w:t xml:space="preserve">        8.1.11. Исполнитель не является иностранным агентом.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 </w:t>
      </w:r>
      <w:r>
        <w:rPr>
          <w:sz w:val="24"/>
          <w:szCs w:val="24"/>
          <w:lang w:bidi="ru-RU"/>
        </w:rPr>
        <w:t xml:space="preserve">8.2. В соответствии с частью 9 статьи 31 Федерального закона № 44-ФЗ от 05.04.2013 года, отстранение участника закупки от участия в определении  поставщика (подрядчика, исполнителя) или отказ от заключения договора с победителем закупки осуществля</w:t>
      </w:r>
      <w:r>
        <w:rPr>
          <w:sz w:val="24"/>
          <w:szCs w:val="24"/>
          <w:lang w:bidi="ru-RU"/>
        </w:rPr>
        <w:t xml:space="preserve">ется в любой момент до  заключения Договора, если Заказчик обнаружит, что  участник закупки не соответствует  указанным в п.8.1. настоящего Договора требованиям, или предоставил недостоверную информацию в отношении своего соответствия указанным требованиям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Style w:val="780"/>
        <w:jc w:val="center"/>
        <w:rPr>
          <w:sz w:val="23"/>
          <w:szCs w:val="23"/>
        </w:rPr>
      </w:pPr>
      <w:r>
        <w:rPr>
          <w:b/>
          <w:sz w:val="23"/>
          <w:szCs w:val="23"/>
        </w:rPr>
        <w:t xml:space="preserve">9. Прочие условия.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823"/>
        <w:ind w:firstLine="709"/>
        <w:rPr>
          <w:b/>
          <w:sz w:val="23"/>
          <w:szCs w:val="23"/>
        </w:rPr>
      </w:pPr>
      <w:r>
        <w:rPr>
          <w:sz w:val="23"/>
          <w:szCs w:val="23"/>
        </w:rPr>
        <w:t xml:space="preserve">9.1. Настоящий Договор вступает в силу с момента подписания и действует до 31 декабря 2026 года.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Style w:val="780"/>
        <w:ind w:firstLine="709"/>
        <w:jc w:val="both"/>
        <w:rPr>
          <w:bCs/>
          <w:sz w:val="23"/>
          <w:szCs w:val="23"/>
        </w:rPr>
      </w:pPr>
      <w:r>
        <w:rPr>
          <w:sz w:val="23"/>
          <w:szCs w:val="23"/>
        </w:rPr>
        <w:t xml:space="preserve">9.2. В случае изменения у какой либо из Сторон юридического адреса, названия, банковских реквизитов и прочего, она обязана письменно известить об этом другую Сторону.</w:t>
      </w:r>
      <w:r>
        <w:rPr>
          <w:bCs/>
          <w:sz w:val="23"/>
          <w:szCs w:val="23"/>
        </w:rPr>
      </w:r>
      <w:r>
        <w:rPr>
          <w:bCs/>
          <w:sz w:val="23"/>
          <w:szCs w:val="23"/>
        </w:rPr>
      </w:r>
    </w:p>
    <w:p>
      <w:pPr>
        <w:pStyle w:val="780"/>
        <w:ind w:firstLine="709"/>
        <w:jc w:val="both"/>
        <w:rPr>
          <w:sz w:val="23"/>
          <w:szCs w:val="23"/>
        </w:rPr>
      </w:pPr>
      <w:r>
        <w:rPr>
          <w:bCs/>
          <w:sz w:val="23"/>
          <w:szCs w:val="23"/>
        </w:rPr>
        <w:t xml:space="preserve">9.3. Ни одна из Сторон не может передать свои права третьей Стороне без обоюдного письменного согласия.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ind w:firstLine="708"/>
        <w:rPr>
          <w:sz w:val="23"/>
          <w:szCs w:val="23"/>
        </w:rPr>
      </w:pPr>
      <w:r>
        <w:rPr>
          <w:sz w:val="23"/>
          <w:szCs w:val="23"/>
        </w:rPr>
        <w:t xml:space="preserve">9.4. Настоящий Договор составлен в двух экземплярах, имеющих одинаковую юридическую силу, по одному экземпляру для каждой из Сторон.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78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10. АДРЕСА И РЕКВИЗИТЫ СТОРОН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tbl>
      <w:tblPr>
        <w:tblW w:w="1013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32"/>
        <w:gridCol w:w="5104"/>
      </w:tblGrid>
      <w:tr>
        <w:tblPrEx/>
        <w:trPr/>
        <w:tc>
          <w:tcPr>
            <w:tcW w:w="5032" w:type="dxa"/>
            <w:textDirection w:val="lrTb"/>
            <w:noWrap w:val="false"/>
          </w:tcPr>
          <w:p>
            <w:pPr>
              <w:pStyle w:val="780"/>
              <w:jc w:val="left"/>
              <w:spacing w:before="0" w:after="0"/>
              <w:widowControl w:val="off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u-RU" w:bidi="ar-SA"/>
              </w:rPr>
              <w:t xml:space="preserve">ИСПОЛНИТЕЛЬ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pStyle w:val="780"/>
              <w:jc w:val="both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both"/>
              <w:widowControl w:val="off"/>
              <w:rPr>
                <w:b/>
                <w:sz w:val="23"/>
                <w:szCs w:val="23"/>
                <w:lang w:val="ru-RU" w:bidi="ar-SA"/>
              </w:rPr>
            </w:pPr>
            <w:r>
              <w:rPr>
                <w:b/>
                <w:sz w:val="23"/>
                <w:szCs w:val="23"/>
                <w:lang w:val="ru-RU" w:bidi="ar-SA"/>
              </w:rPr>
            </w:r>
            <w:r>
              <w:rPr>
                <w:b/>
                <w:sz w:val="23"/>
                <w:szCs w:val="23"/>
                <w:lang w:val="ru-RU" w:bidi="ar-SA"/>
              </w:rPr>
            </w:r>
            <w:r>
              <w:rPr>
                <w:b/>
                <w:sz w:val="23"/>
                <w:szCs w:val="23"/>
                <w:lang w:val="ru-RU" w:bidi="ar-SA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pStyle w:val="780"/>
              <w:jc w:val="left"/>
              <w:spacing w:before="0" w:after="0"/>
              <w:widowControl w:val="off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u-RU" w:bidi="ar-SA"/>
              </w:rPr>
              <w:t xml:space="preserve">ЗАКАЗЧИК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ГКУ «Леноблпожспас»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Юридический/фактический  адрес: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187342, Ленинградская область, г. Кировск,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ул. Краснофлотская, д.28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Тел. (81362) 78-800,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ОГРН 1104716001367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u-RU" w:bidi="ar-SA"/>
              </w:rPr>
              <w:t xml:space="preserve">доход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Получатель: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УФК по Ленинградской области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(ГКУ «Леноблпожспас» л/сч 04452911280)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Банк: ОКЦ №1 СЗГУ БАНКА РОССИИ//УФК по Ленинградской области г.Санкт-Петербург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Счет получателя:03100643000000014500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Единый казначейский счет: 40102810745370000098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БИК 044030098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ИНН 4706031103 КПП 470601001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ОКТМО 41000000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КБК 97211402022020369440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u-RU" w:bidi="ar-SA"/>
              </w:rPr>
              <w:t xml:space="preserve">расход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Лицевой счет № 02 369 972 003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в Комитете финансов Ленинградской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области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pStyle w:val="78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ПОДПИСИ СТОРОН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tbl>
      <w:tblPr>
        <w:tblW w:w="1013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57"/>
        <w:gridCol w:w="5079"/>
      </w:tblGrid>
      <w:tr>
        <w:tblPrEx/>
        <w:trPr/>
        <w:tc>
          <w:tcPr>
            <w:tcW w:w="5057" w:type="dxa"/>
            <w:textDirection w:val="lrTb"/>
            <w:noWrap w:val="false"/>
          </w:tcPr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ИСПОЛНИТЕЛЬ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tcW w:w="5079" w:type="dxa"/>
            <w:textDirection w:val="lrTb"/>
            <w:noWrap w:val="false"/>
          </w:tcPr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ЗАКАЗЧИК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Заместитель начальника учреждения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Подпись ЭЦП (Д.А. Васильченко)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pStyle w:val="780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780"/>
        <w:jc w:val="right"/>
        <w:spacing w:before="0" w:after="0"/>
        <w:widowControl/>
        <w:rPr>
          <w:rFonts w:cs="Times New Roman"/>
          <w:b w:val="0"/>
          <w:bCs w:val="0"/>
          <w:color w:val="auto"/>
          <w:sz w:val="22"/>
          <w:szCs w:val="22"/>
          <w:highlight w:val="none"/>
          <w:lang w:val="ru-RU" w:bidi="ar-SA"/>
        </w:rPr>
      </w:pPr>
      <w:r>
        <w:rPr>
          <w:rFonts w:cs="Times New Roman"/>
          <w:b w:val="0"/>
          <w:color w:val="auto"/>
          <w:sz w:val="22"/>
          <w:szCs w:val="22"/>
          <w:lang w:val="ru-RU" w:bidi="ar-SA"/>
        </w:rPr>
        <w:t xml:space="preserve">Приложение № 1</w:t>
      </w:r>
      <w:r>
        <w:rPr>
          <w:rFonts w:cs="Times New Roman"/>
          <w:b w:val="0"/>
          <w:bCs w:val="0"/>
          <w:color w:val="auto"/>
          <w:sz w:val="22"/>
          <w:szCs w:val="22"/>
          <w:highlight w:val="none"/>
          <w:lang w:val="ru-RU" w:bidi="ar-SA"/>
        </w:rPr>
      </w:r>
      <w:r>
        <w:rPr>
          <w:rFonts w:cs="Times New Roman"/>
          <w:b w:val="0"/>
          <w:bCs w:val="0"/>
          <w:color w:val="auto"/>
          <w:sz w:val="22"/>
          <w:szCs w:val="22"/>
          <w:highlight w:val="none"/>
          <w:lang w:val="ru-RU" w:bidi="ar-SA"/>
        </w:rPr>
      </w:r>
    </w:p>
    <w:p>
      <w:pPr>
        <w:pStyle w:val="780"/>
        <w:ind w:right="-1" w:firstLine="0"/>
        <w:jc w:val="right"/>
        <w:spacing w:before="0" w:after="0"/>
        <w:widowControl/>
        <w:rPr>
          <w:sz w:val="22"/>
          <w:szCs w:val="22"/>
        </w:rPr>
      </w:pPr>
      <w:r>
        <w:rPr>
          <w:sz w:val="22"/>
          <w:szCs w:val="22"/>
          <w:lang w:val="ru-RU" w:bidi="ar-SA"/>
        </w:rPr>
        <w:t xml:space="preserve">к Договору №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80"/>
        <w:ind w:right="-1" w:firstLine="0"/>
        <w:jc w:val="right"/>
        <w:spacing w:before="0" w:after="0"/>
        <w:widowControl/>
        <w:rPr>
          <w:sz w:val="22"/>
          <w:szCs w:val="22"/>
        </w:rPr>
      </w:pPr>
      <w:r>
        <w:rPr>
          <w:rFonts w:cs="Times New Roman"/>
          <w:b w:val="0"/>
          <w:color w:val="auto"/>
          <w:sz w:val="23"/>
          <w:szCs w:val="23"/>
          <w:lang w:val="ru-RU" w:bidi="ar-SA"/>
        </w:rPr>
        <w:t xml:space="preserve">«____»                2026 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82"/>
        <w:jc w:val="center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</w:r>
    </w:p>
    <w:p>
      <w:pPr>
        <w:pStyle w:val="782"/>
        <w:jc w:val="center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ПРЕЙСКУРАНТ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</w:r>
    </w:p>
    <w:p>
      <w:pPr>
        <w:pStyle w:val="782"/>
        <w:jc w:val="center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стоимости покупки вторичного сырья, содержащего драгоценные металлы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</w:r>
    </w:p>
    <w:tbl>
      <w:tblPr>
        <w:tblpPr w:horzAnchor="margin" w:tblpXSpec="center" w:vertAnchor="text" w:tblpY="126" w:leftFromText="180" w:topFromText="0" w:rightFromText="180" w:bottomFromText="0"/>
        <w:tblW w:w="8046" w:type="dxa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00" w:firstRow="0" w:lastRow="0" w:firstColumn="0" w:lastColumn="0" w:noHBand="0" w:noVBand="0"/>
      </w:tblPr>
      <w:tblGrid>
        <w:gridCol w:w="2127"/>
        <w:gridCol w:w="2550"/>
        <w:gridCol w:w="3369"/>
      </w:tblGrid>
      <w:tr>
        <w:tblPrEx/>
        <w:trPr>
          <w:cantSplit/>
          <w:trHeight w:val="73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ДМ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Процентное содержание ДМ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vAlign w:val="center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Стоимость покупки (%)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restart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Золото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0,005%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0,05%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0,1%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1,00%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3,00%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25,00%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60,00%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90,00%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restart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Серебро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0,005%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0,05%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0,3%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1,00%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5,00%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10,00%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25,00%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60,00%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90,00%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restart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Платина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0,005%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0,05%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0,1%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1,00%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5,00%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25,00%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60,00%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90,00%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restart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Палладий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0,005%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0,05%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0,1%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4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1,00%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10,00%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25,00%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60,00%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cantSplit/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pStyle w:val="780"/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pStyle w:val="780"/>
              <w:ind w:left="175" w:firstLine="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90,00%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780"/>
        <w:ind w:right="-24" w:firstLine="0"/>
        <w:jc w:val="both"/>
        <w:tabs>
          <w:tab w:val="left" w:pos="0" w:leader="none"/>
          <w:tab w:val="clear" w:pos="708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80"/>
        <w:ind w:right="-24" w:firstLine="0"/>
        <w:jc w:val="both"/>
        <w:tabs>
          <w:tab w:val="left" w:pos="0" w:leader="none"/>
          <w:tab w:val="clear" w:pos="708" w:leader="none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Стоимость определяется по количеству драгоценных металлов, находящихся в сырье в процентах от их учётной стоимости в ЦБ РФ на день предшествующий дню  выписки продавцу паспорта-расчета.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80"/>
        <w:ind w:right="-24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Сырье с содержанием драгоценного металла менее 0,005% оплате не подлежит, количество драгоценных металлов отражается в паспорте-расчете.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80"/>
        <w:ind w:right="-24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Стоимость покупки указана с учетом всех налогов, предусмотренных Российским законодательством.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80"/>
        <w:jc w:val="right"/>
        <w:spacing w:before="0" w:after="0"/>
        <w:widowControl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8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ПОДПИСИ СТОРОН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13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44"/>
        <w:gridCol w:w="5093"/>
      </w:tblGrid>
      <w:tr>
        <w:tblPrEx/>
        <w:trPr/>
        <w:tc>
          <w:tcPr>
            <w:tcW w:w="5044" w:type="dxa"/>
            <w:textDirection w:val="lrTb"/>
            <w:noWrap w:val="false"/>
          </w:tcPr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ИСПОЛНИТЕЛЬ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both"/>
              <w:widowControl w:val="off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bidi="ar-SA"/>
              </w:rPr>
              <w:t xml:space="preserve">Подпись ЭЦП</w:t>
            </w:r>
            <w:r>
              <w:rPr>
                <w:sz w:val="23"/>
                <w:szCs w:val="23"/>
                <w:lang w:val="ru-RU" w:bidi="ar-SA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tcW w:w="5093" w:type="dxa"/>
            <w:textDirection w:val="lrTb"/>
            <w:noWrap w:val="false"/>
          </w:tcPr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ЗАКАЗЧИК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Заместитель начальника учреждения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Подпись ЭЦП (Д.А. Васильченко)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tabs>
                <w:tab w:val="clear" w:pos="708" w:leader="none"/>
                <w:tab w:val="left" w:pos="1218" w:leader="none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pStyle w:val="78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jc w:val="right"/>
        <w:spacing w:before="0" w:after="0"/>
        <w:widowControl/>
        <w:rPr>
          <w:sz w:val="24"/>
          <w:szCs w:val="24"/>
          <w:highlight w:val="none"/>
        </w:rPr>
      </w:pPr>
      <w:r>
        <w:rPr>
          <w:sz w:val="24"/>
          <w:szCs w:val="24"/>
          <w:lang w:val="ru-RU" w:bidi="ar-SA"/>
        </w:rPr>
        <w:t xml:space="preserve">Приложение № 2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80"/>
        <w:ind w:right="-1" w:firstLine="0"/>
        <w:jc w:val="right"/>
        <w:spacing w:before="0" w:after="0"/>
        <w:widowControl/>
        <w:rPr>
          <w:sz w:val="24"/>
          <w:szCs w:val="24"/>
        </w:rPr>
      </w:pPr>
      <w:r>
        <w:rPr>
          <w:sz w:val="24"/>
          <w:szCs w:val="24"/>
          <w:lang w:val="ru-RU" w:bidi="ar-SA"/>
        </w:rPr>
        <w:t xml:space="preserve">к Договору №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ind w:right="-1" w:firstLine="0"/>
        <w:jc w:val="right"/>
        <w:spacing w:before="0" w:after="0"/>
        <w:widowControl/>
        <w:rPr>
          <w:sz w:val="24"/>
          <w:szCs w:val="24"/>
        </w:rPr>
      </w:pPr>
      <w:r>
        <w:rPr>
          <w:sz w:val="23"/>
          <w:szCs w:val="23"/>
          <w:lang w:val="ru-RU" w:bidi="ar-SA"/>
        </w:rPr>
        <w:t xml:space="preserve">«____»          2026 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ПРЕЙСКУРАНТ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оплаты сопутствующих металлов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сырье, содержащем ДМ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313" w:type="dxa"/>
        <w:tblInd w:w="-17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3437"/>
        <w:gridCol w:w="2333"/>
        <w:gridCol w:w="1866"/>
        <w:gridCol w:w="2676"/>
      </w:tblGrid>
      <w:tr>
        <w:tblPrEx/>
        <w:trPr>
          <w:trHeight w:val="1174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3437" w:type="dxa"/>
            <w:vAlign w:val="center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Сопутствующий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металл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2333" w:type="dxa"/>
            <w:vAlign w:val="center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Концентрация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исходном сырье (%)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1866" w:type="dxa"/>
            <w:vAlign w:val="center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(%) *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67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Min</w:t>
            </w:r>
            <w:r>
              <w:rPr>
                <w:sz w:val="24"/>
                <w:szCs w:val="24"/>
              </w:rPr>
              <w:t xml:space="preserve"> количество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выделенного из одной партии металла, подлежащего оплате (кг)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31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3437" w:type="dxa"/>
            <w:vAlign w:val="center"/>
            <w:vMerge w:val="restart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Чёрный металл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&lt;</w:t>
            </w:r>
            <w:r>
              <w:rPr>
                <w:sz w:val="24"/>
                <w:szCs w:val="24"/>
              </w:rPr>
              <w:t xml:space="preserve"> 10%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676" w:type="dxa"/>
            <w:vAlign w:val="center"/>
            <w:vMerge w:val="restart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15%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12%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50%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25%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≤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90%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30%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&gt;</w:t>
            </w: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  <w:lang w:val="en-US"/>
              </w:rPr>
              <w:t xml:space="preserve">0%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50%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3437" w:type="dxa"/>
            <w:vAlign w:val="center"/>
            <w:vMerge w:val="restart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Медь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(Латунь – 50% от цены меди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10%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676" w:type="dxa"/>
            <w:vAlign w:val="center"/>
            <w:vMerge w:val="restart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15%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12%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50%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23%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75%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40%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</w:t>
            </w:r>
            <w:r>
              <w:rPr>
                <w:sz w:val="24"/>
                <w:szCs w:val="24"/>
              </w:rPr>
              <w:t xml:space="preserve">90%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50%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&gt;</w:t>
            </w:r>
            <w:r>
              <w:rPr>
                <w:sz w:val="24"/>
                <w:szCs w:val="24"/>
              </w:rPr>
              <w:t xml:space="preserve">90%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65%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3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3437" w:type="dxa"/>
            <w:vAlign w:val="center"/>
            <w:vMerge w:val="restart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Алюминий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10%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676" w:type="dxa"/>
            <w:vAlign w:val="center"/>
            <w:vMerge w:val="restart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15%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50%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 xml:space="preserve">90%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3437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2333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&gt;</w:t>
            </w:r>
            <w:r>
              <w:rPr>
                <w:sz w:val="24"/>
                <w:szCs w:val="24"/>
              </w:rPr>
              <w:t xml:space="preserve"> 90%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1866" w:type="dxa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55%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676" w:type="dxa"/>
            <w:vMerge w:val="continue"/>
            <w:textDirection w:val="lrTb"/>
            <w:noWrap w:val="false"/>
          </w:tcPr>
          <w:p>
            <w:pPr>
              <w:pStyle w:val="780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780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* - расчёт стоимости СМ производится в процентах от его средней цены на рынке СПб на день приёма сырья (отражается в Акте приемки)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ПОДПИСИ СТОРОН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13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44"/>
        <w:gridCol w:w="5093"/>
      </w:tblGrid>
      <w:tr>
        <w:tblPrEx/>
        <w:trPr/>
        <w:tc>
          <w:tcPr>
            <w:tcW w:w="5044" w:type="dxa"/>
            <w:textDirection w:val="lrTb"/>
            <w:noWrap w:val="false"/>
          </w:tcPr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ИСПОЛНИТЕЛЬ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80"/>
              <w:jc w:val="both"/>
              <w:widowControl w:val="off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bidi="ar-SA"/>
              </w:rPr>
              <w:t xml:space="preserve">Подпись ЭЦП</w:t>
            </w:r>
            <w:r>
              <w:rPr>
                <w:sz w:val="22"/>
                <w:szCs w:val="22"/>
              </w:rPr>
            </w:r>
          </w:p>
        </w:tc>
        <w:tc>
          <w:tcPr>
            <w:tcW w:w="5093" w:type="dxa"/>
            <w:textDirection w:val="lrTb"/>
            <w:noWrap w:val="false"/>
          </w:tcPr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ЗАКАЗЧИК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Заместитель начальника учреждения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Подпись ЭЦП (Д.А. Васильченко)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0"/>
              <w:jc w:val="left"/>
              <w:spacing w:before="0" w:after="0"/>
              <w:widowControl w:val="off"/>
              <w:tabs>
                <w:tab w:val="clear" w:pos="708" w:leader="none"/>
                <w:tab w:val="left" w:pos="1218" w:leader="none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pStyle w:val="78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spacing w:before="0" w:after="200" w:line="276" w:lineRule="auto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sectPr>
      <w:footnotePr/>
      <w:endnotePr/>
      <w:type w:val="nextPage"/>
      <w:pgSz w:w="11906" w:h="16838" w:orient="portrait"/>
      <w:pgMar w:top="851" w:right="567" w:bottom="851" w:left="1418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iberation Sans">
    <w:panose1 w:val="020B0604020202020204"/>
  </w:font>
  <w:font w:name="Tahoma">
    <w:panose1 w:val="020B0604030504040204"/>
  </w:font>
  <w:font w:name="Noto Sans Devanagari">
    <w:panose1 w:val="020B0502040504020204"/>
  </w:font>
  <w:font w:name="Cambria">
    <w:panose1 w:val="02040503050406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5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5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5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8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8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8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8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68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68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69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69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69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69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69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69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69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69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0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0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0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0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1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2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2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2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2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2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4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4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5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5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5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5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5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5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5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5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5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6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6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6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6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6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6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6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6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6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6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7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7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7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7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7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7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780" w:default="1">
    <w:name w:val="Normal"/>
    <w:qFormat/>
    <w:pPr>
      <w:jc w:val="left"/>
      <w:spacing w:before="0" w:beforeAutospacing="0" w:after="0" w:afterAutospacing="0" w:line="240" w:lineRule="auto"/>
      <w:widowControl/>
    </w:pPr>
    <w:rPr>
      <w:rFonts w:ascii="Times New Roman" w:hAnsi="Times New Roman" w:eastAsia="Times New Roman" w:cs="Times New Roman"/>
      <w:color w:val="auto"/>
      <w:sz w:val="20"/>
      <w:szCs w:val="20"/>
      <w:lang w:val="ru-RU" w:eastAsia="ru-RU" w:bidi="ar-SA"/>
    </w:rPr>
  </w:style>
  <w:style w:type="paragraph" w:styleId="781">
    <w:name w:val="Heading 1"/>
    <w:basedOn w:val="780"/>
    <w:qFormat/>
    <w:pPr>
      <w:jc w:val="center"/>
      <w:keepNext/>
      <w:outlineLvl w:val="0"/>
    </w:pPr>
    <w:rPr>
      <w:b/>
      <w:sz w:val="24"/>
    </w:rPr>
  </w:style>
  <w:style w:type="paragraph" w:styleId="782">
    <w:name w:val="Heading 2"/>
    <w:basedOn w:val="780"/>
    <w:uiPriority w:val="9"/>
    <w:unhideWhenUsed/>
    <w:qFormat/>
    <w:pPr>
      <w:keepLines/>
      <w:keepNext/>
      <w:spacing w:before="200" w:after="0"/>
      <w:outlineLvl w:val="1"/>
    </w:pPr>
    <w:rPr>
      <w:rFonts w:ascii="Cambria" w:hAnsi="Cambria" w:eastAsia="Arial" w:cs="Arial"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83">
    <w:name w:val="Heading 3"/>
    <w:basedOn w:val="78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84">
    <w:name w:val="Heading 4"/>
    <w:basedOn w:val="7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85">
    <w:name w:val="Heading 5"/>
    <w:basedOn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86">
    <w:name w:val="Heading 6"/>
    <w:basedOn w:val="78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87">
    <w:name w:val="Heading 7"/>
    <w:basedOn w:val="7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88">
    <w:name w:val="Heading 8"/>
    <w:basedOn w:val="7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89">
    <w:name w:val="Heading 9"/>
    <w:basedOn w:val="7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0">
    <w:name w:val="Heading 1 Char"/>
    <w:basedOn w:val="813"/>
    <w:uiPriority w:val="9"/>
    <w:qFormat/>
    <w:rPr>
      <w:rFonts w:ascii="Arial" w:hAnsi="Arial" w:eastAsia="Arial" w:cs="Arial"/>
      <w:sz w:val="40"/>
      <w:szCs w:val="40"/>
    </w:rPr>
  </w:style>
  <w:style w:type="character" w:styleId="791">
    <w:name w:val="Heading 2 Char"/>
    <w:basedOn w:val="813"/>
    <w:uiPriority w:val="9"/>
    <w:qFormat/>
    <w:rPr>
      <w:rFonts w:ascii="Arial" w:hAnsi="Arial" w:eastAsia="Arial" w:cs="Arial"/>
      <w:sz w:val="34"/>
    </w:rPr>
  </w:style>
  <w:style w:type="character" w:styleId="792">
    <w:name w:val="Heading 3 Char"/>
    <w:basedOn w:val="813"/>
    <w:uiPriority w:val="9"/>
    <w:qFormat/>
    <w:rPr>
      <w:rFonts w:ascii="Arial" w:hAnsi="Arial" w:eastAsia="Arial" w:cs="Arial"/>
      <w:sz w:val="30"/>
      <w:szCs w:val="30"/>
    </w:rPr>
  </w:style>
  <w:style w:type="character" w:styleId="793">
    <w:name w:val="Heading 4 Char"/>
    <w:basedOn w:val="813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794">
    <w:name w:val="Heading 5 Char"/>
    <w:basedOn w:val="81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795">
    <w:name w:val="Heading 6 Char"/>
    <w:basedOn w:val="813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96">
    <w:name w:val="Heading 7 Char"/>
    <w:basedOn w:val="813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797">
    <w:name w:val="Heading 8 Char"/>
    <w:basedOn w:val="81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798">
    <w:name w:val="Heading 9 Char"/>
    <w:basedOn w:val="813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799">
    <w:name w:val="Title Char"/>
    <w:basedOn w:val="813"/>
    <w:uiPriority w:val="10"/>
    <w:qFormat/>
    <w:rPr>
      <w:sz w:val="48"/>
      <w:szCs w:val="48"/>
    </w:rPr>
  </w:style>
  <w:style w:type="character" w:styleId="800">
    <w:name w:val="Subtitle Char"/>
    <w:basedOn w:val="813"/>
    <w:uiPriority w:val="11"/>
    <w:qFormat/>
    <w:rPr>
      <w:sz w:val="24"/>
      <w:szCs w:val="24"/>
    </w:rPr>
  </w:style>
  <w:style w:type="character" w:styleId="801">
    <w:name w:val="Quote Char"/>
    <w:uiPriority w:val="29"/>
    <w:qFormat/>
    <w:rPr>
      <w:i/>
    </w:rPr>
  </w:style>
  <w:style w:type="character" w:styleId="802">
    <w:name w:val="Intense Quote Char"/>
    <w:uiPriority w:val="30"/>
    <w:qFormat/>
    <w:rPr>
      <w:i/>
    </w:rPr>
  </w:style>
  <w:style w:type="character" w:styleId="803">
    <w:name w:val="Header Char"/>
    <w:basedOn w:val="813"/>
    <w:uiPriority w:val="99"/>
    <w:qFormat/>
  </w:style>
  <w:style w:type="character" w:styleId="804">
    <w:name w:val="Footer Char"/>
    <w:basedOn w:val="813"/>
    <w:uiPriority w:val="99"/>
    <w:qFormat/>
  </w:style>
  <w:style w:type="character" w:styleId="805">
    <w:name w:val="Caption Char"/>
    <w:uiPriority w:val="99"/>
    <w:qFormat/>
  </w:style>
  <w:style w:type="character" w:styleId="806">
    <w:name w:val="Hyperlink"/>
    <w:uiPriority w:val="99"/>
    <w:unhideWhenUsed/>
    <w:rPr>
      <w:color w:val="0000ff" w:themeColor="hyperlink"/>
      <w:u w:val="single"/>
    </w:rPr>
  </w:style>
  <w:style w:type="character" w:styleId="807">
    <w:name w:val="Footnote Text Char"/>
    <w:uiPriority w:val="99"/>
    <w:qFormat/>
    <w:rPr>
      <w:sz w:val="18"/>
    </w:rPr>
  </w:style>
  <w:style w:type="character" w:styleId="808">
    <w:name w:val="Символ сноски"/>
    <w:uiPriority w:val="99"/>
    <w:unhideWhenUsed/>
    <w:qFormat/>
    <w:rPr>
      <w:vertAlign w:val="superscript"/>
    </w:rPr>
  </w:style>
  <w:style w:type="character" w:styleId="809">
    <w:name w:val="footnote reference"/>
    <w:rPr>
      <w:vertAlign w:val="superscript"/>
    </w:rPr>
  </w:style>
  <w:style w:type="character" w:styleId="810">
    <w:name w:val="Endnote Text Char"/>
    <w:uiPriority w:val="99"/>
    <w:qFormat/>
    <w:rPr>
      <w:sz w:val="20"/>
    </w:rPr>
  </w:style>
  <w:style w:type="character" w:styleId="811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812">
    <w:name w:val="endnote reference"/>
    <w:rPr>
      <w:vertAlign w:val="superscript"/>
    </w:rPr>
  </w:style>
  <w:style w:type="character" w:styleId="813" w:default="1">
    <w:name w:val="Default Paragraph Font"/>
    <w:uiPriority w:val="1"/>
    <w:semiHidden/>
    <w:unhideWhenUsed/>
    <w:qFormat/>
  </w:style>
  <w:style w:type="character" w:styleId="814" w:customStyle="1">
    <w:name w:val="Заголовок 1 Знак"/>
    <w:basedOn w:val="813"/>
    <w:qFormat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815" w:customStyle="1">
    <w:name w:val="Основной текст Знак"/>
    <w:basedOn w:val="813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16" w:customStyle="1">
    <w:name w:val="Основной текст с отступом 2 Знак"/>
    <w:basedOn w:val="813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17">
    <w:name w:val="annotation reference"/>
    <w:basedOn w:val="813"/>
    <w:semiHidden/>
    <w:qFormat/>
    <w:rPr>
      <w:sz w:val="16"/>
      <w:szCs w:val="16"/>
    </w:rPr>
  </w:style>
  <w:style w:type="character" w:styleId="818" w:customStyle="1">
    <w:name w:val="Текст примечания Знак"/>
    <w:basedOn w:val="813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19" w:customStyle="1">
    <w:name w:val="Текст выноски Знак"/>
    <w:basedOn w:val="813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820" w:customStyle="1">
    <w:name w:val="Заголовок 2 Знак"/>
    <w:basedOn w:val="813"/>
    <w:uiPriority w:val="9"/>
    <w:qFormat/>
    <w:rPr>
      <w:rFonts w:ascii="Cambria" w:hAnsi="Cambria" w:eastAsia="Arial" w:cs="Arial"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821" w:customStyle="1">
    <w:name w:val="Колонтитул + Полужирный"/>
    <w:uiPriority w:val="99"/>
    <w:qFormat/>
    <w:rPr>
      <w:rFonts w:ascii="Times New Roman" w:hAnsi="Times New Roman"/>
      <w:b/>
      <w:sz w:val="23"/>
      <w:u w:val="none"/>
    </w:rPr>
  </w:style>
  <w:style w:type="paragraph" w:styleId="822">
    <w:name w:val="Заголовок"/>
    <w:basedOn w:val="780"/>
    <w:next w:val="823"/>
    <w:qFormat/>
    <w:pPr>
      <w:keepNext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823">
    <w:name w:val="Body Text"/>
    <w:basedOn w:val="780"/>
    <w:pPr>
      <w:jc w:val="both"/>
    </w:pPr>
  </w:style>
  <w:style w:type="paragraph" w:styleId="824">
    <w:name w:val="List"/>
    <w:basedOn w:val="823"/>
    <w:rPr>
      <w:rFonts w:cs="Noto Sans Devanagari"/>
    </w:rPr>
  </w:style>
  <w:style w:type="paragraph" w:styleId="825">
    <w:name w:val="Caption"/>
    <w:basedOn w:val="78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826">
    <w:name w:val="Указатель"/>
    <w:basedOn w:val="780"/>
    <w:qFormat/>
    <w:pPr>
      <w:suppressLineNumbers/>
    </w:pPr>
    <w:rPr>
      <w:rFonts w:cs="Noto Sans Devanagari"/>
    </w:rPr>
  </w:style>
  <w:style w:type="paragraph" w:styleId="827">
    <w:name w:val="Title"/>
    <w:basedOn w:val="780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828">
    <w:name w:val="Subtitle"/>
    <w:basedOn w:val="780"/>
    <w:uiPriority w:val="11"/>
    <w:qFormat/>
    <w:pPr>
      <w:spacing w:before="200" w:after="200"/>
    </w:pPr>
    <w:rPr>
      <w:sz w:val="24"/>
      <w:szCs w:val="24"/>
    </w:rPr>
  </w:style>
  <w:style w:type="paragraph" w:styleId="829">
    <w:name w:val="Quote"/>
    <w:basedOn w:val="780"/>
    <w:uiPriority w:val="29"/>
    <w:qFormat/>
    <w:pPr>
      <w:ind w:left="720" w:right="720" w:firstLine="0"/>
    </w:pPr>
    <w:rPr>
      <w:i/>
    </w:rPr>
  </w:style>
  <w:style w:type="paragraph" w:styleId="830">
    <w:name w:val="Intense Quote"/>
    <w:basedOn w:val="780"/>
    <w:uiPriority w:val="30"/>
    <w:qFormat/>
    <w:pPr>
      <w:ind w:left="720" w:right="720" w:firstLine="0"/>
      <w:spacing w:before="0" w:after="20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831">
    <w:name w:val="Колонтитул"/>
    <w:basedOn w:val="780"/>
    <w:qFormat/>
  </w:style>
  <w:style w:type="paragraph" w:styleId="832">
    <w:name w:val="Header"/>
    <w:basedOn w:val="780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33">
    <w:name w:val="Footer"/>
    <w:basedOn w:val="780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34">
    <w:name w:val="footnote text"/>
    <w:basedOn w:val="780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835">
    <w:name w:val="endnote text"/>
    <w:basedOn w:val="780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836">
    <w:name w:val="toc 1"/>
    <w:basedOn w:val="780"/>
    <w:uiPriority w:val="39"/>
    <w:unhideWhenUsed/>
    <w:pPr>
      <w:ind w:left="0" w:right="0" w:firstLine="0"/>
      <w:spacing w:before="0" w:after="57"/>
    </w:pPr>
  </w:style>
  <w:style w:type="paragraph" w:styleId="837">
    <w:name w:val="toc 2"/>
    <w:basedOn w:val="780"/>
    <w:uiPriority w:val="39"/>
    <w:unhideWhenUsed/>
    <w:pPr>
      <w:ind w:left="283" w:right="0" w:firstLine="0"/>
      <w:spacing w:before="0" w:after="57"/>
    </w:pPr>
  </w:style>
  <w:style w:type="paragraph" w:styleId="838">
    <w:name w:val="toc 3"/>
    <w:basedOn w:val="780"/>
    <w:uiPriority w:val="39"/>
    <w:unhideWhenUsed/>
    <w:pPr>
      <w:ind w:left="567" w:right="0" w:firstLine="0"/>
      <w:spacing w:before="0" w:after="57"/>
    </w:pPr>
  </w:style>
  <w:style w:type="paragraph" w:styleId="839">
    <w:name w:val="toc 4"/>
    <w:basedOn w:val="780"/>
    <w:uiPriority w:val="39"/>
    <w:unhideWhenUsed/>
    <w:pPr>
      <w:ind w:left="850" w:right="0" w:firstLine="0"/>
      <w:spacing w:before="0" w:after="57"/>
    </w:pPr>
  </w:style>
  <w:style w:type="paragraph" w:styleId="840">
    <w:name w:val="toc 5"/>
    <w:basedOn w:val="780"/>
    <w:uiPriority w:val="39"/>
    <w:unhideWhenUsed/>
    <w:pPr>
      <w:ind w:left="1134" w:right="0" w:firstLine="0"/>
      <w:spacing w:before="0" w:after="57"/>
    </w:pPr>
  </w:style>
  <w:style w:type="paragraph" w:styleId="841">
    <w:name w:val="toc 6"/>
    <w:basedOn w:val="780"/>
    <w:uiPriority w:val="39"/>
    <w:unhideWhenUsed/>
    <w:pPr>
      <w:ind w:left="1417" w:right="0" w:firstLine="0"/>
      <w:spacing w:before="0" w:after="57"/>
    </w:pPr>
  </w:style>
  <w:style w:type="paragraph" w:styleId="842">
    <w:name w:val="toc 7"/>
    <w:basedOn w:val="780"/>
    <w:uiPriority w:val="39"/>
    <w:unhideWhenUsed/>
    <w:pPr>
      <w:ind w:left="1701" w:right="0" w:firstLine="0"/>
      <w:spacing w:before="0" w:after="57"/>
    </w:pPr>
  </w:style>
  <w:style w:type="paragraph" w:styleId="843">
    <w:name w:val="toc 8"/>
    <w:basedOn w:val="780"/>
    <w:uiPriority w:val="39"/>
    <w:unhideWhenUsed/>
    <w:pPr>
      <w:ind w:left="1984" w:right="0" w:firstLine="0"/>
      <w:spacing w:before="0" w:after="57"/>
    </w:pPr>
  </w:style>
  <w:style w:type="paragraph" w:styleId="844">
    <w:name w:val="toc 9"/>
    <w:basedOn w:val="780"/>
    <w:uiPriority w:val="39"/>
    <w:unhideWhenUsed/>
    <w:pPr>
      <w:ind w:left="2268" w:right="0" w:firstLine="0"/>
      <w:spacing w:before="0" w:after="57"/>
    </w:pPr>
  </w:style>
  <w:style w:type="paragraph" w:styleId="845">
    <w:name w:val="Index Heading"/>
    <w:basedOn w:val="822"/>
  </w:style>
  <w:style w:type="paragraph" w:styleId="846">
    <w:name w:val="TOC Heading"/>
    <w:uiPriority w:val="39"/>
    <w:unhideWhenUsed/>
    <w:qFormat/>
    <w:pPr>
      <w:jc w:val="left"/>
      <w:spacing w:before="0" w:beforeAutospacing="0" w:after="200" w:afterAutospacing="0" w:line="276" w:lineRule="auto"/>
      <w:widowControl/>
    </w:pPr>
    <w:rPr>
      <w:rFonts w:ascii="Calibri" w:hAnsi="Calibri" w:eastAsia="Calibri" w:cs="Arial" w:asciiTheme="minorHAnsi" w:hAnsiTheme="minorHAnsi" w:eastAsiaTheme="minorHAnsi" w:cstheme="minorBidi"/>
      <w:color w:val="auto"/>
      <w:sz w:val="22"/>
      <w:szCs w:val="22"/>
      <w:lang w:val="ru-RU" w:eastAsia="en-US" w:bidi="ar-SA"/>
    </w:rPr>
  </w:style>
  <w:style w:type="paragraph" w:styleId="847">
    <w:name w:val="table of figures"/>
    <w:basedOn w:val="780"/>
    <w:uiPriority w:val="99"/>
    <w:unhideWhenUsed/>
    <w:qFormat/>
    <w:pPr>
      <w:spacing w:before="0" w:after="0" w:afterAutospacing="0"/>
    </w:pPr>
  </w:style>
  <w:style w:type="paragraph" w:styleId="848">
    <w:name w:val="List Continue 2"/>
    <w:basedOn w:val="780"/>
    <w:qFormat/>
    <w:pPr>
      <w:ind w:left="566" w:firstLine="0"/>
      <w:spacing w:before="0" w:after="120"/>
    </w:pPr>
  </w:style>
  <w:style w:type="paragraph" w:styleId="849">
    <w:name w:val="Body Text Indent 2"/>
    <w:basedOn w:val="780"/>
    <w:qFormat/>
    <w:pPr>
      <w:ind w:left="142" w:firstLine="567"/>
      <w:jc w:val="both"/>
    </w:pPr>
  </w:style>
  <w:style w:type="paragraph" w:styleId="850">
    <w:name w:val="annotation text"/>
    <w:basedOn w:val="780"/>
    <w:semiHidden/>
    <w:qFormat/>
  </w:style>
  <w:style w:type="paragraph" w:styleId="851">
    <w:name w:val="Balloon Text"/>
    <w:basedOn w:val="780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852">
    <w:name w:val="No Spacing"/>
    <w:uiPriority w:val="1"/>
    <w:qFormat/>
    <w:pPr>
      <w:jc w:val="left"/>
      <w:spacing w:before="0" w:beforeAutospacing="0" w:after="0" w:afterAutospacing="0" w:line="240" w:lineRule="auto"/>
      <w:widowControl/>
    </w:pPr>
    <w:rPr>
      <w:rFonts w:ascii="Calibri" w:hAnsi="Calibri" w:eastAsia="Calibri" w:cs="Arial" w:asciiTheme="minorHAnsi" w:hAnsiTheme="minorHAnsi" w:eastAsiaTheme="minorHAnsi" w:cstheme="minorBidi"/>
      <w:color w:val="auto"/>
      <w:sz w:val="22"/>
      <w:szCs w:val="22"/>
      <w:lang w:val="ru-RU" w:eastAsia="en-US" w:bidi="ar-SA"/>
    </w:rPr>
  </w:style>
  <w:style w:type="paragraph" w:styleId="853">
    <w:name w:val="List Paragraph"/>
    <w:basedOn w:val="780"/>
    <w:uiPriority w:val="34"/>
    <w:qFormat/>
    <w:pPr>
      <w:contextualSpacing/>
      <w:ind w:left="720" w:firstLine="0"/>
      <w:spacing w:before="0" w:after="0"/>
    </w:pPr>
  </w:style>
  <w:style w:type="paragraph" w:styleId="854">
    <w:name w:val="Содержимое врезки"/>
    <w:basedOn w:val="780"/>
    <w:qFormat/>
  </w:style>
  <w:style w:type="paragraph" w:styleId="855">
    <w:name w:val="Содержимое таблицы"/>
    <w:basedOn w:val="780"/>
    <w:qFormat/>
    <w:pPr>
      <w:widowControl w:val="off"/>
      <w:suppressLineNumbers/>
    </w:pPr>
  </w:style>
  <w:style w:type="paragraph" w:styleId="856">
    <w:name w:val="Заголовок таблицы"/>
    <w:basedOn w:val="855"/>
    <w:qFormat/>
    <w:pPr>
      <w:jc w:val="center"/>
      <w:suppressLineNumbers/>
    </w:pPr>
    <w:rPr>
      <w:b/>
      <w:bCs/>
    </w:rPr>
  </w:style>
  <w:style w:type="numbering" w:styleId="857" w:default="1">
    <w:name w:val="No List"/>
    <w:uiPriority w:val="99"/>
    <w:semiHidden/>
    <w:unhideWhenUsed/>
    <w:qFormat/>
  </w:style>
  <w:style w:type="table" w:styleId="85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8CE0A-170B-47F5-B59C-3A0178DE9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dc:language>ru-RU</dc:language>
  <cp:revision>51</cp:revision>
  <dcterms:created xsi:type="dcterms:W3CDTF">2020-04-23T09:47:00Z</dcterms:created>
  <dcterms:modified xsi:type="dcterms:W3CDTF">2026-09-07T08:16:59Z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