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/>
    </w:p>
    <w:p>
      <w:pPr>
        <w:jc w:val="center"/>
        <w:spacing w:after="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ДОГОВОР № 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spacing w:after="60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spacing w:after="60"/>
        <w:rPr>
          <w:sz w:val="22"/>
          <w:szCs w:val="22"/>
        </w:rPr>
      </w:pPr>
      <w:r>
        <w:rPr>
          <w:sz w:val="22"/>
          <w:szCs w:val="22"/>
        </w:rPr>
        <w:t xml:space="preserve">г. Выборг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___</w:t>
      </w:r>
      <w:r>
        <w:rPr>
          <w:sz w:val="22"/>
          <w:szCs w:val="22"/>
        </w:rPr>
        <w:t xml:space="preserve">»   ________ 2026</w:t>
      </w:r>
      <w:r>
        <w:rPr>
          <w:sz w:val="22"/>
          <w:szCs w:val="22"/>
        </w:rPr>
        <w:t xml:space="preserve"> год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8"/>
        <w:jc w:val="both"/>
        <w:rPr>
          <w:sz w:val="22"/>
          <w:szCs w:val="22"/>
          <w:lang w:bidi="ru-RU"/>
        </w:rPr>
      </w:pPr>
      <w:r>
        <w:rPr>
          <w:sz w:val="22"/>
          <w:szCs w:val="22"/>
          <w:lang w:bidi="ru-RU"/>
        </w:rPr>
      </w:r>
      <w:r>
        <w:rPr>
          <w:sz w:val="22"/>
          <w:szCs w:val="22"/>
          <w:lang w:bidi="ru-RU"/>
        </w:rPr>
      </w:r>
      <w:r>
        <w:rPr>
          <w:sz w:val="22"/>
          <w:szCs w:val="22"/>
          <w:lang w:bidi="ru-RU"/>
        </w:rPr>
      </w:r>
    </w:p>
    <w:p>
      <w:pPr>
        <w:ind w:firstLine="708"/>
        <w:jc w:val="both"/>
        <w:spacing w:after="60"/>
        <w:rPr>
          <w:b/>
          <w:sz w:val="22"/>
          <w:szCs w:val="22"/>
        </w:rPr>
      </w:pPr>
      <w:r>
        <w:rPr>
          <w:rFonts w:eastAsia="Lucida Sans Unicode"/>
          <w:b/>
          <w:sz w:val="22"/>
          <w:szCs w:val="22"/>
          <w:lang w:bidi="ru-RU"/>
        </w:rPr>
        <w:t xml:space="preserve">Администрация Выборгского муниципального района Ленинградской области (Администрация Выборгск</w:t>
      </w:r>
      <w:r>
        <w:rPr>
          <w:rFonts w:eastAsia="Lucida Sans Unicode"/>
          <w:b/>
          <w:sz w:val="22"/>
          <w:szCs w:val="22"/>
          <w:lang w:bidi="ru-RU"/>
        </w:rPr>
        <w:t xml:space="preserve">ого муниципального района</w:t>
      </w:r>
      <w:r>
        <w:rPr>
          <w:rFonts w:eastAsia="Lucida Sans Unicode"/>
          <w:b/>
          <w:sz w:val="22"/>
          <w:szCs w:val="22"/>
          <w:lang w:bidi="ru-RU"/>
        </w:rPr>
        <w:t xml:space="preserve">)</w:t>
      </w:r>
      <w:r>
        <w:rPr>
          <w:bCs/>
          <w:sz w:val="22"/>
          <w:szCs w:val="22"/>
        </w:rPr>
        <w:t xml:space="preserve">, </w:t>
      </w:r>
      <w:r>
        <w:rPr>
          <w:sz w:val="22"/>
          <w:szCs w:val="22"/>
          <w:lang w:eastAsia="ja-JP"/>
        </w:rPr>
        <w:t xml:space="preserve">именуемая в дальнейшем </w:t>
      </w:r>
      <w:r>
        <w:rPr>
          <w:b/>
          <w:sz w:val="22"/>
          <w:szCs w:val="22"/>
          <w:lang w:eastAsia="ja-JP"/>
        </w:rPr>
        <w:t xml:space="preserve">«Заказчик»</w:t>
      </w:r>
      <w:r>
        <w:rPr>
          <w:sz w:val="22"/>
          <w:szCs w:val="22"/>
          <w:lang w:eastAsia="ja-JP"/>
        </w:rPr>
        <w:t xml:space="preserve"> (далее – </w:t>
      </w:r>
      <w:r>
        <w:rPr>
          <w:b/>
          <w:sz w:val="22"/>
          <w:szCs w:val="22"/>
          <w:lang w:eastAsia="ja-JP"/>
        </w:rPr>
        <w:t xml:space="preserve">Заказчик</w:t>
      </w:r>
      <w:r>
        <w:rPr>
          <w:sz w:val="22"/>
          <w:szCs w:val="22"/>
          <w:lang w:eastAsia="ja-JP"/>
        </w:rPr>
        <w:t xml:space="preserve">), в лице    и. о. главы администрации Астаховой Оксаны Юрьевны</w:t>
      </w:r>
      <w:r>
        <w:rPr>
          <w:sz w:val="22"/>
          <w:szCs w:val="22"/>
          <w:lang w:eastAsia="ja-JP"/>
        </w:rPr>
        <w:t xml:space="preserve">, действующего на основании распоряжения №359-К п 1 от 30.09.2026</w:t>
      </w:r>
      <w:r>
        <w:rPr>
          <w:sz w:val="22"/>
          <w:szCs w:val="22"/>
        </w:rPr>
        <w:t xml:space="preserve">, с одной стороны, и_______________________________, в лице_________________________, действующего на основании________________, именуемый в дальнейшем «</w:t>
      </w:r>
      <w:r>
        <w:rPr>
          <w:b/>
          <w:bCs/>
          <w:sz w:val="22"/>
          <w:szCs w:val="22"/>
        </w:rPr>
        <w:t xml:space="preserve">Поставщик</w:t>
      </w:r>
      <w:r>
        <w:rPr>
          <w:sz w:val="22"/>
          <w:szCs w:val="22"/>
        </w:rPr>
        <w:t xml:space="preserve">», совместно именуемые «Стороны», в соответствии </w:t>
      </w:r>
      <w:r>
        <w:rPr>
          <w:sz w:val="22"/>
          <w:szCs w:val="22"/>
        </w:rPr>
        <w:t xml:space="preserve">с пунктом 4 части 1 статьи 93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– Договор) о нижеследующем: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46"/>
        <w:numPr>
          <w:ilvl w:val="0"/>
          <w:numId w:val="3"/>
        </w:numPr>
        <w:ind w:left="1066" w:hanging="357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Предмет Договора</w:t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845"/>
        <w:numPr>
          <w:ilvl w:val="0"/>
          <w:numId w:val="0"/>
        </w:numPr>
        <w:spacing w:before="0"/>
        <w:tabs>
          <w:tab w:val="left" w:pos="0" w:leader="none"/>
          <w:tab w:val="clear" w:pos="284" w:leader="none"/>
        </w:tabs>
        <w:rPr>
          <w:szCs w:val="22"/>
        </w:rPr>
      </w:pPr>
      <w:r>
        <w:rPr>
          <w:szCs w:val="22"/>
        </w:rPr>
        <w:t xml:space="preserve">1.1. Поставщик обязуется на условиях, определенных настоящим Договором, передать в собственность </w:t>
      </w:r>
      <w:r>
        <w:rPr>
          <w:szCs w:val="22"/>
        </w:rPr>
        <w:t xml:space="preserve">Заказчика</w:t>
      </w:r>
      <w:r>
        <w:rPr>
          <w:szCs w:val="22"/>
        </w:rPr>
        <w:t xml:space="preserve"> Товар, а </w:t>
      </w:r>
      <w:r>
        <w:rPr>
          <w:szCs w:val="22"/>
        </w:rPr>
        <w:t xml:space="preserve">Заказчик</w:t>
      </w:r>
      <w:r>
        <w:rPr>
          <w:szCs w:val="22"/>
        </w:rPr>
        <w:t xml:space="preserve"> принять и оплатить его.</w:t>
      </w:r>
      <w:r>
        <w:rPr>
          <w:szCs w:val="22"/>
        </w:rPr>
      </w:r>
      <w:r>
        <w:rPr>
          <w:szCs w:val="22"/>
        </w:rPr>
      </w:r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1.2</w:t>
      </w:r>
      <w:r>
        <w:rPr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Цена, количество, качественные характеристики, наименование Товара, подлежащего поставке, в рамках настоящего договора, указаны в Спецификации (Приложение№1), которая является неотъемлемой частью настоящего Договора.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1.3. ИКЗ:</w:t>
      </w:r>
      <w:r>
        <w:rPr>
          <w:sz w:val="22"/>
          <w:szCs w:val="22"/>
        </w:rPr>
        <w:t xml:space="preserve"> 263470406371047040100100390000000244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46"/>
        <w:numPr>
          <w:ilvl w:val="0"/>
          <w:numId w:val="3"/>
        </w:numPr>
        <w:ind w:left="1066" w:hanging="357"/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Цена Договора и порядок расчетов</w:t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pStyle w:val="849"/>
        <w:ind w:left="0"/>
        <w:spacing w:after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2.1. Цена Договора составляет</w:t>
      </w:r>
      <w:r>
        <w:rPr>
          <w:b/>
          <w:color w:val="000000"/>
          <w:sz w:val="22"/>
          <w:szCs w:val="22"/>
        </w:rPr>
        <w:t xml:space="preserve">    </w:t>
      </w:r>
      <w:r>
        <w:rPr>
          <w:b/>
          <w:color w:val="000000"/>
          <w:sz w:val="22"/>
          <w:szCs w:val="22"/>
        </w:rPr>
        <w:t xml:space="preserve">   </w:t>
      </w:r>
      <w:r>
        <w:rPr>
          <w:b/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рублей     </w:t>
      </w:r>
      <w:r>
        <w:rPr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    копеек, НДС облагается (НДС не облагается) в соответствии с налоговым законодательством Российской Федерации</w:t>
      </w:r>
      <w:r>
        <w:rPr>
          <w:color w:val="000000"/>
          <w:sz w:val="22"/>
          <w:szCs w:val="22"/>
        </w:rPr>
        <w:t xml:space="preserve">.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pStyle w:val="849"/>
        <w:ind w:left="0"/>
        <w:jc w:val="both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2.2. </w:t>
      </w:r>
      <w:r>
        <w:rPr>
          <w:color w:val="000000"/>
          <w:sz w:val="22"/>
          <w:szCs w:val="22"/>
        </w:rPr>
        <w:t xml:space="preserve">Цена </w:t>
      </w:r>
      <w:r>
        <w:rPr>
          <w:bCs/>
          <w:color w:val="000000"/>
          <w:sz w:val="22"/>
          <w:szCs w:val="22"/>
        </w:rPr>
        <w:t xml:space="preserve">Договора</w:t>
      </w:r>
      <w:r>
        <w:rPr>
          <w:color w:val="000000"/>
          <w:sz w:val="22"/>
          <w:szCs w:val="22"/>
        </w:rPr>
        <w:t xml:space="preserve"> является твердой и не может изменяться в ходе исполнения Договора, за исключением случаев, установленных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47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2.3. </w:t>
      </w:r>
      <w:r>
        <w:rPr>
          <w:sz w:val="22"/>
          <w:szCs w:val="22"/>
        </w:rPr>
        <w:t xml:space="preserve">Расчеты между Заказчиком и Поставщиком производятся не позднее 10 (десяти) рабочих дней с даты надлежаще оформленного и подписанного Заказчиком документа о приемке и акта по форме 0510452, утвержденного приказом Минфина России от 15.04.2021 № 61н «Об у</w:t>
      </w:r>
      <w:r>
        <w:rPr>
          <w:sz w:val="22"/>
          <w:szCs w:val="22"/>
        </w:rPr>
        <w:t xml:space="preserve">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 и Методических указаний по их формированию и применению», а также счета.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47"/>
        <w:jc w:val="both"/>
        <w:spacing w:after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</w:t>
      </w:r>
      <w:r>
        <w:rPr>
          <w:color w:val="000000"/>
          <w:sz w:val="22"/>
          <w:szCs w:val="22"/>
        </w:rPr>
        <w:t xml:space="preserve">5</w:t>
      </w:r>
      <w:r>
        <w:rPr>
          <w:color w:val="000000"/>
          <w:sz w:val="22"/>
          <w:szCs w:val="22"/>
        </w:rPr>
        <w:t xml:space="preserve">. Источник финансирования:</w:t>
      </w:r>
      <w:r>
        <w:rPr>
          <w:sz w:val="22"/>
          <w:szCs w:val="22"/>
          <w:lang w:eastAsia="ru-RU"/>
        </w:rPr>
        <w:t xml:space="preserve"> </w:t>
      </w:r>
      <w:r>
        <w:rPr>
          <w:sz w:val="22"/>
          <w:szCs w:val="22"/>
          <w:lang w:eastAsia="ru-RU" w:bidi="ru-RU"/>
        </w:rPr>
        <w:t xml:space="preserve">областной бюджет Ленинградской области на 2026 год</w:t>
      </w:r>
      <w:r>
        <w:rPr>
          <w:sz w:val="22"/>
          <w:szCs w:val="22"/>
          <w:lang w:eastAsia="ru-RU" w:bidi="ru-RU"/>
        </w:rPr>
        <w:t xml:space="preserve">. </w:t>
      </w:r>
      <w:r>
        <w:rPr>
          <w:sz w:val="22"/>
          <w:szCs w:val="22"/>
          <w:lang w:eastAsia="ru-RU" w:bidi="ru-RU"/>
        </w:rPr>
        <w:t xml:space="preserve">(</w:t>
      </w:r>
      <w:r>
        <w:rPr>
          <w:sz w:val="22"/>
          <w:szCs w:val="22"/>
          <w:lang w:eastAsia="ru-RU" w:bidi="ru-RU"/>
        </w:rPr>
        <w:t xml:space="preserve">С</w:t>
      </w:r>
      <w:r>
        <w:rPr>
          <w:sz w:val="22"/>
          <w:szCs w:val="22"/>
          <w:lang w:eastAsia="ru-RU" w:bidi="ru-RU"/>
        </w:rPr>
        <w:t xml:space="preserve">убвенция на организацию и осуществление деятельности по опеке и попечительству на 2026</w:t>
      </w:r>
      <w:r>
        <w:rPr>
          <w:sz w:val="22"/>
          <w:szCs w:val="22"/>
          <w:lang w:eastAsia="ru-RU" w:bidi="ru-RU"/>
        </w:rPr>
        <w:t xml:space="preserve"> год</w:t>
      </w:r>
      <w:r>
        <w:rPr>
          <w:sz w:val="22"/>
          <w:szCs w:val="22"/>
          <w:lang w:eastAsia="ru-RU" w:bidi="ru-RU"/>
        </w:rPr>
        <w:t xml:space="preserve">)</w:t>
      </w:r>
      <w:r>
        <w:rPr>
          <w:sz w:val="22"/>
          <w:szCs w:val="22"/>
          <w:lang w:eastAsia="ru-RU" w:bidi="ru-RU"/>
        </w:rPr>
        <w:t xml:space="preserve">.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pStyle w:val="847"/>
        <w:ind w:firstLine="708"/>
        <w:jc w:val="both"/>
        <w:spacing w:after="0"/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pStyle w:val="846"/>
        <w:numPr>
          <w:ilvl w:val="0"/>
          <w:numId w:val="3"/>
        </w:numPr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Сроки, порядок и условия поставки товара</w:t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Срок поставки товара:</w:t>
      </w:r>
      <w:r>
        <w:rPr>
          <w:sz w:val="22"/>
          <w:szCs w:val="22"/>
        </w:rPr>
        <w:t xml:space="preserve"> в течение 10 (десяти) рабочих дней с даты заключения договора.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Место поставки товара: 188800, Ленинградская обл., г. Выборг, </w:t>
      </w:r>
      <w:r>
        <w:rPr>
          <w:sz w:val="22"/>
          <w:szCs w:val="22"/>
        </w:rPr>
        <w:t xml:space="preserve">ул. Красноармейская,</w:t>
      </w:r>
      <w:r>
        <w:rPr>
          <w:sz w:val="22"/>
          <w:szCs w:val="22"/>
        </w:rPr>
        <w:t xml:space="preserve"> д.1</w:t>
      </w:r>
      <w:r>
        <w:rPr>
          <w:sz w:val="22"/>
          <w:szCs w:val="22"/>
        </w:rPr>
        <w:t xml:space="preserve">6</w:t>
      </w:r>
      <w:r>
        <w:rPr>
          <w:sz w:val="22"/>
          <w:szCs w:val="22"/>
        </w:rPr>
        <w:t xml:space="preserve">.  Время и дата поставки должны быть согласованы с Заказчиком.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Товар должен быть новым (не бывшем в употреблении, ремонте, в том числе, не восстановленным).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3.4. </w:t>
      </w:r>
      <w:r>
        <w:rPr>
          <w:bCs/>
          <w:sz w:val="22"/>
          <w:szCs w:val="22"/>
        </w:rPr>
        <w:t xml:space="preserve">Прием</w:t>
      </w:r>
      <w:r>
        <w:rPr>
          <w:bCs/>
          <w:sz w:val="22"/>
          <w:szCs w:val="22"/>
        </w:rPr>
        <w:t xml:space="preserve">ка товара осуществляется Заказчиком по количеству, качеству и ассортименту, которые должны соответствовать указанному в Спецификации, по месту получения товара с участием представителя Поставщика и оформляется путем подписания товарной накладной либо УПД. </w:t>
      </w: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</w:p>
    <w:p>
      <w:pPr>
        <w:jc w:val="both"/>
        <w:rPr>
          <w:color w:val="000000"/>
          <w:sz w:val="22"/>
          <w:szCs w:val="22"/>
        </w:rPr>
      </w:pPr>
      <w:r>
        <w:rPr>
          <w:bCs/>
          <w:sz w:val="22"/>
          <w:szCs w:val="22"/>
        </w:rPr>
        <w:t xml:space="preserve">3.5. </w:t>
      </w:r>
      <w:r>
        <w:rPr>
          <w:color w:val="000000"/>
          <w:sz w:val="22"/>
          <w:szCs w:val="22"/>
        </w:rPr>
        <w:t xml:space="preserve">Поставщик передает Заказчику следующий комплект документов: счет, товарная накладная, либо УПД, документы, подтверждающие качество поставленного товара.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jc w:val="both"/>
        <w:tabs>
          <w:tab w:val="left" w:pos="1134" w:leader="none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</w:t>
      </w:r>
      <w:r>
        <w:rPr>
          <w:color w:val="000000"/>
          <w:sz w:val="22"/>
          <w:szCs w:val="22"/>
        </w:rPr>
        <w:t xml:space="preserve">6</w:t>
      </w:r>
      <w:r>
        <w:rPr>
          <w:color w:val="000000"/>
          <w:sz w:val="22"/>
          <w:szCs w:val="22"/>
        </w:rPr>
        <w:t xml:space="preserve">. Поставщик обеспечивает полную сохранность от повреждений или порчи во время погрузки, перевозки к конечному пункту назначения и разгрузки.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ind w:firstLine="709"/>
        <w:jc w:val="both"/>
        <w:tabs>
          <w:tab w:val="left" w:pos="1134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46"/>
        <w:numPr>
          <w:ilvl w:val="0"/>
          <w:numId w:val="3"/>
        </w:numPr>
        <w:jc w:val="center"/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Права и обязанности Сторон</w:t>
      </w:r>
      <w:r>
        <w:rPr>
          <w:rFonts w:ascii="Times New Roman" w:hAnsi="Times New Roman"/>
          <w:b/>
        </w:rPr>
      </w:r>
      <w:r>
        <w:rPr>
          <w:rFonts w:ascii="Times New Roman" w:hAnsi="Times New Roman"/>
          <w:b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Поставщик обязан: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4.1.1. Осуществить поставку Т</w:t>
      </w:r>
      <w:r>
        <w:rPr>
          <w:sz w:val="22"/>
          <w:szCs w:val="22"/>
        </w:rPr>
        <w:t xml:space="preserve">овара в соответствии со Спецификацией (Приложение</w:t>
      </w:r>
      <w:r>
        <w:rPr>
          <w:sz w:val="22"/>
          <w:szCs w:val="22"/>
        </w:rPr>
        <w:t xml:space="preserve"> №1</w:t>
      </w:r>
      <w:r>
        <w:rPr>
          <w:sz w:val="22"/>
          <w:szCs w:val="22"/>
        </w:rPr>
        <w:t xml:space="preserve">)</w:t>
      </w:r>
      <w:r>
        <w:rPr>
          <w:sz w:val="22"/>
          <w:szCs w:val="22"/>
        </w:rPr>
        <w:t xml:space="preserve"> в течение срока, указанного в п.3.1 </w:t>
      </w:r>
      <w:r>
        <w:rPr>
          <w:color w:val="000000"/>
          <w:sz w:val="22"/>
          <w:szCs w:val="22"/>
        </w:rPr>
        <w:t xml:space="preserve">Договора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4.1.2. Гарантировать надлежащее качество поставляемого Товара, отсутствие дефектов, связанных с материалами и качеством изготовления, в соответствии с техническими характеристиками, указанными в Спецификации</w:t>
      </w:r>
      <w:r>
        <w:rPr>
          <w:sz w:val="22"/>
          <w:szCs w:val="22"/>
        </w:rPr>
        <w:t xml:space="preserve"> (Приложение №1)</w:t>
      </w:r>
      <w:r>
        <w:rPr>
          <w:sz w:val="22"/>
          <w:szCs w:val="22"/>
        </w:rPr>
        <w:t xml:space="preserve">. Гарантийный срок на </w:t>
      </w:r>
      <w:r>
        <w:rPr>
          <w:sz w:val="22"/>
          <w:szCs w:val="22"/>
        </w:rPr>
        <w:t xml:space="preserve">Товар устанавливается в соответствии с условиями и сроком производителя Товара.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4.1.3. Поставить Товар в упаковке, которая бы обеспечивала его сохранность, товарный вид, предохраняла бы от всякого рода повреждений при транспортировке и хранении.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4.1.4. В случае возникновения обстоятельств, замедляющих поставку или делающих её невозможной, в течение 1 (одного) календарного дня поставить об этом в известность Заказчика в письменном виде.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4.1.5. Направлять своих представителей для оперативного решения вопросов, возникающих при поставке товара в рамках </w:t>
      </w:r>
      <w:r>
        <w:rPr>
          <w:color w:val="000000"/>
          <w:sz w:val="22"/>
          <w:szCs w:val="22"/>
        </w:rPr>
        <w:t xml:space="preserve">Договора</w:t>
      </w:r>
      <w:r>
        <w:rPr>
          <w:sz w:val="22"/>
          <w:szCs w:val="22"/>
        </w:rPr>
        <w:t xml:space="preserve">, наделяя их соответствующими полномочиями.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Заказчик обязан: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4.2.1. Принять Товар по количеству, качеству, ассортименту и комплектности в соответствии с условиями Договора, либо дать мотивированный</w:t>
      </w:r>
      <w:r>
        <w:rPr>
          <w:sz w:val="22"/>
          <w:szCs w:val="22"/>
        </w:rPr>
        <w:t xml:space="preserve"> отказ в приемке Товара. В случае мотивированного отказа Заказчика от принятия поставляемого Товара, Поставщик обязан устранить все отмеченные недостатки за свой счет в течение 7 (семи) рабочих дней после получения уведомления об отказе от принятия Товара.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4.2.2.В случае обнаружения в процессе приемки Товара нарушений и несоответствия его предъявляемым к Товару такого рода требованиям, уведомить об этом Поставщика в течение 10 (десяти) рабочих дней с момента выявления недостатков.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4.2.3. Своевременно оплатить поставку Товара в порядке, предусмотренном в Договоре.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Заказчик имеет право: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widowControl w:val="off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4.3.1. Требовать надлежащего выполнения обязательств по настоящему </w:t>
      </w:r>
      <w:r>
        <w:rPr>
          <w:sz w:val="22"/>
          <w:szCs w:val="22"/>
        </w:rPr>
        <w:t xml:space="preserve">Договору</w:t>
      </w:r>
      <w:r>
        <w:rPr>
          <w:rFonts w:eastAsia="Calibri"/>
          <w:sz w:val="22"/>
          <w:szCs w:val="22"/>
        </w:rPr>
        <w:t xml:space="preserve">.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ind w:firstLine="709"/>
        <w:jc w:val="both"/>
        <w:widowControl w:val="off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4.4. Поставщик имеет право: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ind w:firstLine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4.4.1. В случае надлежащего исполнения обязательств по настоящему </w:t>
      </w:r>
      <w:r>
        <w:rPr>
          <w:sz w:val="22"/>
          <w:szCs w:val="22"/>
        </w:rPr>
        <w:t xml:space="preserve">Договору </w:t>
      </w:r>
      <w:r>
        <w:rPr>
          <w:rFonts w:eastAsia="Calibri"/>
          <w:sz w:val="22"/>
          <w:szCs w:val="22"/>
        </w:rPr>
        <w:t xml:space="preserve">требовать от Заказчика оплаты в полном объеме.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5. Ответственность сторон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 Стороны несут ответственность друг </w:t>
      </w:r>
      <w:r>
        <w:rPr>
          <w:sz w:val="22"/>
          <w:szCs w:val="22"/>
        </w:rPr>
        <w:t xml:space="preserve">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и постановлением Правительства Российской Федерации от 30.08.2017 г. № 1042.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6. Обстоятельства непреодолимой силы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 Стороны освобождаются от о</w:t>
      </w:r>
      <w:r>
        <w:rPr>
          <w:sz w:val="22"/>
          <w:szCs w:val="22"/>
        </w:rPr>
        <w:t xml:space="preserve">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наличие которых должно быть документально подтверждено соотв</w:t>
      </w:r>
      <w:r>
        <w:rPr>
          <w:sz w:val="22"/>
          <w:szCs w:val="22"/>
        </w:rPr>
        <w:t xml:space="preserve">етствующим компетентным органом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</w:t>
      </w:r>
      <w:r>
        <w:rPr>
          <w:sz w:val="22"/>
          <w:szCs w:val="22"/>
        </w:rPr>
        <w:t xml:space="preserve"> если эти обстоятельства непосредственно повлияли на исполнение настоящего Договора.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6.2. Ст</w:t>
      </w:r>
      <w:r>
        <w:rPr>
          <w:sz w:val="22"/>
          <w:szCs w:val="22"/>
        </w:rPr>
        <w:t xml:space="preserve">орона, оказавшаяся не в состоянии выполнить свои обязательства по настоящему Договору, обязана незамедлительно известить другую сторону о наступлении или прекращении действия обстоятельств непреодолимой силы, препятствующих выполнению ею этих обязательств.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6.3.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6.4. Обстоятельства непреодолимой силы учитываются при исчислении срока действия Договора.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7. Порядок расторжения Договора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7.1. Расторжение настоящего Договора допускается по соглашению Сторон,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7.2. Заказчик вправе принять решение об одностороннем отказе от исполнения Договора </w:t>
      </w:r>
      <w:r>
        <w:rPr>
          <w:bCs/>
          <w:sz w:val="22"/>
          <w:szCs w:val="22"/>
        </w:rPr>
        <w:t xml:space="preserve">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>
        <w:rPr>
          <w:sz w:val="22"/>
          <w:szCs w:val="22"/>
        </w:rPr>
        <w:t xml:space="preserve">. До принятия решения об одностороннем отказе от исполнения Договора Заказчик вправе провести экспертизу поставленного товара с привлечением экспертов, экспертных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7.3. Решение Заказчика об одностороннем отказе от исполнения Договора вступает в силу и Договор считается расторгнутым через 10 (десять) дней с даты надлежащего уведомления Заказчиком Поставщика об одностороннем отказе от исполнения Договора.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8. Разрешение споров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Все с</w:t>
      </w:r>
      <w:r>
        <w:rPr>
          <w:sz w:val="22"/>
          <w:szCs w:val="22"/>
        </w:rPr>
        <w:t xml:space="preserve">поры, возника</w:t>
      </w:r>
      <w:r>
        <w:rPr>
          <w:sz w:val="22"/>
          <w:szCs w:val="22"/>
        </w:rPr>
        <w:t xml:space="preserve">ющие по настоящему Договору, Стороны будут стараться разрешить путем переговоров. В случае невозможности урегулирования спора путем переговоров Стороны вправе обратиться для его разрешения  в Арбитражный суд города Санкт-Петербурга и Ленинградской области.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8.2. Претензионный порядок разрешения споров по Договору обязателен. Срок рассмотрения претензии составляет 10 (десять) </w:t>
      </w:r>
      <w:r>
        <w:rPr>
          <w:sz w:val="22"/>
          <w:szCs w:val="22"/>
        </w:rPr>
        <w:t xml:space="preserve">рабочих дней с даты ее получения Стороной.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9. Прочие условия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9.1. Настоящий договор составлен в двух экземплярах, имеющих одинаковую юридическую силу, по одному для каждой из Сторон.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 Изменение Договора возможно по соглашению Сторон в случаях, предусмотренных действующим законода</w:t>
      </w:r>
      <w:r>
        <w:rPr>
          <w:sz w:val="22"/>
          <w:szCs w:val="22"/>
        </w:rPr>
        <w:t xml:space="preserve">тельством РФ. Все изменения и дополнения оформляются в письменном виде путем заключения Сторонами дополнительных соглашений к Договору. Дополнительные соглашения к Договору являются его неотъемлемой частью и вступают в силу с момента подписания Сторонами.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9.3. Во всем, что не предусмотрено настоящим Договором, Стороны руководствуются действующим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9.4. Об изменении своего места нахождения, наименования, организационно-правовой формы, банковских реквизитов, контактной информации соответствующая Сторона в пят</w:t>
      </w:r>
      <w:r>
        <w:rPr>
          <w:color w:val="000000"/>
          <w:sz w:val="22"/>
          <w:szCs w:val="22"/>
        </w:rPr>
        <w:t xml:space="preserve">идневный срок</w:t>
      </w:r>
      <w:r>
        <w:rPr>
          <w:sz w:val="22"/>
          <w:szCs w:val="22"/>
        </w:rPr>
        <w:t xml:space="preserve"> извещает другую Сторону.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9.5. </w:t>
      </w:r>
      <w:r>
        <w:rPr>
          <w:sz w:val="22"/>
          <w:szCs w:val="22"/>
        </w:rPr>
        <w:t xml:space="preserve">К настоящему Договору прилагается и являет</w:t>
      </w:r>
      <w:r>
        <w:rPr>
          <w:sz w:val="22"/>
          <w:szCs w:val="22"/>
        </w:rPr>
        <w:t xml:space="preserve">ся его неотъемлемой частью: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  <w:highlight w:val="none"/>
        </w:rPr>
      </w:pPr>
      <w:r>
        <w:rPr>
          <w:sz w:val="22"/>
          <w:szCs w:val="22"/>
        </w:rPr>
        <w:t xml:space="preserve">Приложение №</w:t>
      </w:r>
      <w:r>
        <w:rPr>
          <w:sz w:val="22"/>
          <w:szCs w:val="22"/>
        </w:rPr>
        <w:t xml:space="preserve">1 - </w:t>
      </w:r>
      <w:r>
        <w:rPr>
          <w:bCs/>
          <w:sz w:val="22"/>
          <w:szCs w:val="22"/>
        </w:rPr>
        <w:t xml:space="preserve">Спецификация;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bCs/>
          <w:sz w:val="22"/>
          <w:szCs w:val="22"/>
          <w:highlight w:val="none"/>
        </w:rPr>
      </w:r>
      <w:r>
        <w:rPr>
          <w:sz w:val="22"/>
          <w:szCs w:val="22"/>
        </w:rPr>
        <w:t xml:space="preserve">Приложение №</w:t>
      </w:r>
      <w:r>
        <w:rPr>
          <w:sz w:val="22"/>
          <w:szCs w:val="22"/>
        </w:rPr>
        <w:t xml:space="preserve"> 2 – </w:t>
      </w:r>
      <w:r>
        <w:rPr>
          <w:sz w:val="22"/>
          <w:szCs w:val="22"/>
        </w:rPr>
        <w:t xml:space="preserve">Описание объекта закупки</w:t>
      </w:r>
      <w:r>
        <w:rPr>
          <w:bCs/>
          <w:sz w:val="22"/>
          <w:szCs w:val="22"/>
          <w:highlight w:val="none"/>
        </w:rPr>
      </w:r>
      <w:r>
        <w:rPr>
          <w:sz w:val="22"/>
          <w:szCs w:val="22"/>
        </w:rPr>
      </w:r>
    </w:p>
    <w:p>
      <w:pPr>
        <w:spacing w:after="60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spacing w:after="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10. Срок действия Договора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Настоящий Договор </w:t>
      </w:r>
      <w:r>
        <w:rPr>
          <w:sz w:val="22"/>
          <w:szCs w:val="22"/>
        </w:rPr>
        <w:t xml:space="preserve">вступает в силу со дня заключения и действует по 31.12.</w:t>
      </w:r>
      <w:r>
        <w:rPr>
          <w:sz w:val="22"/>
          <w:szCs w:val="22"/>
        </w:rPr>
        <w:t xml:space="preserve">2026</w:t>
      </w:r>
      <w:r>
        <w:rPr>
          <w:sz w:val="22"/>
          <w:szCs w:val="22"/>
        </w:rPr>
        <w:t xml:space="preserve"> года, но</w:t>
      </w:r>
      <w:r>
        <w:rPr>
          <w:sz w:val="22"/>
          <w:szCs w:val="22"/>
        </w:rPr>
        <w:t xml:space="preserve"> в любом случае до полного выполнения сторонами всех обязательств, предусмотренных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</w:t>
      </w:r>
      <w:r>
        <w:rPr>
          <w:b/>
          <w:sz w:val="22"/>
          <w:szCs w:val="22"/>
        </w:rPr>
        <w:t xml:space="preserve">1</w:t>
      </w:r>
      <w:r>
        <w:rPr>
          <w:b/>
          <w:sz w:val="22"/>
          <w:szCs w:val="22"/>
        </w:rPr>
        <w:t xml:space="preserve">.  Реквизиты и подписи сторон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tbl>
      <w:tblPr>
        <w:tblStyle w:val="842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639"/>
        <w:gridCol w:w="4786"/>
      </w:tblGrid>
      <w:tr>
        <w:tblPrEx/>
        <w:trPr>
          <w:jc w:val="center"/>
        </w:trPr>
        <w:tc>
          <w:tcPr>
            <w:tcW w:w="5497" w:type="dxa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ЗАКАЗЧИК:</w:t>
            </w:r>
            <w:r>
              <w:rPr>
                <w:b/>
                <w:sz w:val="22"/>
                <w:szCs w:val="22"/>
                <w:lang w:eastAsia="en-US"/>
              </w:rPr>
            </w:r>
            <w:r>
              <w:rPr>
                <w:b/>
                <w:sz w:val="22"/>
                <w:szCs w:val="22"/>
                <w:lang w:eastAsia="en-US"/>
              </w:rPr>
            </w:r>
          </w:p>
          <w:p>
            <w:pPr>
              <w:ind w:left="3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Администрация Выборгского муниципального района Ленинградской области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188800, Ленинградская область,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Выборг, ул. Советская, д. 12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34" w:right="24"/>
              <w:spacing w:line="322" w:lineRule="exact"/>
              <w:shd w:val="clear" w:color="auto" w:fill="ffffff"/>
              <w:tabs>
                <w:tab w:val="left" w:pos="288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ИНН/КПП   4704063710/470401001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tbl>
            <w:tblPr>
              <w:tblW w:w="5413" w:type="dxa"/>
              <w:tblLook w:val="04A0" w:firstRow="1" w:lastRow="0" w:firstColumn="1" w:lastColumn="0" w:noHBand="0" w:noVBand="1"/>
            </w:tblPr>
            <w:tblGrid>
              <w:gridCol w:w="5413"/>
            </w:tblGrid>
            <w:tr>
              <w:tblPrEx/>
              <w:trPr>
                <w:trHeight w:val="4438"/>
              </w:trPr>
              <w:tc>
                <w:tcPr>
                  <w:tcBorders>
                    <w:top w:val="single" w:color="FFFFFF" w:sz="4" w:space="0"/>
                    <w:left w:val="single" w:color="FFFFFF" w:sz="4" w:space="0"/>
                    <w:bottom w:val="single" w:color="FFFFFF" w:sz="4" w:space="0"/>
                    <w:right w:val="single" w:color="FFFFFF" w:sz="4" w:space="0"/>
                  </w:tcBorders>
                  <w:tcW w:w="5413" w:type="dxa"/>
                  <w:textDirection w:val="lrTb"/>
                  <w:noWrap w:val="false"/>
                </w:tcPr>
                <w:p>
                  <w:pPr>
                    <w:ind w:left="-108"/>
                    <w:rPr>
                      <w:sz w:val="22"/>
                      <w:szCs w:val="22"/>
                      <w:u w:val="single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 xml:space="preserve">Банковские реквизиты: </w:t>
                  </w:r>
                  <w:r>
                    <w:rPr>
                      <w:sz w:val="22"/>
                      <w:szCs w:val="22"/>
                      <w:u w:val="single"/>
                    </w:rPr>
                  </w:r>
                  <w:r>
                    <w:rPr>
                      <w:sz w:val="22"/>
                      <w:szCs w:val="22"/>
                      <w:u w:val="single"/>
                    </w:rPr>
                  </w:r>
                </w:p>
                <w:p>
                  <w:pPr>
                    <w:ind w:left="-108" w:right="2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Наименование плательщика: КФ ВМР ЛО (администрация Выборгского муниципального района Ленинградской области, л/</w:t>
                  </w:r>
                  <w:r>
                    <w:rPr>
                      <w:sz w:val="22"/>
                      <w:szCs w:val="22"/>
                    </w:rPr>
                    <w:t xml:space="preserve">сч</w:t>
                  </w:r>
                  <w:r>
                    <w:rPr>
                      <w:sz w:val="22"/>
                      <w:szCs w:val="22"/>
                    </w:rPr>
                    <w:t xml:space="preserve">. 02453001100)</w: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ind w:left="-1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Банк: СЕВЕРО-ЗАПАДНОЕ ГУ БАНКА РОССИИ//УФК по Ленинградской области г Санкт-Петербург</w: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ind w:left="-1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р/</w:t>
                  </w:r>
                  <w:r>
                    <w:rPr>
                      <w:sz w:val="22"/>
                      <w:szCs w:val="22"/>
                    </w:rPr>
                    <w:t xml:space="preserve">сч</w:t>
                  </w:r>
                  <w:r>
                    <w:rPr>
                      <w:sz w:val="22"/>
                      <w:szCs w:val="22"/>
                    </w:rPr>
                    <w:t xml:space="preserve">. 032 316 434 161 500 045 00</w: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ind w:left="-1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БИК   044030098</w: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ind w:left="-1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к/счет: 401 028 107 453 700 000 98</w: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ind w:left="-1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л/</w:t>
                  </w:r>
                  <w:r>
                    <w:rPr>
                      <w:sz w:val="22"/>
                      <w:szCs w:val="22"/>
                    </w:rPr>
                    <w:t xml:space="preserve">сч</w:t>
                  </w:r>
                  <w:r>
                    <w:rPr>
                      <w:sz w:val="22"/>
                      <w:szCs w:val="22"/>
                    </w:rPr>
                    <w:t xml:space="preserve">.   019019010000 в Комитете финансов администрации Выборгского муниципального  </w: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ind w:left="-1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района Ленинградской области.</w: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ind w:left="-108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ОКПО   43493964 ОКТМО 41615000</w: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ind w:left="-108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ОКВЭД   84.11.3 ОКОГУ 3300100</w: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ind w:left="-108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ОКФС   14 ОКОПФ   75404</w: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ind w:left="-108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ОГРН   1054700191391</w:t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</w:r>
                </w:p>
                <w:p>
                  <w:pPr>
                    <w:ind w:left="-1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</w:r>
                  <w:r>
                    <w:rPr>
                      <w:sz w:val="22"/>
                      <w:szCs w:val="22"/>
                    </w:rPr>
                  </w:r>
                </w:p>
              </w:tc>
            </w:tr>
          </w:tbl>
          <w:p>
            <w:pPr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 xml:space="preserve">И. о. главы администрации</w:t>
            </w:r>
            <w:r>
              <w:rPr>
                <w:b/>
                <w:lang w:eastAsia="ja-JP"/>
              </w:rPr>
            </w:r>
            <w:r>
              <w:rPr>
                <w:b/>
                <w:lang w:eastAsia="ja-JP"/>
              </w:rPr>
            </w:r>
          </w:p>
          <w:p>
            <w:pPr>
              <w:rPr>
                <w:b/>
                <w:lang w:eastAsia="ja-JP"/>
              </w:rPr>
            </w:pPr>
            <w:r>
              <w:rPr>
                <w:b/>
                <w:lang w:eastAsia="ja-JP"/>
              </w:rPr>
            </w:r>
            <w:r>
              <w:rPr>
                <w:b/>
                <w:lang w:eastAsia="ja-JP"/>
              </w:rPr>
            </w:r>
            <w:r>
              <w:rPr>
                <w:b/>
                <w:lang w:eastAsia="ja-JP"/>
              </w:rPr>
            </w:r>
          </w:p>
          <w:p>
            <w:pPr>
              <w:rPr>
                <w:b/>
                <w:lang w:eastAsia="ja-JP"/>
              </w:rPr>
            </w:pPr>
            <w:r>
              <w:rPr>
                <w:b/>
                <w:lang w:eastAsia="ja-JP"/>
              </w:rPr>
              <w:t xml:space="preserve">__________________О. Ю. Астахова</w:t>
            </w:r>
            <w:r>
              <w:rPr>
                <w:b/>
                <w:lang w:eastAsia="ja-JP"/>
              </w:rPr>
            </w:r>
            <w:r>
              <w:rPr>
                <w:b/>
                <w:lang w:eastAsia="ja-JP"/>
              </w:rPr>
            </w:r>
          </w:p>
          <w:p>
            <w:pPr>
              <w:rPr>
                <w:b/>
                <w:lang w:eastAsia="ja-JP"/>
              </w:rPr>
            </w:pPr>
            <w:r>
              <w:rPr>
                <w:b/>
                <w:lang w:eastAsia="ja-JP"/>
              </w:rPr>
            </w:r>
            <w:r>
              <w:rPr>
                <w:b/>
                <w:lang w:eastAsia="ja-JP"/>
              </w:rPr>
            </w:r>
            <w:r>
              <w:rPr>
                <w:b/>
                <w:lang w:eastAsia="ja-JP"/>
              </w:rPr>
            </w:r>
          </w:p>
          <w:p>
            <w:pPr>
              <w:rPr>
                <w:lang w:eastAsia="ja-JP"/>
              </w:rPr>
            </w:pPr>
            <w:r>
              <w:rPr>
                <w:lang w:eastAsia="ja-JP"/>
              </w:rPr>
              <w:t xml:space="preserve"> «___» __________ 2026 г.</w:t>
            </w:r>
            <w:r>
              <w:rPr>
                <w:lang w:eastAsia="ja-JP"/>
              </w:rPr>
            </w:r>
            <w:r>
              <w:rPr>
                <w:lang w:eastAsia="ja-JP"/>
              </w:rPr>
            </w:r>
          </w:p>
          <w:p>
            <w:pPr>
              <w:ind w:right="24"/>
              <w:spacing w:line="322" w:lineRule="exact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lang w:eastAsia="ja-JP"/>
              </w:rPr>
              <w:t xml:space="preserve">                           </w:t>
            </w:r>
            <w:r>
              <w:rPr>
                <w:lang w:eastAsia="ja-JP"/>
              </w:rPr>
              <w:t xml:space="preserve">м.п</w:t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ind w:right="24"/>
              <w:spacing w:line="322" w:lineRule="exact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ind w:right="24"/>
              <w:spacing w:line="322" w:lineRule="exact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ind w:right="24"/>
              <w:spacing w:line="322" w:lineRule="exact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ind w:right="24"/>
              <w:spacing w:line="322" w:lineRule="exact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ind w:right="24"/>
              <w:spacing w:line="322" w:lineRule="exact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ind w:right="24"/>
              <w:spacing w:line="322" w:lineRule="exact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ind w:right="24"/>
              <w:spacing w:line="322" w:lineRule="exact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spacing w:after="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4786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ПОСТАВЩИК: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__</w:t>
            </w:r>
            <w:r>
              <w:rPr>
                <w:sz w:val="22"/>
                <w:szCs w:val="22"/>
              </w:rPr>
              <w:t xml:space="preserve">______</w:t>
            </w:r>
            <w:r>
              <w:rPr>
                <w:sz w:val="22"/>
                <w:szCs w:val="22"/>
              </w:rPr>
              <w:t xml:space="preserve">________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spacing w:after="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</w:tbl>
    <w:p>
      <w:pPr>
        <w:jc w:val="center"/>
        <w:spacing w:after="60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1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к Договору № 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от _____________ 2026 года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Спецификация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6" w:type="pct"/>
        <w:tblInd w:w="-10" w:type="dxa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59"/>
        <w:gridCol w:w="5014"/>
        <w:gridCol w:w="546"/>
        <w:gridCol w:w="927"/>
        <w:gridCol w:w="1362"/>
        <w:gridCol w:w="1851"/>
      </w:tblGrid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W w:w="363" w:type="pct"/>
            <w:vAlign w:val="center"/>
            <w:textDirection w:val="lrTb"/>
            <w:noWrap w:val="false"/>
          </w:tcPr>
          <w:p>
            <w:pPr>
              <w:ind w:left="15"/>
              <w:jc w:val="center"/>
              <w:spacing w:before="29" w:line="161" w:lineRule="exact"/>
              <w:widowControl w:val="off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Артикул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W w:w="2397" w:type="pct"/>
            <w:vAlign w:val="center"/>
            <w:textDirection w:val="lrTb"/>
            <w:noWrap w:val="false"/>
          </w:tcPr>
          <w:p>
            <w:pPr>
              <w:ind w:left="15"/>
              <w:jc w:val="center"/>
              <w:spacing w:before="29" w:line="161" w:lineRule="exact"/>
              <w:widowControl w:val="off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Наименование товара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W w:w="261" w:type="pct"/>
            <w:vAlign w:val="center"/>
            <w:textDirection w:val="lrTb"/>
            <w:noWrap w:val="false"/>
          </w:tcPr>
          <w:p>
            <w:pPr>
              <w:ind w:left="15"/>
              <w:jc w:val="center"/>
              <w:spacing w:before="29" w:line="161" w:lineRule="exact"/>
              <w:widowControl w:val="off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Ед.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 xml:space="preserve">изм.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W w:w="443" w:type="pct"/>
            <w:vAlign w:val="center"/>
            <w:textDirection w:val="lrTb"/>
            <w:noWrap w:val="false"/>
          </w:tcPr>
          <w:p>
            <w:pPr>
              <w:ind w:left="15"/>
              <w:jc w:val="center"/>
              <w:spacing w:before="29" w:line="161" w:lineRule="exact"/>
              <w:widowControl w:val="off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Количество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W w:w="651" w:type="pct"/>
            <w:vAlign w:val="center"/>
            <w:textDirection w:val="lrTb"/>
            <w:noWrap w:val="false"/>
          </w:tcPr>
          <w:p>
            <w:pPr>
              <w:ind w:left="15"/>
              <w:jc w:val="center"/>
              <w:spacing w:before="29" w:line="161" w:lineRule="exact"/>
              <w:widowControl w:val="off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Цена с НДС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 xml:space="preserve">РУБ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85" w:type="pct"/>
            <w:vAlign w:val="center"/>
            <w:textDirection w:val="lrTb"/>
            <w:noWrap w:val="false"/>
          </w:tcPr>
          <w:p>
            <w:pPr>
              <w:ind w:left="15"/>
              <w:jc w:val="center"/>
              <w:spacing w:before="29" w:line="161" w:lineRule="exact"/>
              <w:widowControl w:val="off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Сумма с НДС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 xml:space="preserve">РУБ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63" w:type="pct"/>
            <w:vAlign w:val="center"/>
            <w:textDirection w:val="lrTb"/>
            <w:noWrap w:val="false"/>
          </w:tcPr>
          <w:p>
            <w:pPr>
              <w:ind w:left="15"/>
              <w:jc w:val="center"/>
              <w:spacing w:before="29" w:line="199" w:lineRule="exact"/>
              <w:widowControl w:val="off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1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397" w:type="pct"/>
            <w:vAlign w:val="center"/>
            <w:textDirection w:val="lrTb"/>
            <w:noWrap w:val="false"/>
          </w:tcPr>
          <w:p>
            <w:pPr>
              <w:rPr>
                <w:b/>
                <w:spacing w:val="-14"/>
                <w:sz w:val="20"/>
                <w:szCs w:val="20"/>
              </w:rPr>
            </w:pPr>
            <w:r>
              <w:rPr>
                <w:color w:val="000000"/>
                <w:spacing w:val="-14"/>
                <w:sz w:val="22"/>
                <w:szCs w:val="22"/>
              </w:rPr>
              <w:t xml:space="preserve">Туалетная бумага</w:t>
            </w:r>
            <w:r>
              <w:rPr>
                <w:b/>
                <w:spacing w:val="-14"/>
                <w:sz w:val="20"/>
                <w:szCs w:val="20"/>
              </w:rPr>
            </w:r>
            <w:r>
              <w:rPr>
                <w:b/>
                <w:spacing w:val="-14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61" w:type="pct"/>
            <w:vAlign w:val="center"/>
            <w:textDirection w:val="lrTb"/>
            <w:noWrap w:val="false"/>
          </w:tcPr>
          <w:p>
            <w:pPr>
              <w:ind w:left="15"/>
              <w:jc w:val="center"/>
              <w:spacing w:before="29" w:line="199" w:lineRule="exact"/>
              <w:widowControl w:val="off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рул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43" w:type="pct"/>
            <w:vAlign w:val="center"/>
            <w:textDirection w:val="lrTb"/>
            <w:noWrap w:val="false"/>
          </w:tcPr>
          <w:p>
            <w:pPr>
              <w:ind w:left="15"/>
              <w:jc w:val="center"/>
              <w:spacing w:before="29" w:line="218" w:lineRule="exact"/>
              <w:widowControl w:val="o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51" w:type="pct"/>
            <w:vAlign w:val="center"/>
            <w:textDirection w:val="lrTb"/>
            <w:noWrap w:val="false"/>
          </w:tcPr>
          <w:p>
            <w:pPr>
              <w:ind w:left="15"/>
              <w:jc w:val="right"/>
              <w:spacing w:before="29" w:line="218" w:lineRule="exact"/>
              <w:widowControl w:val="o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163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,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 xml:space="preserve"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5" w:type="pct"/>
            <w:vAlign w:val="center"/>
            <w:textDirection w:val="lrTb"/>
            <w:noWrap w:val="false"/>
          </w:tcPr>
          <w:p>
            <w:pPr>
              <w:ind w:left="15"/>
              <w:jc w:val="right"/>
              <w:spacing w:before="29" w:line="218" w:lineRule="exact"/>
              <w:widowControl w:val="o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363" w:type="pct"/>
            <w:vAlign w:val="center"/>
            <w:vMerge w:val="restart"/>
            <w:textDirection w:val="lrTb"/>
            <w:noWrap w:val="false"/>
          </w:tcPr>
          <w:p>
            <w:pPr>
              <w:ind w:left="15"/>
              <w:jc w:val="center"/>
              <w:spacing w:before="29" w:line="199" w:lineRule="exact"/>
              <w:widowControl w:val="off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2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397" w:type="pct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pacing w:val="-14"/>
                <w:sz w:val="22"/>
                <w:szCs w:val="22"/>
              </w:rPr>
            </w:pPr>
            <w:r>
              <w:rPr>
                <w:color w:val="000000"/>
                <w:spacing w:val="-14"/>
                <w:sz w:val="22"/>
                <w:szCs w:val="22"/>
              </w:rPr>
              <w:t xml:space="preserve">Полотенца бумажные</w:t>
            </w:r>
            <w:r>
              <w:rPr>
                <w:color w:val="000000"/>
                <w:spacing w:val="-14"/>
                <w:sz w:val="22"/>
                <w:szCs w:val="22"/>
              </w:rPr>
            </w:r>
            <w:r>
              <w:rPr>
                <w:color w:val="000000"/>
                <w:spacing w:val="-14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61" w:type="pct"/>
            <w:vAlign w:val="center"/>
            <w:vMerge w:val="restart"/>
            <w:textDirection w:val="lrTb"/>
            <w:noWrap w:val="false"/>
          </w:tcPr>
          <w:p>
            <w:pPr>
              <w:ind w:left="15"/>
              <w:jc w:val="center"/>
              <w:spacing w:before="29" w:line="199" w:lineRule="exact"/>
              <w:widowControl w:val="off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пач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43" w:type="pct"/>
            <w:vAlign w:val="center"/>
            <w:vMerge w:val="restart"/>
            <w:textDirection w:val="lrTb"/>
            <w:noWrap w:val="false"/>
          </w:tcPr>
          <w:p>
            <w:pPr>
              <w:ind w:left="15"/>
              <w:jc w:val="center"/>
              <w:spacing w:before="29" w:line="218" w:lineRule="exact"/>
              <w:widowControl w:val="o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651" w:type="pct"/>
            <w:vAlign w:val="center"/>
            <w:vMerge w:val="restart"/>
            <w:textDirection w:val="lrTb"/>
            <w:noWrap w:val="false"/>
          </w:tcPr>
          <w:p>
            <w:pPr>
              <w:ind w:left="15"/>
              <w:jc w:val="right"/>
              <w:spacing w:before="29" w:line="218" w:lineRule="exact"/>
              <w:widowControl w:val="o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99,94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85" w:type="pct"/>
            <w:vAlign w:val="center"/>
            <w:vMerge w:val="restart"/>
            <w:textDirection w:val="lrTb"/>
            <w:noWrap w:val="false"/>
          </w:tcPr>
          <w:p>
            <w:pPr>
              <w:ind w:left="15"/>
              <w:jc w:val="right"/>
              <w:spacing w:before="29" w:line="218" w:lineRule="exact"/>
              <w:widowControl w:val="off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</w:r>
          </w:p>
        </w:tc>
      </w:tr>
    </w:tbl>
    <w:p>
      <w:pPr>
        <w:pStyle w:val="849"/>
        <w:ind w:left="0" w:firstLine="567"/>
        <w:jc w:val="both"/>
        <w:spacing w:after="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</w:r>
      <w:r>
        <w:rPr>
          <w:b/>
          <w:color w:val="000000"/>
          <w:sz w:val="22"/>
          <w:szCs w:val="22"/>
        </w:rPr>
      </w:r>
      <w:r>
        <w:rPr>
          <w:b/>
          <w:color w:val="000000"/>
          <w:sz w:val="22"/>
          <w:szCs w:val="22"/>
        </w:rPr>
      </w:r>
    </w:p>
    <w:p>
      <w:pPr>
        <w:pStyle w:val="849"/>
        <w:ind w:left="0" w:firstLine="567"/>
        <w:jc w:val="both"/>
        <w:spacing w:after="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</w:r>
      <w:r>
        <w:rPr>
          <w:b/>
          <w:color w:val="000000"/>
          <w:sz w:val="22"/>
          <w:szCs w:val="22"/>
        </w:rPr>
      </w:r>
      <w:r>
        <w:rPr>
          <w:b/>
          <w:color w:val="000000"/>
          <w:sz w:val="22"/>
          <w:szCs w:val="22"/>
        </w:rPr>
      </w:r>
    </w:p>
    <w:tbl>
      <w:tblPr>
        <w:tblStyle w:val="842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786"/>
        <w:gridCol w:w="4786"/>
      </w:tblGrid>
      <w:tr>
        <w:tblPrEx/>
        <w:trPr>
          <w:jc w:val="center"/>
        </w:trPr>
        <w:tc>
          <w:tcPr>
            <w:tcW w:w="4786" w:type="dxa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  <w:lang w:eastAsia="en-US"/>
              </w:rPr>
            </w:pPr>
            <w:r/>
            <w:bookmarkStart w:id="0" w:name="_Hlk211852945"/>
            <w:r>
              <w:rPr>
                <w:b/>
                <w:sz w:val="22"/>
                <w:szCs w:val="22"/>
                <w:lang w:eastAsia="en-US"/>
              </w:rPr>
              <w:t xml:space="preserve">ЗАКАЗЧИК:</w:t>
            </w:r>
            <w:r>
              <w:rPr>
                <w:b/>
                <w:sz w:val="22"/>
                <w:szCs w:val="22"/>
                <w:lang w:eastAsia="en-US"/>
              </w:rPr>
            </w:r>
            <w:r>
              <w:rPr>
                <w:b/>
                <w:sz w:val="22"/>
                <w:szCs w:val="22"/>
                <w:lang w:eastAsia="en-US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b/>
                <w:spacing w:val="-1"/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 xml:space="preserve">Администрация Выборгского муниципального района Ленинградской области</w:t>
            </w: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b/>
                <w:spacing w:val="-1"/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 xml:space="preserve">И. о. главы администрации</w:t>
            </w: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b/>
                <w:spacing w:val="-1"/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b/>
                <w:spacing w:val="-1"/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b/>
                <w:spacing w:val="-1"/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 xml:space="preserve">__________________О. Ю. Астахова</w:t>
            </w: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b/>
                <w:spacing w:val="-1"/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 «___» __________ 2026 г.</w:t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                           </w:t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</w:tc>
        <w:tc>
          <w:tcPr>
            <w:tcW w:w="4786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ПОСТАВЩИК: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spacing w:after="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_________________________</w:t>
            </w:r>
            <w:bookmarkEnd w:id="0"/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</w:tbl>
    <w:p>
      <w:pPr>
        <w:jc w:val="center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2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к Договору № 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от _____________ 2026 года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highlight w:val="none"/>
        </w:rPr>
      </w:pPr>
      <w:r>
        <w:t xml:space="preserve">Оп</w:t>
      </w:r>
      <w:r>
        <w:t xml:space="preserve">исание объекта закупки</w:t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Style w:val="842"/>
        <w:tblW w:w="0" w:type="auto"/>
        <w:tblInd w:w="-5" w:type="dxa"/>
        <w:tblLook w:val="04A0" w:firstRow="1" w:lastRow="0" w:firstColumn="1" w:lastColumn="0" w:noHBand="0" w:noVBand="1"/>
      </w:tblPr>
      <w:tblGrid>
        <w:gridCol w:w="979"/>
        <w:gridCol w:w="1975"/>
        <w:gridCol w:w="1465"/>
        <w:gridCol w:w="367"/>
        <w:gridCol w:w="4786"/>
        <w:gridCol w:w="889"/>
      </w:tblGrid>
      <w:tr>
        <w:tblPrEx/>
        <w:trPr>
          <w:trHeight w:val="491"/>
        </w:trPr>
        <w:tc>
          <w:tcPr>
            <w:tcW w:w="97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п/п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товара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6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ОКПД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W w:w="603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Описание объекта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45"/>
        </w:trPr>
        <w:tc>
          <w:tcPr>
            <w:tcW w:w="97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7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46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3"/>
            <w:tcW w:w="603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45"/>
        </w:trPr>
        <w:tc>
          <w:tcPr>
            <w:tcW w:w="97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Туалетная бумага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202020"/>
                <w:sz w:val="21"/>
                <w:szCs w:val="21"/>
                <w:highlight w:val="white"/>
                <w:shd w:val="clear" w:color="auto" w:fill="eaeaea"/>
              </w:rPr>
              <w:t xml:space="preserve">17.22.11.110</w:t>
            </w:r>
            <w:r>
              <w:rPr>
                <w:rFonts w:ascii="Times New Roman" w:hAnsi="Times New Roman" w:cs="Times New Roman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cs="Times New Roman"/>
                <w:sz w:val="16"/>
                <w:szCs w:val="16"/>
                <w:highlight w:val="none"/>
              </w:rPr>
            </w:r>
          </w:p>
        </w:tc>
        <w:tc>
          <w:tcPr>
            <w:gridSpan w:val="3"/>
            <w:tcW w:w="6037" w:type="dxa"/>
            <w:textDirection w:val="lrTb"/>
            <w:noWrap w:val="false"/>
          </w:tcPr>
          <w:p>
            <w:pPr>
              <w:spacing w:line="270" w:lineRule="atLeast"/>
              <w:shd w:val="clear" w:color="auto" w:fill="ffffff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Базовая единица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рул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spacing w:line="270" w:lineRule="atLeast"/>
              <w:shd w:val="clear" w:color="auto" w:fill="ffffff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Плотность 1-слоя,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гр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/м2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-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16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spacing w:line="270" w:lineRule="atLeast"/>
              <w:shd w:val="clear" w:color="auto" w:fill="ffffff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Слойность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-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spacing w:line="270" w:lineRule="atLeast"/>
              <w:shd w:val="clear" w:color="auto" w:fill="ffffff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Цвет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-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Белый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spacing w:line="270" w:lineRule="atLeast"/>
              <w:shd w:val="clear" w:color="auto" w:fill="ffffff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Бумага-основа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  -  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Для производства туалетной бумаги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spacing w:line="270" w:lineRule="atLeast"/>
              <w:shd w:val="clear" w:color="auto" w:fill="ffffff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Состав основы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-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100 % целлюлоза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spacing w:line="270" w:lineRule="atLeast"/>
              <w:shd w:val="clear" w:color="auto" w:fill="ffffff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Диаметр рулона от, мм: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175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spacing w:line="270" w:lineRule="atLeast"/>
              <w:shd w:val="clear" w:color="auto" w:fill="ffffff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Ширина рулона, мм: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100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spacing w:line="270" w:lineRule="atLeast"/>
              <w:shd w:val="clear" w:color="auto" w:fill="ffffff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Количество метров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: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170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spacing w:line="270" w:lineRule="atLeast"/>
              <w:shd w:val="clear" w:color="auto" w:fill="ffffff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Диаметр рулона до, мм: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185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>
            <w:pPr>
              <w:ind w:left="720"/>
              <w:spacing w:line="225" w:lineRule="atLeast"/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  <w:pBdr>
                <w:bottom w:val="single" w:color="F2F2F2" w:sz="6" w:space="6"/>
              </w:pBd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718"/>
        </w:trPr>
        <w:tc>
          <w:tcPr>
            <w:tcW w:w="97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9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Полотенца бцмажные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202020"/>
                <w:sz w:val="21"/>
                <w:szCs w:val="21"/>
                <w:highlight w:val="white"/>
                <w:shd w:val="clear" w:color="auto" w:fill="eaeaea"/>
              </w:rPr>
              <w:t xml:space="preserve">17.22.11.130</w:t>
            </w:r>
            <w:r>
              <w:rPr>
                <w:rFonts w:ascii="Times New Roman" w:hAnsi="Times New Roman" w:cs="Times New Roman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cs="Times New Roman"/>
                <w:sz w:val="16"/>
                <w:szCs w:val="16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color w:val="202020"/>
                <w:sz w:val="21"/>
                <w:szCs w:val="21"/>
                <w:highlight w:val="none"/>
                <w:shd w:val="clear" w:color="auto" w:fill="eaeaea"/>
              </w:rPr>
            </w:pPr>
            <w:r>
              <w:rPr>
                <w:rFonts w:ascii="Times New Roman" w:hAnsi="Times New Roman" w:eastAsia="Times New Roman" w:cs="Times New Roman"/>
                <w:color w:val="202020"/>
                <w:sz w:val="21"/>
                <w:szCs w:val="21"/>
                <w:highlight w:val="none"/>
                <w:shd w:val="clear" w:color="auto" w:fill="eaeaea"/>
              </w:rPr>
            </w:r>
            <w:r>
              <w:rPr>
                <w:rFonts w:ascii="Times New Roman" w:hAnsi="Times New Roman" w:cs="Times New Roman"/>
                <w:color w:val="202020"/>
                <w:sz w:val="21"/>
                <w:szCs w:val="21"/>
                <w:highlight w:val="none"/>
                <w:shd w:val="clear" w:color="auto" w:fill="eaeaea"/>
              </w:rPr>
            </w:r>
            <w:r>
              <w:rPr>
                <w:rFonts w:ascii="Times New Roman" w:hAnsi="Times New Roman" w:cs="Times New Roman"/>
                <w:color w:val="202020"/>
                <w:sz w:val="21"/>
                <w:szCs w:val="21"/>
                <w:highlight w:val="none"/>
                <w:shd w:val="clear" w:color="auto" w:fill="eaeaea"/>
              </w:rPr>
            </w:r>
          </w:p>
        </w:tc>
        <w:tc>
          <w:tcPr>
            <w:gridSpan w:val="3"/>
            <w:tcW w:w="6037" w:type="dxa"/>
            <w:vMerge w:val="restart"/>
            <w:textDirection w:val="lrTb"/>
            <w:noWrap w:val="false"/>
          </w:tcPr>
          <w:p>
            <w:pPr>
              <w:ind w:left="709" w:right="0" w:hanging="709"/>
              <w:spacing w:after="60"/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Базовая единица, пач</w:t>
            </w: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</w:r>
          </w:p>
          <w:p>
            <w:pPr>
              <w:ind w:left="709" w:right="0" w:hanging="709"/>
              <w:spacing w:after="60"/>
              <w:rPr>
                <w:rFonts w:ascii="Times New Roman" w:hAnsi="Times New Roman" w:cs="Times New Roman"/>
                <w:color w:val="auto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Тип сложения:</w:t>
            </w: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Z-укладка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</w:p>
          <w:p>
            <w:pPr>
              <w:ind w:left="709" w:right="0" w:hanging="709"/>
              <w:spacing w:after="60"/>
              <w:rPr>
                <w:rFonts w:ascii="Times New Roman" w:hAnsi="Times New Roman" w:cs="Times New Roman"/>
                <w:color w:val="auto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Дисп.Система:</w:t>
            </w: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Для полотенец Z-сложения (H2)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</w:p>
          <w:p>
            <w:pPr>
              <w:ind w:left="709" w:right="0" w:hanging="709"/>
              <w:spacing w:after="60"/>
              <w:rPr>
                <w:rFonts w:ascii="Times New Roman" w:hAnsi="Times New Roman" w:cs="Times New Roman"/>
                <w:color w:val="auto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Размер листа, см:</w:t>
            </w: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22*22,5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</w:p>
          <w:p>
            <w:pPr>
              <w:ind w:left="709" w:right="0" w:hanging="709"/>
              <w:spacing w:after="60"/>
              <w:rPr>
                <w:rFonts w:ascii="Times New Roman" w:hAnsi="Times New Roman" w:cs="Times New Roman"/>
                <w:color w:val="auto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Количество листов в пачке:</w:t>
            </w: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160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</w:p>
          <w:p>
            <w:pPr>
              <w:ind w:left="709" w:right="0" w:hanging="709"/>
              <w:spacing w:after="60"/>
              <w:rPr>
                <w:rFonts w:ascii="Times New Roman" w:hAnsi="Times New Roman" w:cs="Times New Roman"/>
                <w:color w:val="auto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Плотность 1-слоя, гр/м2:</w:t>
            </w: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22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</w:p>
          <w:p>
            <w:pPr>
              <w:ind w:left="709" w:right="0" w:hanging="709"/>
              <w:spacing w:after="60"/>
              <w:rPr>
                <w:rFonts w:ascii="Times New Roman" w:hAnsi="Times New Roman" w:cs="Times New Roman"/>
                <w:color w:val="auto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Слойность:</w:t>
            </w: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</w:p>
          <w:p>
            <w:pPr>
              <w:ind w:left="709" w:right="0" w:hanging="709"/>
              <w:spacing w:after="60"/>
              <w:rPr>
                <w:rFonts w:ascii="Times New Roman" w:hAnsi="Times New Roman" w:cs="Times New Roman"/>
                <w:color w:val="auto"/>
                <w:sz w:val="18"/>
                <w:szCs w:val="1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Состав основы:</w:t>
            </w:r>
            <w:r>
              <w:rPr>
                <w:rFonts w:ascii="Times New Roman" w:hAnsi="Times New Roman" w:eastAsia="Times New Roman" w:cs="Times New Roman"/>
                <w:color w:val="auto"/>
                <w:sz w:val="18"/>
                <w:szCs w:val="18"/>
              </w:rPr>
              <w:t xml:space="preserve">100 % вторичное сырье</w:t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auto"/>
                <w:sz w:val="18"/>
                <w:szCs w:val="18"/>
              </w:rPr>
            </w:r>
          </w:p>
          <w:p>
            <w:pPr>
              <w:ind w:left="0" w:right="0" w:firstLine="0"/>
              <w:rPr>
                <w:rFonts w:ascii="Times New Roman" w:hAnsi="Times New Roman" w:cs="Times New Roman"/>
                <w:color w:val="auto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color w:val="auto"/>
                <w:sz w:val="36"/>
              </w:rPr>
            </w:r>
            <w:r>
              <w:rPr>
                <w:rFonts w:ascii="Times New Roman" w:hAnsi="Times New Roman" w:cs="Times New Roman"/>
                <w:color w:val="auto"/>
              </w:rPr>
            </w:r>
            <w:r>
              <w:rPr>
                <w:rFonts w:ascii="Times New Roman" w:hAnsi="Times New Roman" w:cs="Times New Roman"/>
                <w:color w:val="auto"/>
              </w:rPr>
            </w:r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Open Sans" w:hAnsi="Open Sans" w:eastAsia="Open Sans" w:cs="Open Sans"/>
                <w:sz w:val="24"/>
              </w:rPr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Open Sans" w:hAnsi="Open Sans" w:eastAsia="Open Sans" w:cs="Open Sans"/>
                <w:sz w:val="24"/>
              </w:rPr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Open Sans" w:hAnsi="Open Sans" w:eastAsia="Open Sans" w:cs="Open Sans"/>
                <w:sz w:val="24"/>
              </w:rPr>
            </w:r>
            <w:r/>
          </w:p>
          <w:p>
            <w:pPr>
              <w:ind w:left="0" w:right="0" w:firstLine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Open Sans" w:hAnsi="Open Sans" w:eastAsia="Open Sans" w:cs="Open Sans"/>
                <w:sz w:val="24"/>
              </w:rPr>
            </w:r>
            <w:r/>
          </w:p>
          <w:p>
            <w:pPr>
              <w:spacing w:line="270" w:lineRule="atLeast"/>
              <w:shd w:val="clear" w:color="auto" w:fill="ffffff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br/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gridAfter w:val="1"/>
          <w:jc w:val="center"/>
        </w:trPr>
        <w:tc>
          <w:tcPr>
            <w:gridSpan w:val="4"/>
            <w:tcW w:w="4786" w:type="dxa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ЗАКАЗЧИК:</w:t>
            </w:r>
            <w:r>
              <w:rPr>
                <w:b/>
                <w:sz w:val="22"/>
                <w:szCs w:val="22"/>
                <w:lang w:eastAsia="en-US"/>
              </w:rPr>
            </w:r>
            <w:r>
              <w:rPr>
                <w:b/>
                <w:sz w:val="22"/>
                <w:szCs w:val="22"/>
                <w:lang w:eastAsia="en-US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b/>
                <w:spacing w:val="-1"/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 xml:space="preserve">Администрация Выборгского муниципального района Ленинградской области</w:t>
            </w: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b/>
                <w:spacing w:val="-1"/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 xml:space="preserve">И. о. главы администрации</w:t>
            </w: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b/>
                <w:spacing w:val="-1"/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b/>
                <w:spacing w:val="-1"/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b/>
                <w:spacing w:val="-1"/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 xml:space="preserve">__________________О. Ю. Астахова</w:t>
            </w: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b/>
                <w:spacing w:val="-1"/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  <w:r>
              <w:rPr>
                <w:b/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 «___» __________ 2026 г.</w:t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ind w:right="24"/>
              <w:shd w:val="clear" w:color="auto" w:fill="ffffff"/>
              <w:tabs>
                <w:tab w:val="left" w:pos="288" w:leader="none"/>
              </w:tabs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 xml:space="preserve">                           </w:t>
            </w:r>
            <w:r>
              <w:rPr>
                <w:spacing w:val="-1"/>
                <w:sz w:val="22"/>
                <w:szCs w:val="22"/>
              </w:rPr>
              <w:t xml:space="preserve">м.</w:t>
            </w:r>
            <w:r>
              <w:rPr>
                <w:spacing w:val="-1"/>
                <w:sz w:val="22"/>
                <w:szCs w:val="22"/>
              </w:rPr>
              <w:t xml:space="preserve">п</w:t>
            </w:r>
            <w:r>
              <w:rPr>
                <w:spacing w:val="-1"/>
                <w:sz w:val="22"/>
                <w:szCs w:val="22"/>
              </w:rPr>
              <w:t xml:space="preserve">.</w:t>
            </w:r>
            <w:r>
              <w:rPr>
                <w:spacing w:val="-1"/>
                <w:sz w:val="22"/>
                <w:szCs w:val="22"/>
              </w:rPr>
            </w:r>
            <w:r>
              <w:rPr>
                <w:spacing w:val="-1"/>
                <w:sz w:val="22"/>
                <w:szCs w:val="22"/>
              </w:rPr>
            </w:r>
          </w:p>
          <w:p>
            <w:pPr>
              <w:spacing w:after="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W w:w="4786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ПОСТАВЩИК: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spacing w:after="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_________________________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720" w:right="720" w:bottom="720" w:left="72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 Sans">
    <w:panose1 w:val="020B0606030504020204"/>
  </w:font>
  <w:font w:name="Lucida Sans Unicode">
    <w:panose1 w:val="020B060203050402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45"/>
      <w:isLgl w:val="false"/>
      <w:suff w:val="tab"/>
      <w:lvlText w:val="%1."/>
      <w:lvlJc w:val="left"/>
      <w:pPr>
        <w:ind w:left="284" w:hanging="284"/>
        <w:tabs>
          <w:tab w:val="num" w:pos="360" w:leader="none"/>
        </w:tabs>
      </w:pPr>
      <w:rPr>
        <w:rFonts w:hint="default"/>
        <w:b/>
        <w:i w:val="0"/>
        <w:color w:val="auto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  <w:b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1224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72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2232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2736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744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4320" w:leader="none"/>
        </w:tabs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abb5be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abb5be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abb5be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abb5be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abb5be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abb5be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abb5be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abb5be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abb5be"/>
        <w:sz w:val="24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2">
    <w:name w:val="Heading 1"/>
    <w:basedOn w:val="838"/>
    <w:next w:val="838"/>
    <w:link w:val="66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3">
    <w:name w:val="Heading 1 Char"/>
    <w:basedOn w:val="839"/>
    <w:link w:val="662"/>
    <w:uiPriority w:val="9"/>
    <w:rPr>
      <w:rFonts w:ascii="Arial" w:hAnsi="Arial" w:eastAsia="Arial" w:cs="Arial"/>
      <w:sz w:val="40"/>
      <w:szCs w:val="40"/>
    </w:rPr>
  </w:style>
  <w:style w:type="paragraph" w:styleId="664">
    <w:name w:val="Heading 2"/>
    <w:basedOn w:val="838"/>
    <w:next w:val="838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5">
    <w:name w:val="Heading 2 Char"/>
    <w:basedOn w:val="839"/>
    <w:link w:val="664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38"/>
    <w:next w:val="838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9"/>
    <w:link w:val="666"/>
    <w:uiPriority w:val="9"/>
    <w:rPr>
      <w:rFonts w:ascii="Arial" w:hAnsi="Arial" w:eastAsia="Arial" w:cs="Arial"/>
      <w:sz w:val="30"/>
      <w:szCs w:val="30"/>
    </w:rPr>
  </w:style>
  <w:style w:type="paragraph" w:styleId="668">
    <w:name w:val="Heading 4"/>
    <w:basedOn w:val="838"/>
    <w:next w:val="838"/>
    <w:link w:val="66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9">
    <w:name w:val="Heading 4 Char"/>
    <w:basedOn w:val="839"/>
    <w:link w:val="668"/>
    <w:uiPriority w:val="9"/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838"/>
    <w:next w:val="838"/>
    <w:link w:val="6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1">
    <w:name w:val="Heading 5 Char"/>
    <w:basedOn w:val="839"/>
    <w:link w:val="670"/>
    <w:uiPriority w:val="9"/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838"/>
    <w:next w:val="838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3">
    <w:name w:val="Heading 6 Char"/>
    <w:basedOn w:val="839"/>
    <w:link w:val="672"/>
    <w:uiPriority w:val="9"/>
    <w:rPr>
      <w:rFonts w:ascii="Arial" w:hAnsi="Arial" w:eastAsia="Arial" w:cs="Arial"/>
      <w:b/>
      <w:bCs/>
      <w:sz w:val="22"/>
      <w:szCs w:val="22"/>
    </w:rPr>
  </w:style>
  <w:style w:type="paragraph" w:styleId="674">
    <w:name w:val="Heading 7"/>
    <w:basedOn w:val="838"/>
    <w:next w:val="838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7 Char"/>
    <w:basedOn w:val="839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838"/>
    <w:next w:val="838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7">
    <w:name w:val="Heading 8 Char"/>
    <w:basedOn w:val="839"/>
    <w:link w:val="676"/>
    <w:uiPriority w:val="9"/>
    <w:rPr>
      <w:rFonts w:ascii="Arial" w:hAnsi="Arial" w:eastAsia="Arial" w:cs="Arial"/>
      <w:i/>
      <w:iCs/>
      <w:sz w:val="22"/>
      <w:szCs w:val="22"/>
    </w:rPr>
  </w:style>
  <w:style w:type="paragraph" w:styleId="678">
    <w:name w:val="Heading 9"/>
    <w:basedOn w:val="838"/>
    <w:next w:val="838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>
    <w:name w:val="Heading 9 Char"/>
    <w:basedOn w:val="83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80">
    <w:name w:val="No Spacing"/>
    <w:uiPriority w:val="1"/>
    <w:qFormat/>
    <w:pPr>
      <w:spacing w:before="0" w:after="0" w:line="240" w:lineRule="auto"/>
    </w:pPr>
  </w:style>
  <w:style w:type="paragraph" w:styleId="681">
    <w:name w:val="Title"/>
    <w:basedOn w:val="838"/>
    <w:next w:val="838"/>
    <w:link w:val="6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2">
    <w:name w:val="Title Char"/>
    <w:basedOn w:val="839"/>
    <w:link w:val="681"/>
    <w:uiPriority w:val="10"/>
    <w:rPr>
      <w:sz w:val="48"/>
      <w:szCs w:val="48"/>
    </w:rPr>
  </w:style>
  <w:style w:type="paragraph" w:styleId="683">
    <w:name w:val="Subtitle"/>
    <w:basedOn w:val="838"/>
    <w:next w:val="838"/>
    <w:link w:val="684"/>
    <w:uiPriority w:val="11"/>
    <w:qFormat/>
    <w:pPr>
      <w:spacing w:before="200" w:after="200"/>
    </w:pPr>
    <w:rPr>
      <w:sz w:val="24"/>
      <w:szCs w:val="24"/>
    </w:rPr>
  </w:style>
  <w:style w:type="character" w:styleId="684">
    <w:name w:val="Subtitle Char"/>
    <w:basedOn w:val="839"/>
    <w:link w:val="683"/>
    <w:uiPriority w:val="11"/>
    <w:rPr>
      <w:sz w:val="24"/>
      <w:szCs w:val="24"/>
    </w:rPr>
  </w:style>
  <w:style w:type="paragraph" w:styleId="685">
    <w:name w:val="Quote"/>
    <w:basedOn w:val="838"/>
    <w:next w:val="838"/>
    <w:link w:val="686"/>
    <w:uiPriority w:val="29"/>
    <w:qFormat/>
    <w:pPr>
      <w:ind w:left="720" w:right="720"/>
    </w:pPr>
    <w:rPr>
      <w:i/>
    </w:rPr>
  </w:style>
  <w:style w:type="character" w:styleId="686">
    <w:name w:val="Quote Char"/>
    <w:link w:val="685"/>
    <w:uiPriority w:val="29"/>
    <w:rPr>
      <w:i/>
    </w:rPr>
  </w:style>
  <w:style w:type="paragraph" w:styleId="687">
    <w:name w:val="Intense Quote"/>
    <w:basedOn w:val="838"/>
    <w:next w:val="838"/>
    <w:link w:val="6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8">
    <w:name w:val="Intense Quote Char"/>
    <w:link w:val="687"/>
    <w:uiPriority w:val="30"/>
    <w:rPr>
      <w:i/>
    </w:rPr>
  </w:style>
  <w:style w:type="paragraph" w:styleId="689">
    <w:name w:val="Header"/>
    <w:basedOn w:val="838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Header Char"/>
    <w:basedOn w:val="839"/>
    <w:link w:val="689"/>
    <w:uiPriority w:val="99"/>
  </w:style>
  <w:style w:type="paragraph" w:styleId="691">
    <w:name w:val="Footer"/>
    <w:basedOn w:val="838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Footer Char"/>
    <w:basedOn w:val="839"/>
    <w:link w:val="691"/>
    <w:uiPriority w:val="99"/>
  </w:style>
  <w:style w:type="paragraph" w:styleId="693">
    <w:name w:val="Caption"/>
    <w:basedOn w:val="838"/>
    <w:next w:val="838"/>
    <w:link w:val="69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4">
    <w:name w:val="Caption Char"/>
    <w:basedOn w:val="839"/>
    <w:link w:val="693"/>
    <w:uiPriority w:val="35"/>
    <w:rPr>
      <w:b/>
      <w:bCs/>
      <w:color w:val="4f81bd" w:themeColor="accent1"/>
      <w:sz w:val="18"/>
      <w:szCs w:val="18"/>
    </w:rPr>
  </w:style>
  <w:style w:type="table" w:styleId="695">
    <w:name w:val="Table Grid Light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4">
    <w:name w:val="List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5">
    <w:name w:val="List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6">
    <w:name w:val="List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7">
    <w:name w:val="List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8">
    <w:name w:val="List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9">
    <w:name w:val="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1">
    <w:name w:val="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2">
    <w:name w:val="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3">
    <w:name w:val="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4">
    <w:name w:val="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5">
    <w:name w:val="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6">
    <w:name w:val="Bordered &amp; 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8">
    <w:name w:val="Bordered &amp; 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9">
    <w:name w:val="Bordered &amp; 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0">
    <w:name w:val="Bordered &amp; 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1">
    <w:name w:val="Bordered &amp; 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2">
    <w:name w:val="Bordered &amp; 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3">
    <w:name w:val="Bordered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83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>
    <w:name w:val="Footnote Text Char"/>
    <w:link w:val="821"/>
    <w:uiPriority w:val="99"/>
    <w:rPr>
      <w:sz w:val="18"/>
    </w:rPr>
  </w:style>
  <w:style w:type="character" w:styleId="823">
    <w:name w:val="footnote reference"/>
    <w:basedOn w:val="839"/>
    <w:uiPriority w:val="99"/>
    <w:unhideWhenUsed/>
    <w:rPr>
      <w:vertAlign w:val="superscript"/>
    </w:rPr>
  </w:style>
  <w:style w:type="paragraph" w:styleId="824">
    <w:name w:val="endnote text"/>
    <w:basedOn w:val="83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>
    <w:name w:val="Endnote Text Char"/>
    <w:link w:val="824"/>
    <w:uiPriority w:val="99"/>
    <w:rPr>
      <w:sz w:val="20"/>
    </w:rPr>
  </w:style>
  <w:style w:type="character" w:styleId="826">
    <w:name w:val="endnote reference"/>
    <w:basedOn w:val="839"/>
    <w:uiPriority w:val="99"/>
    <w:semiHidden/>
    <w:unhideWhenUsed/>
    <w:rPr>
      <w:vertAlign w:val="superscript"/>
    </w:rPr>
  </w:style>
  <w:style w:type="paragraph" w:styleId="827">
    <w:name w:val="toc 1"/>
    <w:basedOn w:val="838"/>
    <w:next w:val="838"/>
    <w:uiPriority w:val="39"/>
    <w:unhideWhenUsed/>
    <w:pPr>
      <w:ind w:left="0" w:right="0" w:firstLine="0"/>
      <w:spacing w:after="57"/>
    </w:pPr>
  </w:style>
  <w:style w:type="paragraph" w:styleId="828">
    <w:name w:val="toc 2"/>
    <w:basedOn w:val="838"/>
    <w:next w:val="838"/>
    <w:uiPriority w:val="39"/>
    <w:unhideWhenUsed/>
    <w:pPr>
      <w:ind w:left="283" w:right="0" w:firstLine="0"/>
      <w:spacing w:after="57"/>
    </w:pPr>
  </w:style>
  <w:style w:type="paragraph" w:styleId="829">
    <w:name w:val="toc 3"/>
    <w:basedOn w:val="838"/>
    <w:next w:val="838"/>
    <w:uiPriority w:val="39"/>
    <w:unhideWhenUsed/>
    <w:pPr>
      <w:ind w:left="567" w:right="0" w:firstLine="0"/>
      <w:spacing w:after="57"/>
    </w:pPr>
  </w:style>
  <w:style w:type="paragraph" w:styleId="830">
    <w:name w:val="toc 4"/>
    <w:basedOn w:val="838"/>
    <w:next w:val="838"/>
    <w:uiPriority w:val="39"/>
    <w:unhideWhenUsed/>
    <w:pPr>
      <w:ind w:left="850" w:right="0" w:firstLine="0"/>
      <w:spacing w:after="57"/>
    </w:pPr>
  </w:style>
  <w:style w:type="paragraph" w:styleId="831">
    <w:name w:val="toc 5"/>
    <w:basedOn w:val="838"/>
    <w:next w:val="838"/>
    <w:uiPriority w:val="39"/>
    <w:unhideWhenUsed/>
    <w:pPr>
      <w:ind w:left="1134" w:right="0" w:firstLine="0"/>
      <w:spacing w:after="57"/>
    </w:pPr>
  </w:style>
  <w:style w:type="paragraph" w:styleId="832">
    <w:name w:val="toc 6"/>
    <w:basedOn w:val="838"/>
    <w:next w:val="838"/>
    <w:uiPriority w:val="39"/>
    <w:unhideWhenUsed/>
    <w:pPr>
      <w:ind w:left="1417" w:right="0" w:firstLine="0"/>
      <w:spacing w:after="57"/>
    </w:pPr>
  </w:style>
  <w:style w:type="paragraph" w:styleId="833">
    <w:name w:val="toc 7"/>
    <w:basedOn w:val="838"/>
    <w:next w:val="838"/>
    <w:uiPriority w:val="39"/>
    <w:unhideWhenUsed/>
    <w:pPr>
      <w:ind w:left="1701" w:right="0" w:firstLine="0"/>
      <w:spacing w:after="57"/>
    </w:pPr>
  </w:style>
  <w:style w:type="paragraph" w:styleId="834">
    <w:name w:val="toc 8"/>
    <w:basedOn w:val="838"/>
    <w:next w:val="838"/>
    <w:uiPriority w:val="39"/>
    <w:unhideWhenUsed/>
    <w:pPr>
      <w:ind w:left="1984" w:right="0" w:firstLine="0"/>
      <w:spacing w:after="57"/>
    </w:pPr>
  </w:style>
  <w:style w:type="paragraph" w:styleId="835">
    <w:name w:val="toc 9"/>
    <w:basedOn w:val="838"/>
    <w:next w:val="838"/>
    <w:uiPriority w:val="39"/>
    <w:unhideWhenUsed/>
    <w:pPr>
      <w:ind w:left="2268" w:right="0" w:firstLine="0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838"/>
    <w:next w:val="838"/>
    <w:uiPriority w:val="99"/>
    <w:unhideWhenUsed/>
    <w:pPr>
      <w:spacing w:after="0" w:afterAutospacing="0"/>
    </w:pPr>
  </w:style>
  <w:style w:type="paragraph" w:styleId="83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839" w:default="1">
    <w:name w:val="Default Paragraph Font"/>
    <w:uiPriority w:val="1"/>
    <w:semiHidden/>
    <w:unhideWhenUsed/>
  </w:style>
  <w:style w:type="table" w:styleId="8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1" w:default="1">
    <w:name w:val="No List"/>
    <w:uiPriority w:val="99"/>
    <w:semiHidden/>
    <w:unhideWhenUsed/>
  </w:style>
  <w:style w:type="table" w:styleId="842">
    <w:name w:val="Table Grid"/>
    <w:basedOn w:val="840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Balloon Text"/>
    <w:basedOn w:val="838"/>
    <w:link w:val="844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44" w:customStyle="1">
    <w:name w:val="Текст выноски Знак"/>
    <w:basedOn w:val="839"/>
    <w:link w:val="843"/>
    <w:uiPriority w:val="99"/>
    <w:semiHidden/>
    <w:rPr>
      <w:rFonts w:ascii="Segoe UI" w:hAnsi="Segoe UI" w:eastAsia="Times New Roman" w:cs="Segoe UI"/>
      <w:sz w:val="18"/>
      <w:szCs w:val="18"/>
      <w:lang w:eastAsia="zh-CN"/>
    </w:rPr>
  </w:style>
  <w:style w:type="paragraph" w:styleId="845" w:customStyle="1">
    <w:name w:val="ListNum"/>
    <w:basedOn w:val="838"/>
    <w:pPr>
      <w:numPr>
        <w:ilvl w:val="0"/>
        <w:numId w:val="2"/>
      </w:numPr>
      <w:jc w:val="both"/>
      <w:spacing w:before="60"/>
      <w:tabs>
        <w:tab w:val="left" w:pos="284" w:leader="none"/>
      </w:tabs>
    </w:pPr>
    <w:rPr>
      <w:sz w:val="22"/>
      <w:lang w:eastAsia="ru-RU"/>
    </w:rPr>
  </w:style>
  <w:style w:type="paragraph" w:styleId="846">
    <w:name w:val="List Paragraph"/>
    <w:basedOn w:val="838"/>
    <w:uiPriority w:val="99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paragraph" w:styleId="847">
    <w:name w:val="Body Text"/>
    <w:basedOn w:val="838"/>
    <w:link w:val="848"/>
    <w:pPr>
      <w:spacing w:after="120"/>
    </w:pPr>
    <w:rPr>
      <w:lang w:eastAsia="ar-SA"/>
    </w:rPr>
  </w:style>
  <w:style w:type="character" w:styleId="848" w:customStyle="1">
    <w:name w:val="Основной текст Знак"/>
    <w:basedOn w:val="839"/>
    <w:link w:val="847"/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849">
    <w:name w:val="Body Text Indent"/>
    <w:basedOn w:val="838"/>
    <w:link w:val="850"/>
    <w:uiPriority w:val="99"/>
    <w:unhideWhenUsed/>
    <w:pPr>
      <w:ind w:left="283"/>
      <w:spacing w:after="120"/>
    </w:pPr>
    <w:rPr>
      <w:lang w:eastAsia="ru-RU"/>
    </w:rPr>
  </w:style>
  <w:style w:type="character" w:styleId="850" w:customStyle="1">
    <w:name w:val="Основной текст с отступом Знак"/>
    <w:basedOn w:val="839"/>
    <w:link w:val="849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ED41F-2602-4C5E-A7B8-BDE844714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Г. Анисимова</dc:creator>
  <cp:keywords/>
  <dc:description/>
  <cp:lastModifiedBy>polevaya_ov</cp:lastModifiedBy>
  <cp:revision>18</cp:revision>
  <dcterms:created xsi:type="dcterms:W3CDTF">2024-11-13T09:14:00Z</dcterms:created>
  <dcterms:modified xsi:type="dcterms:W3CDTF">2026-10-19T09:40:31Z</dcterms:modified>
</cp:coreProperties>
</file>