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MS Mincho"/>
          <w:b/>
        </w:rPr>
      </w:pPr>
    </w:p>
    <w:p>
      <w:pPr>
        <w:jc w:val="center"/>
        <w:rPr>
          <w:rFonts w:eastAsia="MS Mincho"/>
          <w:b/>
        </w:rPr>
      </w:pPr>
    </w:p>
    <w:p>
      <w:pPr>
        <w:jc w:val="center"/>
        <w:rPr>
          <w:rFonts w:eastAsia="MS Mincho"/>
          <w:b/>
        </w:rPr>
      </w:pPr>
      <w:r>
        <w:rPr>
          <w:rFonts w:eastAsia="MS Mincho"/>
          <w:b/>
        </w:rPr>
        <w:t xml:space="preserve">МУНИЦИПАЛЬНЫЙ КОНТРАКТ № ______</w:t>
      </w:r>
    </w:p>
    <w:p>
      <w:pPr>
        <w:widowControl w:val="off"/>
        <w:shd w:val="clear" w:color="auto" w:fill="ffffff"/>
        <w:spacing w:line="281" w:lineRule="exact"/>
        <w:ind w:left="108"/>
        <w:jc w:val="center"/>
        <w:rPr>
          <w:rFonts w:eastAsia="Times New Roman"/>
          <w:b/>
        </w:rPr>
      </w:pPr>
      <w:r>
        <w:rPr>
          <w:rFonts w:eastAsia="Times New Roman"/>
          <w:b/>
        </w:rPr>
        <w:t xml:space="preserve">на оказание услуг</w:t>
      </w:r>
      <w:r>
        <w:rPr>
          <w:rFonts w:eastAsia="Times New Roman"/>
          <w:b/>
          <w:bCs/>
        </w:rPr>
        <w:t xml:space="preserve">  </w:t>
      </w:r>
      <w:r>
        <w:rPr>
          <w:rFonts w:eastAsia="Times New Roman"/>
          <w:b/>
          <w:bCs/>
          <w:color w:val="000000"/>
        </w:rPr>
        <w:t xml:space="preserve">по </w:t>
      </w:r>
      <w:r>
        <w:rPr>
          <w:rFonts w:eastAsia="Times New Roman"/>
          <w:b/>
        </w:rPr>
        <w:t xml:space="preserve"> обследованию конструктивных элементов  многоквартирных домов,  расположенных по адресу:  Ленинградская область, Тосненский район,  </w:t>
      </w:r>
      <w:r>
        <w:rPr>
          <w:rFonts w:eastAsia="Times New Roman"/>
          <w:b/>
        </w:rPr>
        <w:t xml:space="preserve">г. Тосно, ул. Болотная, д.10;  Ленинградская область, Тосненский район,  г. Тосно, ул. Октябрьская, д.72</w:t>
      </w:r>
    </w:p>
    <w:p>
      <w:pPr>
        <w:widowControl w:val="off"/>
        <w:shd w:val="clear" w:color="auto" w:fill="ffffff"/>
        <w:spacing w:line="281" w:lineRule="exact"/>
        <w:ind w:left="108"/>
        <w:jc w:val="center"/>
        <w:rPr>
          <w:rFonts w:eastAsia="Times New Roman"/>
          <w:b/>
        </w:rPr>
      </w:pPr>
    </w:p>
    <w:p>
      <w:pPr>
        <w:jc w:val="center"/>
        <w:rPr>
          <w:rFonts w:eastAsia="MS Mincho"/>
          <w:b/>
        </w:rPr>
      </w:pPr>
    </w:p>
    <w:p>
      <w:pPr>
        <w:jc w:val="center"/>
        <w:rPr>
          <w:rFonts w:eastAsia="MS Mincho"/>
          <w:b/>
        </w:rPr>
      </w:pPr>
    </w:p>
    <w:p>
      <w:pPr>
        <w:jc w:val="both"/>
      </w:pPr>
      <w:r>
        <w:t xml:space="preserve">г. ______________                                                                                     «___»__________ 20__ года</w:t>
      </w:r>
    </w:p>
    <w:p>
      <w:pPr>
        <w:jc w:val="both"/>
      </w:pPr>
      <w:r>
        <w:t xml:space="preserve"> </w:t>
      </w:r>
    </w:p>
    <w:p>
      <w:pPr>
        <w:ind w:firstLine="708"/>
        <w:jc w:val="both"/>
        <w:rPr>
          <w:rFonts w:eastAsia="Times New Roman"/>
          <w:color w:val="000000"/>
        </w:rPr>
      </w:pPr>
      <w:r>
        <w:rPr>
          <w:rFonts w:eastAsia="Times New Roman"/>
          <w:color w:val="000000"/>
        </w:rPr>
        <w:t xml:space="preserve">Администрация Тосненского муниципального района Ленинградской области, исполняя полномочия администрации Тосненского городского поселения Тосненского муниципального района Ленинградской области на основании статьи 13 Устава Тосненского городского поселения Тосненского </w:t>
      </w:r>
      <w:r>
        <w:rPr>
          <w:rFonts w:eastAsia="Times New Roman"/>
          <w:color w:val="000000"/>
        </w:rPr>
        <w:t xml:space="preserve"> муниципального </w:t>
      </w:r>
      <w:r>
        <w:rPr>
          <w:rFonts w:eastAsia="Times New Roman"/>
          <w:color w:val="000000"/>
        </w:rPr>
        <w:t xml:space="preserve"> района Ленинградской области и статьи 25 Устава Тосненского муниципального района Ленинградской области, именуемая в дальнейшем, «Заказчик», в лице </w:t>
      </w:r>
      <w:r>
        <w:rPr>
          <w:rFonts w:eastAsia="Times New Roman"/>
          <w:color w:val="000000"/>
        </w:rPr>
        <w:t xml:space="preserve">начальника отдела жилищной политики комитета по жилищно-коммунальному хозяйству и благоустройству</w:t>
      </w:r>
      <w:r>
        <w:rPr>
          <w:rFonts w:eastAsia="Times New Roman"/>
          <w:color w:val="000000"/>
        </w:rPr>
        <w:t xml:space="preserve"> администрации Тосненского муниципального района Ленинградской области </w:t>
      </w:r>
      <w:r>
        <w:rPr>
          <w:rFonts w:eastAsia="Times New Roman"/>
          <w:color w:val="000000"/>
        </w:rPr>
        <w:t xml:space="preserve"> </w:t>
      </w:r>
      <w:r>
        <w:rPr>
          <w:rFonts w:eastAsia="Times New Roman"/>
          <w:color w:val="000000"/>
        </w:rPr>
        <w:t xml:space="preserve">Конюшевской Оксаны Николаевны</w:t>
      </w:r>
      <w:r>
        <w:rPr>
          <w:rFonts w:eastAsia="Times New Roman"/>
          <w:color w:val="000000"/>
        </w:rPr>
        <w:t xml:space="preserve">, действующе</w:t>
      </w:r>
      <w:r>
        <w:rPr>
          <w:rFonts w:eastAsia="Times New Roman"/>
          <w:color w:val="000000"/>
        </w:rPr>
        <w:t xml:space="preserve">й</w:t>
      </w:r>
      <w:r>
        <w:rPr>
          <w:rFonts w:eastAsia="Times New Roman"/>
          <w:color w:val="000000"/>
        </w:rPr>
        <w:t xml:space="preserve"> на основании доверенности от </w:t>
      </w:r>
      <w:r>
        <w:rPr>
          <w:rFonts w:eastAsia="Times New Roman"/>
          <w:color w:val="000000" w:themeColor="text1"/>
        </w:rPr>
        <w:t xml:space="preserve">29.07.</w:t>
      </w:r>
      <w:r>
        <w:rPr>
          <w:rFonts w:eastAsia="Times New Roman"/>
          <w:color w:val="000000" w:themeColor="text1"/>
        </w:rPr>
        <w:t xml:space="preserve">2026 № 04-03</w:t>
      </w:r>
      <w:r>
        <w:rPr>
          <w:rFonts w:eastAsia="Times New Roman"/>
          <w:color w:val="000000" w:themeColor="text1"/>
        </w:rPr>
        <w:t xml:space="preserve">-08-71</w:t>
      </w:r>
      <w:r>
        <w:rPr>
          <w:rFonts w:eastAsia="Times New Roman"/>
          <w:color w:val="000000" w:themeColor="text1"/>
        </w:rPr>
        <w:t xml:space="preserve">/2026,</w:t>
      </w:r>
      <w:r>
        <w:rPr>
          <w:rFonts w:eastAsia="Times New Roman"/>
          <w:color w:val="000000"/>
        </w:rPr>
        <w:t xml:space="preserve"> с одной стороны, </w:t>
      </w:r>
      <w:r>
        <w:rPr>
          <w:rFonts w:eastAsia="Times New Roman"/>
          <w:color w:val="000000"/>
        </w:rPr>
        <w:t xml:space="preserve">и____________________________________________</w:t>
      </w:r>
      <w:r>
        <w:rPr>
          <w:rFonts w:eastAsia="Times New Roman"/>
          <w:color w:val="000000"/>
        </w:rPr>
        <w:t xml:space="preserve">, именуемое в дальнейшем «Исполнитель», в лице </w:t>
      </w:r>
      <w:r>
        <w:rPr>
          <w:rFonts w:eastAsia="Times New Roman"/>
          <w:color w:val="000000"/>
        </w:rPr>
        <w:t xml:space="preserve">_______________</w:t>
      </w:r>
      <w:r>
        <w:rPr>
          <w:rFonts w:eastAsia="Times New Roman"/>
          <w:color w:val="000000"/>
        </w:rPr>
        <w:t xml:space="preserve">,   действующего на основании  </w:t>
      </w:r>
      <w:r>
        <w:rPr>
          <w:rFonts w:eastAsia="Times New Roman"/>
          <w:color w:val="000000"/>
        </w:rPr>
        <w:t xml:space="preserve">____________________</w:t>
      </w:r>
      <w:r>
        <w:rPr>
          <w:rFonts w:eastAsia="Times New Roman"/>
          <w:color w:val="000000"/>
        </w:rPr>
        <w:t xml:space="preserve">, с другой стороны, вместе именуемые «Стороны» и каждый в отдельности «Сторона»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ИКЗ № </w:t>
      </w:r>
      <w:r>
        <w:rPr>
          <w:color w:val="000000"/>
        </w:rPr>
        <w:t xml:space="preserve">263471602448047160100100070000000000</w:t>
      </w:r>
      <w:r>
        <w:rPr>
          <w:rFonts w:eastAsia="Times New Roman"/>
          <w:color w:val="000000"/>
        </w:rPr>
        <w:t xml:space="preserve">, заключили настоящий муниципальный контракт (далее - контракт) о нижеследующем.</w:t>
      </w:r>
    </w:p>
    <w:p>
      <w:pPr>
        <w:pStyle w:val="afb"/>
        <w:jc w:val="both"/>
        <w:rPr>
          <w:sz w:val="24"/>
          <w:szCs w:val="24"/>
        </w:rPr>
      </w:pPr>
    </w:p>
    <w:p>
      <w:pPr>
        <w:jc w:val="both"/>
        <w:rPr>
          <w:rFonts w:eastAsia="Times New Roman"/>
          <w:b/>
          <w:bCs/>
        </w:rPr>
      </w:pPr>
    </w:p>
    <w:p>
      <w:pPr>
        <w:jc w:val="center"/>
        <w:rPr>
          <w:rFonts w:eastAsia="Times New Roman"/>
          <w:bCs/>
        </w:rPr>
      </w:pPr>
      <w:r>
        <w:rPr>
          <w:rFonts w:eastAsia="Times New Roman"/>
          <w:bCs/>
        </w:rPr>
        <w:t xml:space="preserve">1. ПРЕДМЕТ КОНТРАКТА</w:t>
      </w:r>
    </w:p>
    <w:p>
      <w:pPr>
        <w:jc w:val="both"/>
        <w:rPr>
          <w:rFonts w:eastAsia="Times New Roman"/>
          <w:color w:val="000000"/>
        </w:rPr>
      </w:pPr>
    </w:p>
    <w:p>
      <w:pPr>
        <w:pStyle w:val="ConsPlusNormal0"/>
        <w:ind w:firstLine="708"/>
        <w:jc w:val="both"/>
        <w:rPr>
          <w:rFonts w:ascii="Times New Roman" w:hAnsi="Times New Roman" w:eastAsia="MS Mincho"/>
          <w:sz w:val="24"/>
          <w:szCs w:val="24"/>
        </w:rPr>
      </w:pPr>
      <w:r>
        <w:rPr>
          <w:rFonts w:ascii="Times New Roman" w:hAnsi="Times New Roman" w:eastAsia="MS Mincho"/>
          <w:sz w:val="24"/>
          <w:szCs w:val="24"/>
        </w:rPr>
        <w:t xml:space="preserve">1.1. По настоящему контракту Исполнитель обязуется  Заказчику в срок, предусмотренный настоящим контрактом,  оказать </w:t>
      </w:r>
      <w:r>
        <w:rPr>
          <w:rFonts w:ascii="Times New Roman" w:hAnsi="Times New Roman"/>
          <w:color w:val="000000"/>
          <w:sz w:val="24"/>
          <w:szCs w:val="24"/>
        </w:rPr>
        <w:t xml:space="preserve">услуги по </w:t>
      </w:r>
      <w:r>
        <w:rPr>
          <w:rFonts w:ascii="Times New Roman" w:hAnsi="Times New Roman" w:eastAsia="Times New Roman"/>
          <w:sz w:val="24"/>
          <w:szCs w:val="24"/>
        </w:rPr>
        <w:t xml:space="preserve"> обследованию конструктивных элементов  многоквартирных домов,  расположенном по адресу:  Ленинградская область, Тосненский район,  </w:t>
      </w:r>
      <w:r>
        <w:rPr>
          <w:rFonts w:ascii="Times New Roman" w:hAnsi="Times New Roman" w:eastAsia="Times New Roman"/>
          <w:sz w:val="24"/>
          <w:szCs w:val="24"/>
        </w:rPr>
        <w:t xml:space="preserve">г. Тосно, ул. Болотная, д.10; Ленинградская область, Тосненский район, г. Тосно, ул. Октябрьская, д.72 </w:t>
      </w:r>
      <w:r>
        <w:t xml:space="preserve"> </w:t>
      </w:r>
      <w:r>
        <w:rPr>
          <w:rFonts w:ascii="Times New Roman" w:hAnsi="Times New Roman"/>
          <w:color w:val="000000"/>
          <w:sz w:val="24"/>
          <w:szCs w:val="24"/>
        </w:rPr>
        <w:t xml:space="preserve">(далее - работы)</w:t>
      </w:r>
      <w:r>
        <w:rPr>
          <w:rFonts w:ascii="Times New Roman" w:hAnsi="Times New Roman" w:eastAsia="MS Mincho"/>
          <w:sz w:val="24"/>
          <w:szCs w:val="24"/>
        </w:rPr>
        <w:t xml:space="preserve"> в соответствии с Описанием объекта закупки (Приложение № 1 к контракту),  Спецификацией (Приложение № 2 к контракту), а Заказчик обязуется принять и оплатить выполненные работы на условиях, предусмотренных настоящим контрактом.</w:t>
      </w:r>
    </w:p>
    <w:p>
      <w:pPr>
        <w:pStyle w:val="ConsPlusNormal0"/>
        <w:ind w:firstLine="0"/>
        <w:jc w:val="both"/>
        <w:rPr>
          <w:rFonts w:ascii="Times New Roman" w:hAnsi="Times New Roman"/>
          <w:sz w:val="24"/>
          <w:szCs w:val="24"/>
        </w:rPr>
      </w:pPr>
    </w:p>
    <w:p>
      <w:pPr>
        <w:jc w:val="center"/>
        <w:rPr>
          <w:rFonts w:eastAsia="Times New Roman"/>
          <w:bCs/>
        </w:rPr>
      </w:pPr>
      <w:r>
        <w:rPr>
          <w:rFonts w:eastAsia="Times New Roman"/>
          <w:bCs/>
        </w:rPr>
        <w:t xml:space="preserve">2. ЦЕНА КОНТРАКТА</w:t>
      </w:r>
    </w:p>
    <w:p>
      <w:pPr>
        <w:jc w:val="center"/>
        <w:rPr>
          <w:rFonts w:eastAsia="Times New Roman"/>
        </w:rPr>
      </w:pPr>
    </w:p>
    <w:p>
      <w:pPr>
        <w:jc w:val="both"/>
      </w:pPr>
      <w:r>
        <w:tab/>
        <w:t xml:space="preserve">2.1. </w:t>
      </w:r>
      <w:r>
        <w:t xml:space="preserve">Цена Контракта составляет ______________ рублей ________копеек (__________), в том числе НДС (____процентов) __________ рублей _____ копеек)/ НДС не облагается на основании  _______ Налогового кодекса Российской Федерации.</w:t>
      </w:r>
    </w:p>
    <w:p>
      <w:pPr>
        <w:jc w:val="both"/>
      </w:pPr>
      <w:r>
        <w:rPr>
          <w:rFonts w:eastAsia="MS Mincho"/>
        </w:rPr>
        <w:tab/>
        <w:t xml:space="preserve">2.2. </w:t>
      </w:r>
      <w:r>
        <w:t xml:space="preserve">Цена контракта включает стоимость </w:t>
      </w:r>
      <w:r>
        <w:rPr>
          <w:rFonts w:eastAsia="Times New Roman"/>
        </w:rPr>
        <w:t xml:space="preserve">оказываемых услуг, транспортных расходов, а также налоги</w:t>
      </w:r>
      <w:r>
        <w:t xml:space="preserve"> и сборы, установленные законодательством Российской Федерации.</w:t>
      </w:r>
    </w:p>
    <w:p>
      <w:pPr>
        <w:pStyle w:val="ConsNormal0"/>
        <w:ind w:right="0" w:firstLine="0"/>
        <w:jc w:val="both"/>
        <w:rPr>
          <w:rFonts w:ascii="Times New Roman" w:hAnsi="Times New Roman"/>
          <w:sz w:val="24"/>
          <w:szCs w:val="24"/>
        </w:rPr>
      </w:pPr>
      <w:r>
        <w:rPr>
          <w:rFonts w:ascii="Times New Roman" w:hAnsi="Times New Roman"/>
          <w:sz w:val="24"/>
          <w:szCs w:val="24"/>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pPr>
        <w:pStyle w:val="21221212112131"/>
        <w:ind w:firstLine="708"/>
        <w:jc w:val="both"/>
        <w:rPr>
          <w:rFonts w:ascii="Times New Roman" w:hAnsi="Times New Roman" w:eastAsia="MS Mincho"/>
          <w:szCs w:val="24"/>
        </w:rPr>
      </w:pPr>
      <w:r>
        <w:rPr>
          <w:rFonts w:ascii="Times New Roman" w:hAnsi="Times New Roman"/>
          <w:szCs w:val="24"/>
        </w:rPr>
        <w:t xml:space="preserve">2.4. </w:t>
      </w:r>
      <w:r>
        <w:rPr>
          <w:rFonts w:ascii="Times New Roman" w:hAnsi="Times New Roman" w:eastAsia="MS Mincho"/>
          <w:szCs w:val="24"/>
        </w:rPr>
        <w:t xml:space="preserve">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pPr>
        <w:ind w:firstLine="708"/>
        <w:jc w:val="both"/>
        <w:rPr>
          <w:color w:val="000000"/>
        </w:rPr>
      </w:pPr>
      <w:r>
        <w:rPr>
          <w:color w:val="000000"/>
        </w:rPr>
        <w:t xml:space="preserve">2.5.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pPr>
        <w:pStyle w:val="21221212112131"/>
        <w:ind w:firstLine="708"/>
        <w:jc w:val="both"/>
        <w:rPr>
          <w:rFonts w:ascii="Times New Roman" w:hAnsi="Times New Roman"/>
          <w:color w:val="000000"/>
          <w:szCs w:val="24"/>
          <w:lang w:eastAsia="ru-RU"/>
        </w:rPr>
      </w:pPr>
      <w:r>
        <w:rPr>
          <w:rFonts w:ascii="Times New Roman" w:hAnsi="Times New Roman"/>
          <w:color w:val="000000"/>
          <w:szCs w:val="24"/>
          <w:lang w:eastAsia="ru-RU"/>
        </w:rPr>
        <w:t xml:space="preserve">2.6.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11"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 xml:space="preserve">обеспечить согласование</w:t>
        </w:r>
      </w:hyperlink>
      <w:r>
        <w:rPr>
          <w:rFonts w:ascii="Times New Roman" w:hAnsi="Times New Roman"/>
          <w:color w:val="000000"/>
          <w:szCs w:val="24"/>
          <w:lang w:eastAsia="ru-RU"/>
        </w:rPr>
        <w:t xml:space="preserve"> новых условий контракта, в том числе по цене и (или) срокам его исполнения и (или) количества товара, предусмотренного контрактом.</w:t>
      </w:r>
    </w:p>
    <w:p>
      <w:pPr>
        <w:pStyle w:val="21221212112131"/>
        <w:jc w:val="both"/>
        <w:rPr>
          <w:rFonts w:eastAsia="Times New Roman"/>
        </w:rPr>
      </w:pPr>
    </w:p>
    <w:p>
      <w:pPr>
        <w:jc w:val="center"/>
        <w:rPr>
          <w:rFonts w:eastAsia="Times New Roman"/>
        </w:rPr>
      </w:pPr>
      <w:r>
        <w:rPr>
          <w:rFonts w:eastAsia="Times New Roman"/>
        </w:rPr>
        <w:t xml:space="preserve">3. ПОРЯДОК И СРОКИ ОПЛАТЫ УСЛУГ</w:t>
      </w:r>
    </w:p>
    <w:p>
      <w:pPr>
        <w:jc w:val="center"/>
        <w:rPr>
          <w:rFonts w:eastAsia="Times New Roman"/>
          <w:b/>
        </w:rPr>
      </w:pPr>
    </w:p>
    <w:p>
      <w:pPr>
        <w:pStyle w:val="ConsNormal0"/>
        <w:ind w:right="0" w:firstLine="0"/>
        <w:jc w:val="both"/>
        <w:rPr>
          <w:rFonts w:ascii="Times New Roman" w:hAnsi="Times New Roman"/>
          <w:sz w:val="24"/>
          <w:szCs w:val="24"/>
        </w:rPr>
      </w:pPr>
      <w:r>
        <w:rPr>
          <w:rFonts w:ascii="Times New Roman" w:hAnsi="Times New Roman"/>
          <w:sz w:val="24"/>
          <w:szCs w:val="24"/>
        </w:rPr>
        <w:tab/>
        <w:t xml:space="preserve">3.1. Оказанные услуги оплачиваются в строгом соответствии с объемами и источниками финансирования.</w:t>
      </w:r>
    </w:p>
    <w:p>
      <w:pPr>
        <w:jc w:val="both"/>
      </w:pPr>
      <w:r>
        <w:tab/>
        <w:t xml:space="preserve">3.2. Авансовый платеж не предусмотрен. Оплата производится за оказанные услуги в течение 7 (семи) рабочих дней после подписания Заказчиком и Исполнителем документа о приемке оказанных услуг на основании выставленного счета </w:t>
      </w:r>
      <w:r>
        <w:rPr>
          <w:rFonts w:eastAsia="Times New Roman"/>
          <w:lang w:eastAsia="ar-SA"/>
        </w:rPr>
        <w:t xml:space="preserve">и счёта-фактуры</w:t>
      </w:r>
      <w:r>
        <w:rPr>
          <w:rFonts w:eastAsia="Times New Roman"/>
          <w:vertAlign w:val="superscript"/>
          <w:lang w:eastAsia="ar-SA"/>
        </w:rPr>
        <w:footnoteReference w:id="1"/>
      </w:r>
      <w:r>
        <w:rPr>
          <w:rFonts w:eastAsia="Times New Roman"/>
          <w:lang w:eastAsia="ar-SA"/>
        </w:rPr>
        <w:t xml:space="preserve">.</w:t>
      </w:r>
    </w:p>
    <w:p>
      <w:pPr>
        <w:jc w:val="both"/>
        <w:rPr>
          <w:color w:val="000000"/>
        </w:rPr>
      </w:pPr>
      <w:r>
        <w:t xml:space="preserve"> </w:t>
      </w:r>
      <w:r>
        <w:tab/>
        <w:t xml:space="preserve">Выставленный </w:t>
      </w:r>
      <w:r>
        <w:rPr>
          <w:color w:val="000000"/>
        </w:rPr>
        <w:t xml:space="preserve">счет должен содержать ссылку на номер и дату контракта.</w:t>
      </w:r>
    </w:p>
    <w:p>
      <w:pPr>
        <w:jc w:val="both"/>
      </w:pPr>
      <w:r>
        <w:tab/>
        <w:t xml:space="preserve">3.3. Финансирование настоящего контракта осуществляется за счет средств</w:t>
      </w:r>
      <w:r>
        <w:t xml:space="preserve"> бюджета</w:t>
      </w:r>
      <w:r>
        <w:t xml:space="preserve">  Тосненского городского поселения Тосненского муниципального района Ленинградской области на 2026 год.</w:t>
      </w:r>
    </w:p>
    <w:p>
      <w:pPr>
        <w:jc w:val="both"/>
      </w:pPr>
      <w:r>
        <w:tab/>
        <w:t xml:space="preserve">3.4.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pPr>
        <w:jc w:val="both"/>
      </w:pPr>
      <w:r>
        <w:tab/>
        <w:t xml:space="preserve">3.5. Обязанность Заказчика по оплате оказанных услуг считаются исполненными в момент  списания денежных средств с его расчетного счета.</w:t>
      </w:r>
    </w:p>
    <w:p>
      <w:pPr>
        <w:jc w:val="both"/>
      </w:pPr>
      <w:r>
        <w:rPr>
          <w:color w:val="000000"/>
        </w:rPr>
        <w:tab/>
      </w:r>
    </w:p>
    <w:p>
      <w:pPr>
        <w:jc w:val="both"/>
      </w:pPr>
    </w:p>
    <w:p>
      <w:pPr>
        <w:jc w:val="center"/>
        <w:rPr>
          <w:rFonts w:eastAsia="Times New Roman"/>
        </w:rPr>
      </w:pPr>
      <w:r>
        <w:rPr>
          <w:rFonts w:eastAsia="Times New Roman"/>
        </w:rPr>
        <w:t xml:space="preserve">4. ПОРЯДОК И СРОКИ ОКАЗАНИЯ УСЛУГ</w:t>
      </w:r>
    </w:p>
    <w:p>
      <w:pPr>
        <w:jc w:val="center"/>
        <w:rPr>
          <w:rFonts w:eastAsia="Times New Roman"/>
        </w:rPr>
      </w:pPr>
    </w:p>
    <w:p>
      <w:pPr>
        <w:jc w:val="both"/>
        <w:rPr>
          <w:rFonts w:eastAsia="Times New Roman"/>
        </w:rPr>
      </w:pPr>
      <w:r>
        <w:rPr>
          <w:rFonts w:eastAsia="Times New Roman"/>
        </w:rPr>
        <w:tab/>
        <w:t xml:space="preserve">4.1. Срок оказания услуг: 30</w:t>
      </w:r>
      <w:r>
        <w:rPr>
          <w:rFonts w:eastAsia="Times New Roman"/>
        </w:rPr>
        <w:t xml:space="preserve"> (тридцать)</w:t>
      </w:r>
      <w:r>
        <w:rPr>
          <w:rFonts w:eastAsia="Times New Roman"/>
        </w:rPr>
        <w:t xml:space="preserve"> </w:t>
      </w:r>
      <w:r>
        <w:rPr>
          <w:rFonts w:eastAsia="Times New Roman"/>
        </w:rPr>
        <w:t xml:space="preserve">календарных</w:t>
      </w:r>
      <w:r>
        <w:rPr>
          <w:rFonts w:eastAsia="Times New Roman"/>
        </w:rPr>
        <w:t xml:space="preserve"> дней с момента заключения</w:t>
      </w:r>
      <w:r>
        <w:rPr>
          <w:rFonts w:eastAsia="Times New Roman"/>
        </w:rPr>
        <w:t xml:space="preserve"> муниципального</w:t>
      </w:r>
      <w:r>
        <w:rPr>
          <w:rFonts w:eastAsia="Times New Roman"/>
        </w:rPr>
        <w:t xml:space="preserve"> контракта.</w:t>
      </w:r>
    </w:p>
    <w:p>
      <w:pPr>
        <w:jc w:val="both"/>
      </w:pPr>
      <w:r>
        <w:tab/>
        <w:t xml:space="preserve">4.2. Услуги должны быть оказаны с периодичностью, указанной в Описании объекта закупки (Приложение № 1 к контракту).</w:t>
      </w:r>
    </w:p>
    <w:p>
      <w:pPr>
        <w:widowControl w:val="off"/>
        <w:shd w:val="clear" w:color="auto" w:fill="ffffff"/>
        <w:spacing w:line="281" w:lineRule="exact"/>
        <w:ind w:left="108"/>
        <w:jc w:val="both"/>
        <w:rPr>
          <w:rFonts w:eastAsia="Times New Roman"/>
        </w:rPr>
      </w:pPr>
      <w:r>
        <w:tab/>
        <w:t xml:space="preserve">4.3. Услуги оказываются по адресу: </w:t>
      </w:r>
      <w:r>
        <w:rPr>
          <w:rFonts w:eastAsia="Times New Roman"/>
        </w:rPr>
        <w:t xml:space="preserve">Ленинградская область, Тосненский район,  г. Тосно, ул. Болотная, д.10; Ленинградская область, Тосненский район, г. Тосно, ул. Октябрьская, д.72.</w:t>
      </w:r>
    </w:p>
    <w:p>
      <w:pPr>
        <w:jc w:val="center"/>
        <w:rPr>
          <w:rFonts w:eastAsia="Times New Roman"/>
          <w:bCs/>
        </w:rPr>
      </w:pPr>
    </w:p>
    <w:p>
      <w:pPr>
        <w:jc w:val="center"/>
        <w:rPr>
          <w:rFonts w:eastAsia="Times New Roman"/>
          <w:bCs/>
        </w:rPr>
      </w:pPr>
      <w:r>
        <w:rPr>
          <w:rFonts w:eastAsia="Times New Roman"/>
          <w:bCs/>
        </w:rPr>
        <w:t xml:space="preserve">5. ПРАВА И ОБЯЗАННОСТИ СТОРОН</w:t>
      </w:r>
    </w:p>
    <w:p>
      <w:pPr>
        <w:jc w:val="both"/>
        <w:rPr>
          <w:rFonts w:eastAsia="Times New Roman"/>
          <w:bCs/>
        </w:rPr>
      </w:pPr>
    </w:p>
    <w:p>
      <w:pPr>
        <w:jc w:val="both"/>
        <w:rPr>
          <w:rFonts w:eastAsia="Times New Roman"/>
          <w:bCs/>
        </w:rPr>
      </w:pPr>
      <w:r>
        <w:rPr>
          <w:rFonts w:eastAsia="Times New Roman"/>
          <w:bCs/>
        </w:rPr>
        <w:tab/>
        <w:t xml:space="preserve">5.1. Исполнитель обязуется:</w:t>
      </w:r>
    </w:p>
    <w:p>
      <w:pPr>
        <w:jc w:val="both"/>
        <w:rPr>
          <w:rFonts w:eastAsia="Times New Roman"/>
          <w:bCs/>
          <w:color w:val="000000"/>
        </w:rPr>
      </w:pPr>
      <w:r>
        <w:rPr>
          <w:rFonts w:eastAsia="Times New Roman"/>
          <w:bCs/>
          <w:color w:val="000000"/>
        </w:rPr>
        <w:tab/>
        <w:t xml:space="preserve">5.1.1. Оказать услуги лично, в надлежащий срок в установленном месте, надлежащего качества по заданию Заказчика.</w:t>
      </w:r>
    </w:p>
    <w:p>
      <w:pPr>
        <w:jc w:val="both"/>
        <w:rPr>
          <w:rFonts w:eastAsia="Times New Roman"/>
          <w:bCs/>
        </w:rPr>
      </w:pPr>
      <w:r>
        <w:rPr>
          <w:rFonts w:eastAsia="Times New Roman"/>
          <w:bCs/>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Описанием объекта закупки (Приложение № 1 к контракту).</w:t>
      </w:r>
    </w:p>
    <w:p>
      <w:pPr>
        <w:jc w:val="both"/>
        <w:rPr>
          <w:rFonts w:eastAsia="Times New Roman"/>
          <w:bCs/>
        </w:rPr>
      </w:pPr>
      <w:r>
        <w:rPr>
          <w:rFonts w:eastAsia="Times New Roman"/>
          <w:bCs/>
        </w:rPr>
        <w:tab/>
        <w:t xml:space="preserve">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pPr>
        <w:jc w:val="both"/>
        <w:rPr>
          <w:rFonts w:eastAsia="Times New Roman"/>
          <w:bCs/>
        </w:rPr>
      </w:pPr>
      <w:r>
        <w:rPr>
          <w:rFonts w:eastAsia="Times New Roman"/>
          <w:bCs/>
        </w:rPr>
        <w:tab/>
        <w:t xml:space="preserve">5.1.4. Соответствовать требованиям, установленным в части 1, 1.1статьи 31 Федерального закона № 44-ФЗ.</w:t>
      </w:r>
    </w:p>
    <w:p>
      <w:pPr>
        <w:rPr>
          <w:rFonts w:eastAsia="Times New Roman"/>
          <w:bCs/>
        </w:rPr>
      </w:pPr>
      <w:r>
        <w:rPr>
          <w:rFonts w:eastAsia="Times New Roman"/>
          <w:bCs/>
        </w:rPr>
        <w:tab/>
        <w:t xml:space="preserve">5.2. Исполнитель имеет право:</w:t>
      </w:r>
    </w:p>
    <w:p>
      <w:pPr>
        <w:jc w:val="both"/>
        <w:rPr>
          <w:rFonts w:eastAsia="Times New Roman"/>
          <w:bCs/>
          <w:color w:val="000000"/>
        </w:rPr>
      </w:pPr>
      <w:r>
        <w:rPr>
          <w:rFonts w:eastAsia="Times New Roman"/>
          <w:bCs/>
          <w:color w:val="000000"/>
        </w:rPr>
        <w:tab/>
        <w:t xml:space="preserve">5.2.1. Требовать своевременной приемки и оплаты, надлежащим образом, оказанных услуг в соответствии с условиями контракта.</w:t>
      </w:r>
    </w:p>
    <w:p>
      <w:pPr>
        <w:jc w:val="both"/>
        <w:rPr>
          <w:rFonts w:eastAsia="Times New Roman"/>
          <w:bCs/>
        </w:rPr>
      </w:pPr>
      <w:r>
        <w:rPr>
          <w:rFonts w:eastAsia="Times New Roman"/>
          <w:bCs/>
        </w:rPr>
        <w:tab/>
        <w:t xml:space="preserve">5.2.2. Обращаться к Заказчику за организационным содействием в целях проведения мероприятий по улучшению качества оказываемых услуг.</w:t>
      </w:r>
    </w:p>
    <w:p>
      <w:pPr>
        <w:jc w:val="both"/>
        <w:rPr>
          <w:rFonts w:eastAsia="Times New Roman"/>
          <w:bCs/>
        </w:rPr>
      </w:pPr>
      <w:r>
        <w:rPr>
          <w:rFonts w:eastAsia="Times New Roman"/>
          <w:bCs/>
        </w:rPr>
        <w:tab/>
        <w:t xml:space="preserve">5.2.3. Самостоятельно определять количество специалистов, необходимых для оказания  услуг Заказчику.</w:t>
      </w:r>
    </w:p>
    <w:p>
      <w:pPr>
        <w:jc w:val="both"/>
        <w:rPr>
          <w:rFonts w:eastAsia="Times New Roman"/>
          <w:bCs/>
        </w:rPr>
      </w:pPr>
      <w:r>
        <w:rPr>
          <w:rFonts w:eastAsia="Times New Roman"/>
          <w:bCs/>
        </w:rPr>
        <w:tab/>
        <w:t xml:space="preserve">5.3. Заказчик обязуется:</w:t>
      </w:r>
    </w:p>
    <w:p>
      <w:pPr>
        <w:jc w:val="both"/>
        <w:rPr>
          <w:rFonts w:eastAsia="Times New Roman"/>
          <w:bCs/>
        </w:rPr>
      </w:pPr>
      <w:r>
        <w:rPr>
          <w:rFonts w:eastAsia="Times New Roman"/>
          <w:bCs/>
        </w:rPr>
        <w:tab/>
        <w:t xml:space="preserve">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pPr>
        <w:jc w:val="both"/>
        <w:rPr>
          <w:rFonts w:eastAsia="Times New Roman"/>
        </w:rPr>
      </w:pPr>
      <w:r>
        <w:rPr>
          <w:rFonts w:eastAsia="Times New Roman"/>
        </w:rPr>
        <w:tab/>
        <w:t xml:space="preserve">5.3.2.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pPr>
        <w:jc w:val="both"/>
        <w:rPr>
          <w:rFonts w:eastAsia="Times New Roman"/>
          <w:bCs/>
        </w:rPr>
      </w:pPr>
      <w:r>
        <w:rPr>
          <w:rFonts w:eastAsia="Times New Roman"/>
          <w:bCs/>
        </w:rPr>
        <w:tab/>
        <w:t xml:space="preserve">5.3.3. Оплатить услуги Исполнителя в порядке, предусмотренном настоящим контрактом.</w:t>
      </w:r>
    </w:p>
    <w:p>
      <w:pPr>
        <w:jc w:val="both"/>
        <w:rPr>
          <w:rFonts w:eastAsia="Times New Roman"/>
          <w:bCs/>
        </w:rPr>
      </w:pPr>
      <w:r>
        <w:rPr>
          <w:rFonts w:eastAsia="Times New Roman"/>
          <w:bCs/>
        </w:rPr>
        <w:tab/>
        <w:t xml:space="preserve">5.3.4. Оказывать Исполнителю необходимое содействие в процессе оказываемых услуг.</w:t>
      </w:r>
    </w:p>
    <w:p>
      <w:pPr>
        <w:pStyle w:val="af2"/>
        <w:jc w:val="both"/>
        <w:rPr>
          <w:rFonts w:eastAsia="Times New Roman"/>
          <w:bCs/>
          <w:color w:val="ff0000"/>
          <w:sz w:val="24"/>
          <w:szCs w:val="24"/>
        </w:rPr>
      </w:pPr>
      <w:r>
        <w:rPr>
          <w:sz w:val="24"/>
          <w:szCs w:val="24"/>
        </w:rPr>
        <w:tab/>
      </w:r>
      <w:r>
        <w:rPr>
          <w:rFonts w:eastAsia="Times New Roman"/>
          <w:bCs/>
          <w:sz w:val="24"/>
          <w:szCs w:val="24"/>
        </w:rPr>
        <w:t xml:space="preserve">5.</w:t>
      </w:r>
      <w:r>
        <w:rPr>
          <w:rFonts w:eastAsia="Times New Roman"/>
          <w:bCs/>
          <w:color w:val="000000"/>
          <w:sz w:val="24"/>
          <w:szCs w:val="24"/>
        </w:rPr>
        <w:t xml:space="preserve">3.5. Выполнить иные обязательства, предусмотренные настоящим контрактом и действующим законодательством Российской Федерации.</w:t>
      </w:r>
    </w:p>
    <w:p>
      <w:pPr>
        <w:jc w:val="both"/>
        <w:rPr>
          <w:rFonts w:eastAsia="Times New Roman"/>
          <w:bCs/>
        </w:rPr>
      </w:pPr>
      <w:r>
        <w:rPr>
          <w:rFonts w:eastAsia="Times New Roman"/>
          <w:bCs/>
        </w:rPr>
        <w:tab/>
        <w:t xml:space="preserve">5.4. Заказчик имеет право:</w:t>
      </w:r>
    </w:p>
    <w:p>
      <w:pPr>
        <w:jc w:val="both"/>
        <w:rPr>
          <w:rFonts w:eastAsia="Times New Roman"/>
          <w:bCs/>
        </w:rPr>
      </w:pPr>
      <w:r>
        <w:rPr>
          <w:rFonts w:eastAsia="Times New Roman"/>
          <w:bCs/>
        </w:rPr>
        <w:tab/>
        <w:t xml:space="preserve">5.4.1. В любое время проверять ход и качество услуг, оказываемых Исполнителем, не вмешиваясь в его хозяйственную деятельность.</w:t>
      </w:r>
    </w:p>
    <w:p>
      <w:pPr>
        <w:jc w:val="both"/>
        <w:rPr>
          <w:color w:val="000000"/>
        </w:rPr>
      </w:pPr>
      <w:r>
        <w:rPr>
          <w:color w:val="000000"/>
        </w:rPr>
        <w:tab/>
        <w:t xml:space="preserve">5.4.2. Требовать от Исполнителя представления надлежащим образом оформленной отчетной документации и материалов, подтверждающих исполнение обязательств.</w:t>
      </w:r>
    </w:p>
    <w:p>
      <w:pPr>
        <w:pStyle w:val="afb"/>
        <w:jc w:val="both"/>
        <w:rPr>
          <w:sz w:val="24"/>
          <w:szCs w:val="24"/>
        </w:rPr>
      </w:pPr>
      <w:r>
        <w:rPr>
          <w:sz w:val="24"/>
          <w:szCs w:val="24"/>
        </w:rPr>
        <w:tab/>
        <w:t xml:space="preserve">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pPr>
        <w:jc w:val="both"/>
        <w:rPr>
          <w:rFonts w:eastAsia="Times New Roman"/>
          <w:b/>
          <w:bCs/>
        </w:rPr>
      </w:pPr>
    </w:p>
    <w:p>
      <w:pPr>
        <w:jc w:val="center"/>
        <w:rPr>
          <w:rFonts w:eastAsia="Times New Roman"/>
          <w:bCs/>
        </w:rPr>
      </w:pPr>
      <w:r>
        <w:rPr>
          <w:rFonts w:eastAsia="Times New Roman"/>
          <w:bCs/>
        </w:rPr>
        <w:t xml:space="preserve">6. ПОРЯДОК И СРОКИ ПРИЕМКИ ОКАЗАННЫХ УСЛУГ</w:t>
      </w:r>
    </w:p>
    <w:p>
      <w:pPr>
        <w:jc w:val="both"/>
        <w:rPr>
          <w:rFonts w:eastAsia="Times New Roman"/>
          <w:b/>
          <w:bCs/>
        </w:rPr>
      </w:pPr>
    </w:p>
    <w:p>
      <w:pPr>
        <w:jc w:val="both"/>
        <w:rPr>
          <w:color w:val="000000"/>
        </w:rPr>
      </w:pPr>
      <w:r>
        <w:rPr>
          <w:color w:val="000000"/>
        </w:rPr>
        <w:tab/>
        <w:t xml:space="preserve">6.1. Приемка оказанных услуг осуществляется в соответствии с Описанием объекта закупки (Приложение № 1 к контракту).</w:t>
      </w:r>
    </w:p>
    <w:p>
      <w:pPr>
        <w:ind w:firstLine="708"/>
        <w:jc w:val="both"/>
        <w:rPr>
          <w:color w:val="000000"/>
        </w:rPr>
      </w:pPr>
      <w:r>
        <w:rPr>
          <w:color w:val="000000"/>
        </w:rPr>
        <w:t xml:space="preserve">6.2. Исполнитель в течение 5 (пяти) календарных дней после оказания услуг передает Заказчику все необходимые документы для осуществления приемки о приемке </w:t>
      </w:r>
      <w:r>
        <w:t xml:space="preserve">(акт выполненных работ, </w:t>
      </w:r>
      <w:r>
        <w:rPr>
          <w:color w:val="000000"/>
        </w:rPr>
        <w:t xml:space="preserve">техническое заключение по результатам обследования (на электронном носителе, на бумажном носителе – 2 экз). </w:t>
      </w:r>
      <w:r>
        <w:rPr>
          <w:color w:val="000000"/>
        </w:rPr>
        <w:tab/>
      </w:r>
    </w:p>
    <w:p>
      <w:pPr>
        <w:ind w:firstLine="708"/>
        <w:jc w:val="both"/>
        <w:rPr>
          <w:color w:val="000000"/>
        </w:rPr>
      </w:pPr>
      <w:r>
        <w:rPr>
          <w:color w:val="000000"/>
        </w:rPr>
        <w:t xml:space="preserve">6.3. Заказчик в течение не более 5 (пяти) рабочих дней, следующих за днем поступления документов о приемке в соответствии с п. 6.2 настоящего контракта, проверяет достоверность сведений об оказанных услугах, отраженных в документах. а) подписывает документы о приемке;</w:t>
      </w:r>
    </w:p>
    <w:p>
      <w:pPr>
        <w:ind w:firstLine="708"/>
        <w:jc w:val="both"/>
        <w:rPr>
          <w:color w:val="000000"/>
        </w:rPr>
      </w:pPr>
      <w:r>
        <w:rPr>
          <w:color w:val="000000"/>
        </w:rPr>
        <w:t xml:space="preserve">б) мотивированный отказ от подписания документов о приемке с указанием причин такого отказа.</w:t>
      </w:r>
    </w:p>
    <w:p>
      <w:pPr>
        <w:ind w:firstLine="708"/>
        <w:jc w:val="both"/>
        <w:rPr>
          <w:color w:val="000000"/>
        </w:rPr>
      </w:pPr>
      <w:r>
        <w:rPr>
          <w:color w:val="000000"/>
        </w:rPr>
        <w:t xml:space="preserve">6.4. По решению Заказчика для приемки оказанных услуг может быть создана приемочная комиссия, состоящая не менее чем из пяти человек.</w:t>
      </w:r>
    </w:p>
    <w:p>
      <w:pPr>
        <w:jc w:val="both"/>
        <w:rPr>
          <w:color w:val="000000"/>
        </w:rPr>
      </w:pPr>
      <w:r>
        <w:rPr>
          <w:color w:val="000000"/>
        </w:rPr>
        <w:t xml:space="preserve">В случае создания приемочной комиссии подписание документов о приемке осуществляется не позднее 20 рабочих дней, следующих за днем поступления документов о приемке в соответствии с п. 6.2. настоящего Контракта. </w:t>
      </w:r>
    </w:p>
    <w:p>
      <w:pPr>
        <w:jc w:val="both"/>
        <w:rPr>
          <w:color w:val="000000"/>
        </w:rPr>
      </w:pPr>
      <w:r>
        <w:rPr>
          <w:color w:val="000000"/>
        </w:rPr>
        <w:tab/>
        <w:t xml:space="preserve">6.5.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Неустранение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pPr>
        <w:jc w:val="both"/>
        <w:rPr>
          <w:color w:val="000000"/>
        </w:rPr>
      </w:pPr>
      <w:r>
        <w:rPr>
          <w:color w:val="000000"/>
        </w:rPr>
        <w:tab/>
        <w:t xml:space="preserve">6.6.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непосредственно в процессе осуществления приёмки услуг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pPr>
        <w:ind w:firstLine="708"/>
        <w:jc w:val="both"/>
        <w:rPr>
          <w:rFonts w:eastAsia="Times New Roman"/>
          <w:color w:val="000000"/>
        </w:rPr>
      </w:pPr>
      <w:r>
        <w:rPr>
          <w:color w:val="000000"/>
        </w:rPr>
        <w:t xml:space="preserve">6.7. 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w:t>
      </w:r>
    </w:p>
    <w:p>
      <w:pPr>
        <w:jc w:val="both"/>
        <w:rPr>
          <w:b/>
        </w:rPr>
      </w:pPr>
    </w:p>
    <w:p>
      <w:pPr>
        <w:jc w:val="center"/>
      </w:pPr>
      <w:r>
        <w:t xml:space="preserve">7. ОТВЕТСТВЕННОСТЬ СТОРОН</w:t>
      </w:r>
    </w:p>
    <w:p>
      <w:pPr>
        <w:jc w:val="both"/>
        <w:rPr>
          <w:b/>
          <w:highlight w:val="yellow"/>
        </w:rPr>
      </w:pPr>
    </w:p>
    <w:p>
      <w:pPr>
        <w:pStyle w:val="afb"/>
        <w:jc w:val="both"/>
        <w:rPr>
          <w:sz w:val="24"/>
          <w:szCs w:val="24"/>
        </w:rPr>
      </w:pPr>
      <w:r>
        <w:rPr>
          <w:sz w:val="24"/>
          <w:szCs w:val="24"/>
        </w:rPr>
        <w:tab/>
        <w:t xml:space="preserve">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pPr>
        <w:pStyle w:val="afb"/>
        <w:ind w:firstLine="709"/>
        <w:jc w:val="both"/>
        <w:rPr>
          <w:sz w:val="24"/>
          <w:szCs w:val="24"/>
        </w:rPr>
      </w:pPr>
      <w:r>
        <w:rPr>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pPr>
        <w:pStyle w:val="afb"/>
        <w:ind w:firstLine="709"/>
        <w:jc w:val="both"/>
        <w:rPr>
          <w:sz w:val="24"/>
          <w:szCs w:val="24"/>
        </w:rPr>
      </w:pPr>
      <w:r>
        <w:rPr>
          <w:sz w:val="24"/>
          <w:szCs w:val="24"/>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неоплаченной в срок суммы. </w:t>
      </w:r>
    </w:p>
    <w:p>
      <w:pPr>
        <w:pStyle w:val="afb"/>
        <w:ind w:firstLine="709"/>
        <w:jc w:val="both"/>
        <w:rPr>
          <w:sz w:val="24"/>
          <w:szCs w:val="24"/>
        </w:rPr>
      </w:pPr>
      <w:r>
        <w:rPr>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afb"/>
        <w:ind w:firstLine="708"/>
        <w:jc w:val="both"/>
        <w:rPr>
          <w:sz w:val="24"/>
          <w:szCs w:val="24"/>
        </w:rPr>
      </w:pPr>
      <w:r>
        <w:rPr>
          <w:sz w:val="24"/>
          <w:szCs w:val="24"/>
        </w:rPr>
        <w:t xml:space="preserve">а) 1000 рублей, если цена контракта не превышает 3 млн. рублей (включительно);</w:t>
      </w:r>
    </w:p>
    <w:p>
      <w:pPr>
        <w:pStyle w:val="afb"/>
        <w:ind w:firstLine="708"/>
        <w:jc w:val="both"/>
        <w:rPr>
          <w:sz w:val="24"/>
          <w:szCs w:val="24"/>
        </w:rPr>
      </w:pPr>
      <w:r>
        <w:rPr>
          <w:sz w:val="24"/>
          <w:szCs w:val="24"/>
        </w:rPr>
        <w:t xml:space="preserve">б) 5000 рублей, если цена контракта составляет от 3 млн. рублей до 50 млн. рублей (включительно).</w:t>
      </w:r>
    </w:p>
    <w:p>
      <w:pPr>
        <w:pStyle w:val="afb"/>
        <w:ind w:firstLine="709"/>
        <w:jc w:val="both"/>
        <w:rPr>
          <w:sz w:val="24"/>
          <w:szCs w:val="24"/>
        </w:rPr>
      </w:pPr>
      <w:r>
        <w:rPr>
          <w:sz w:val="24"/>
          <w:szCs w:val="24"/>
        </w:rPr>
        <w:t xml:space="preserve">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afb"/>
        <w:ind w:firstLine="709"/>
        <w:jc w:val="both"/>
        <w:rPr>
          <w:sz w:val="24"/>
          <w:szCs w:val="24"/>
        </w:rPr>
      </w:pPr>
      <w:r>
        <w:rPr>
          <w:sz w:val="24"/>
          <w:szCs w:val="24"/>
        </w:rPr>
        <w:t xml:space="preserve">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ind w:firstLine="709"/>
        <w:jc w:val="both"/>
        <w:rPr>
          <w:rFonts w:eastAsia="Times New Roman"/>
        </w:rPr>
      </w:pPr>
      <w:r>
        <w:t xml:space="preserve">7.3.1. Пеня начисляется за каждый день просрочки исполнения Исполнителем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w:t>
      </w:r>
      <w:r>
        <w:t xml:space="preserve">исключением случаев, если законодательством Российской Федерации установлен иной порядок начисления пени.</w:t>
      </w:r>
    </w:p>
    <w:p>
      <w:pPr>
        <w:pStyle w:val="afb"/>
        <w:ind w:firstLine="709"/>
        <w:jc w:val="both"/>
        <w:rPr>
          <w:sz w:val="24"/>
          <w:szCs w:val="24"/>
        </w:rPr>
      </w:pPr>
      <w:r>
        <w:rPr>
          <w:sz w:val="24"/>
          <w:szCs w:val="24"/>
        </w:rPr>
        <w:t xml:space="preserve">7.3.2.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Pr>
          <w:sz w:val="24"/>
          <w:szCs w:val="24"/>
        </w:rPr>
        <w:t xml:space="preserve">________</w:t>
      </w:r>
      <w:r>
        <w:rPr>
          <w:sz w:val="24"/>
          <w:szCs w:val="24"/>
        </w:rPr>
        <w:t xml:space="preserve"> руб. </w:t>
      </w:r>
      <w:r>
        <w:rPr>
          <w:sz w:val="24"/>
          <w:szCs w:val="24"/>
        </w:rPr>
        <w:t xml:space="preserve">_______</w:t>
      </w:r>
      <w:r>
        <w:rPr>
          <w:sz w:val="24"/>
          <w:szCs w:val="24"/>
        </w:rPr>
        <w:t xml:space="preserve"> коп. ( </w:t>
      </w:r>
      <w:r>
        <w:rPr>
          <w:sz w:val="24"/>
          <w:szCs w:val="24"/>
        </w:rPr>
        <w:t xml:space="preserve">____________________</w:t>
      </w:r>
      <w:r>
        <w:rPr>
          <w:sz w:val="24"/>
          <w:szCs w:val="24"/>
        </w:rPr>
        <w:t xml:space="preserve"> рубл</w:t>
      </w:r>
      <w:r>
        <w:rPr>
          <w:sz w:val="24"/>
          <w:szCs w:val="24"/>
        </w:rPr>
        <w:t xml:space="preserve">я</w:t>
      </w:r>
      <w:r>
        <w:rPr>
          <w:sz w:val="24"/>
          <w:szCs w:val="24"/>
        </w:rPr>
        <w:t xml:space="preserve">  </w:t>
      </w:r>
      <w:r>
        <w:rPr>
          <w:sz w:val="24"/>
          <w:szCs w:val="24"/>
        </w:rPr>
        <w:t xml:space="preserve">______</w:t>
      </w:r>
      <w:r>
        <w:rPr>
          <w:sz w:val="24"/>
          <w:szCs w:val="24"/>
        </w:rPr>
        <w:t xml:space="preserve"> копеек), определяемой в следующем порядке, если законодательством Российской Федерации установлен иной порядок начисления штрафов:</w:t>
      </w:r>
    </w:p>
    <w:p>
      <w:pPr>
        <w:pStyle w:val="afb"/>
        <w:ind w:firstLine="708"/>
        <w:jc w:val="both"/>
        <w:rPr>
          <w:sz w:val="24"/>
          <w:szCs w:val="24"/>
        </w:rPr>
      </w:pPr>
      <w:r>
        <w:rPr>
          <w:sz w:val="24"/>
          <w:szCs w:val="24"/>
        </w:rPr>
        <w:t xml:space="preserve">а) 10 процентов цены контракта (этапа) в случае, если цена контракта (этапа) не превышает 3 млн. рублей;</w:t>
      </w:r>
    </w:p>
    <w:p>
      <w:pPr>
        <w:pStyle w:val="afb"/>
        <w:ind w:firstLine="708"/>
        <w:jc w:val="both"/>
        <w:rPr>
          <w:sz w:val="24"/>
          <w:szCs w:val="24"/>
        </w:rPr>
      </w:pPr>
      <w:r>
        <w:rPr>
          <w:sz w:val="24"/>
          <w:szCs w:val="24"/>
        </w:rPr>
        <w:t xml:space="preserve">б) 5 процентов цены контракта (этапа) в случае, если цена контракта (этапа) составляет от 3 млн. рублей до 50 млн. рублей (включительно);</w:t>
      </w:r>
    </w:p>
    <w:p>
      <w:pPr>
        <w:pStyle w:val="afb"/>
        <w:ind w:firstLine="708"/>
        <w:jc w:val="both"/>
        <w:rPr>
          <w:sz w:val="24"/>
          <w:szCs w:val="24"/>
        </w:rPr>
      </w:pPr>
      <w:r>
        <w:rPr>
          <w:sz w:val="24"/>
          <w:szCs w:val="24"/>
        </w:rPr>
        <w:t xml:space="preserve">в) 1 процент цены контракта (этапа) в случае, если цена контракта (этапа) составляет от 50 млн. рублей до 100 млн. рублей (включительно).</w:t>
      </w:r>
    </w:p>
    <w:p>
      <w:pPr>
        <w:pStyle w:val="afb"/>
        <w:ind w:firstLine="709"/>
        <w:jc w:val="both"/>
        <w:rPr>
          <w:sz w:val="24"/>
          <w:szCs w:val="24"/>
        </w:rPr>
      </w:pPr>
      <w:r>
        <w:rPr>
          <w:sz w:val="24"/>
          <w:szCs w:val="24"/>
        </w:rPr>
        <w:t xml:space="preserve">8.3.3.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afb"/>
        <w:ind w:firstLine="708"/>
        <w:jc w:val="both"/>
        <w:rPr>
          <w:sz w:val="24"/>
          <w:szCs w:val="24"/>
        </w:rPr>
      </w:pPr>
      <w:r>
        <w:rPr>
          <w:sz w:val="24"/>
          <w:szCs w:val="24"/>
        </w:rPr>
        <w:t xml:space="preserve">а) 1000 рублей, если цена контракта не превышает 3 млн. рублей;</w:t>
      </w:r>
    </w:p>
    <w:p>
      <w:pPr>
        <w:pStyle w:val="afb"/>
        <w:ind w:firstLine="708"/>
        <w:jc w:val="both"/>
        <w:rPr>
          <w:sz w:val="24"/>
          <w:szCs w:val="24"/>
        </w:rPr>
      </w:pPr>
      <w:r>
        <w:rPr>
          <w:sz w:val="24"/>
          <w:szCs w:val="24"/>
        </w:rPr>
        <w:t xml:space="preserve">б) 5000 рублей, если цена контракта составляет от 3 млн. рублей до 50 млн. рублей (включительно).</w:t>
      </w:r>
    </w:p>
    <w:p>
      <w:pPr>
        <w:pStyle w:val="afb"/>
        <w:ind w:firstLine="709"/>
        <w:jc w:val="both"/>
        <w:rPr>
          <w:sz w:val="24"/>
          <w:szCs w:val="24"/>
        </w:rPr>
      </w:pPr>
      <w:r>
        <w:rPr>
          <w:sz w:val="24"/>
          <w:szCs w:val="24"/>
        </w:rPr>
        <w:t xml:space="preserve">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afb"/>
        <w:ind w:firstLine="709"/>
        <w:jc w:val="both"/>
        <w:rPr>
          <w:sz w:val="24"/>
          <w:szCs w:val="24"/>
        </w:rPr>
      </w:pPr>
      <w:r>
        <w:rPr>
          <w:sz w:val="24"/>
          <w:szCs w:val="24"/>
        </w:rPr>
        <w:t xml:space="preserve">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pPr>
        <w:pStyle w:val="afb"/>
        <w:ind w:firstLine="709"/>
        <w:jc w:val="both"/>
        <w:rPr>
          <w:sz w:val="24"/>
          <w:szCs w:val="24"/>
        </w:rPr>
      </w:pPr>
      <w:r>
        <w:rPr>
          <w:sz w:val="24"/>
          <w:szCs w:val="24"/>
        </w:rPr>
        <w:t xml:space="preserve">7.6.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pPr>
        <w:pStyle w:val="afb"/>
        <w:ind w:firstLine="709"/>
        <w:jc w:val="both"/>
        <w:rPr>
          <w:sz w:val="24"/>
          <w:szCs w:val="24"/>
        </w:rPr>
      </w:pPr>
      <w:r>
        <w:rPr>
          <w:sz w:val="24"/>
          <w:szCs w:val="24"/>
        </w:rPr>
        <w:t xml:space="preserve">7.7. Уплата неустойки не освобождает Стороны от исполнения их контрактных обязательств. Неустойка взымается за каждое нарушение в отдельности.</w:t>
      </w:r>
    </w:p>
    <w:p>
      <w:pPr>
        <w:pStyle w:val="afb"/>
        <w:ind w:firstLine="708"/>
        <w:jc w:val="both"/>
        <w:rPr>
          <w:sz w:val="24"/>
          <w:szCs w:val="24"/>
        </w:rPr>
      </w:pPr>
      <w:r>
        <w:rPr>
          <w:sz w:val="24"/>
          <w:szCs w:val="24"/>
        </w:rPr>
        <w:t xml:space="preserve">7.8.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pPr>
        <w:pStyle w:val="afb"/>
        <w:ind w:firstLine="709"/>
        <w:jc w:val="both"/>
        <w:rPr>
          <w:sz w:val="24"/>
          <w:szCs w:val="24"/>
        </w:rPr>
      </w:pPr>
      <w:r>
        <w:rPr>
          <w:sz w:val="24"/>
          <w:szCs w:val="24"/>
        </w:rPr>
        <w:t xml:space="preserve">7.9.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pPr>
        <w:pStyle w:val="afb"/>
        <w:jc w:val="both"/>
        <w:rPr>
          <w:sz w:val="24"/>
          <w:szCs w:val="24"/>
        </w:rPr>
      </w:pPr>
    </w:p>
    <w:p>
      <w:pPr>
        <w:jc w:val="center"/>
      </w:pPr>
      <w:r>
        <w:t xml:space="preserve">8. ДЕЙСТВИЕ ОБСТОЯТЕЛЬСТВ НЕПРЕОДОЛИМОЙ СИЛЫ</w:t>
      </w:r>
    </w:p>
    <w:p>
      <w:pPr>
        <w:jc w:val="both"/>
        <w:rPr>
          <w:b/>
          <w:color w:val="000000"/>
        </w:rPr>
      </w:pPr>
    </w:p>
    <w:p>
      <w:pPr>
        <w:jc w:val="both"/>
        <w:rPr>
          <w:color w:val="000000"/>
        </w:rPr>
      </w:pPr>
      <w:r>
        <w:rPr>
          <w:color w:val="000000"/>
        </w:rPr>
        <w:tab/>
        <w:t xml:space="preserve">8.1.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pPr>
        <w:jc w:val="both"/>
        <w:rPr>
          <w:color w:val="000000"/>
        </w:rPr>
      </w:pPr>
      <w:r>
        <w:rPr>
          <w:color w:val="000000"/>
        </w:rPr>
        <w:tab/>
        <w:t xml:space="preserve">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pPr>
        <w:jc w:val="both"/>
        <w:rPr>
          <w:color w:val="000000"/>
        </w:rPr>
      </w:pPr>
      <w:r>
        <w:rPr>
          <w:color w:val="000000"/>
        </w:rPr>
        <w:tab/>
        <w:t xml:space="preserve">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pPr>
        <w:jc w:val="both"/>
        <w:rPr>
          <w:rFonts w:eastAsia="MS Mincho"/>
          <w:b/>
          <w:bCs/>
        </w:rPr>
      </w:pPr>
    </w:p>
    <w:p>
      <w:pPr>
        <w:jc w:val="center"/>
        <w:rPr>
          <w:rFonts w:eastAsia="MS Mincho"/>
          <w:bCs/>
        </w:rPr>
      </w:pPr>
      <w:r>
        <w:rPr>
          <w:rFonts w:eastAsia="MS Mincho"/>
          <w:bCs/>
        </w:rPr>
        <w:t xml:space="preserve">9. ПОРЯДОК УРЕГУЛИРОВАНИЯ СПОРОВ</w:t>
      </w:r>
    </w:p>
    <w:p>
      <w:pPr>
        <w:jc w:val="both"/>
        <w:rPr>
          <w:rFonts w:eastAsia="MS Mincho"/>
          <w:b/>
          <w:bCs/>
        </w:rPr>
      </w:pPr>
    </w:p>
    <w:p>
      <w:pPr>
        <w:pStyle w:val="afb"/>
        <w:jc w:val="both"/>
        <w:rPr>
          <w:sz w:val="24"/>
          <w:szCs w:val="24"/>
        </w:rPr>
      </w:pPr>
      <w:r>
        <w:rPr>
          <w:sz w:val="24"/>
          <w:szCs w:val="24"/>
        </w:rPr>
        <w:tab/>
        <w:t xml:space="preserve">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pPr>
        <w:pStyle w:val="afb"/>
        <w:shd w:val="clear" w:color="auto" w:fill="ffffff"/>
        <w:jc w:val="both"/>
        <w:rPr>
          <w:sz w:val="24"/>
          <w:szCs w:val="24"/>
        </w:rPr>
      </w:pPr>
      <w:r>
        <w:rPr>
          <w:iCs/>
          <w:sz w:val="24"/>
          <w:szCs w:val="24"/>
        </w:rPr>
        <w:tab/>
        <w:t xml:space="preserve">9.2.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pPr>
        <w:jc w:val="both"/>
        <w:rPr>
          <w:color w:val="000000"/>
        </w:rPr>
      </w:pPr>
      <w:r>
        <w:rPr>
          <w:color w:val="000000"/>
        </w:rPr>
        <w:tab/>
        <w:t xml:space="preserve">Претензионный порядок досудебного урегулирования споров, вытекающих из контракта, является для Сторон обязательным.</w:t>
      </w:r>
    </w:p>
    <w:p>
      <w:pPr>
        <w:pStyle w:val="afb"/>
        <w:shd w:val="clear" w:color="auto" w:fill="ffffff"/>
        <w:jc w:val="both"/>
        <w:rPr>
          <w:sz w:val="24"/>
          <w:szCs w:val="24"/>
        </w:rPr>
      </w:pPr>
      <w:r>
        <w:rPr>
          <w:iCs/>
          <w:sz w:val="24"/>
          <w:szCs w:val="24"/>
        </w:rPr>
        <w:tab/>
        <w:t xml:space="preserve">9.3. Срок рассмотрения писем, уведомлений или претензий не может превышать 10 (десяти) рабочих дней со дня их получения.</w:t>
      </w:r>
    </w:p>
    <w:p>
      <w:pPr>
        <w:pStyle w:val="afb"/>
        <w:jc w:val="both"/>
        <w:rPr>
          <w:sz w:val="24"/>
          <w:szCs w:val="24"/>
        </w:rPr>
      </w:pPr>
      <w:r>
        <w:rPr>
          <w:sz w:val="24"/>
          <w:szCs w:val="24"/>
        </w:rPr>
        <w:tab/>
        <w:t xml:space="preserve">9.4.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pPr>
        <w:jc w:val="both"/>
        <w:rPr>
          <w:b/>
        </w:rPr>
      </w:pPr>
    </w:p>
    <w:p>
      <w:pPr>
        <w:pStyle w:val="afb"/>
        <w:jc w:val="center"/>
        <w:rPr>
          <w:sz w:val="24"/>
          <w:szCs w:val="24"/>
        </w:rPr>
      </w:pPr>
      <w:r>
        <w:rPr>
          <w:bCs/>
          <w:sz w:val="24"/>
          <w:szCs w:val="24"/>
        </w:rPr>
        <w:t xml:space="preserve">10. УВЕДОМЛЕНИЯ И ИЗВЕЩЕНИЯ</w:t>
      </w:r>
    </w:p>
    <w:p>
      <w:pPr>
        <w:pStyle w:val="afb"/>
        <w:jc w:val="both"/>
        <w:rPr>
          <w:sz w:val="24"/>
          <w:szCs w:val="24"/>
        </w:rPr>
      </w:pPr>
    </w:p>
    <w:p>
      <w:pPr>
        <w:pStyle w:val="afb"/>
        <w:jc w:val="both"/>
        <w:rPr>
          <w:sz w:val="24"/>
          <w:szCs w:val="24"/>
        </w:rPr>
      </w:pPr>
      <w:r>
        <w:rPr>
          <w:sz w:val="24"/>
          <w:szCs w:val="24"/>
        </w:rPr>
        <w:tab/>
        <w:t xml:space="preserve">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pPr>
        <w:pStyle w:val="afb"/>
        <w:jc w:val="both"/>
        <w:rPr>
          <w:sz w:val="24"/>
          <w:szCs w:val="24"/>
        </w:rPr>
      </w:pPr>
      <w:r>
        <w:rPr>
          <w:sz w:val="24"/>
          <w:szCs w:val="24"/>
        </w:rPr>
        <w:tab/>
        <w:t xml:space="preserve">10.2. Уведомления и извещения направляются за счет уведомляющей Стороны.</w:t>
      </w:r>
    </w:p>
    <w:p>
      <w:pPr>
        <w:pStyle w:val="afb"/>
        <w:jc w:val="both"/>
        <w:rPr>
          <w:sz w:val="24"/>
          <w:szCs w:val="24"/>
        </w:rPr>
      </w:pPr>
      <w:r>
        <w:rPr>
          <w:sz w:val="24"/>
          <w:szCs w:val="24"/>
        </w:rPr>
        <w:tab/>
        <w:t xml:space="preserve">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pPr>
        <w:pStyle w:val="afb"/>
        <w:jc w:val="both"/>
        <w:rPr>
          <w:sz w:val="24"/>
          <w:szCs w:val="24"/>
        </w:rPr>
      </w:pPr>
      <w:r>
        <w:rPr>
          <w:sz w:val="24"/>
          <w:szCs w:val="24"/>
        </w:rPr>
        <w:tab/>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pPr>
        <w:jc w:val="both"/>
        <w:rPr>
          <w:b/>
        </w:rPr>
      </w:pPr>
    </w:p>
    <w:p>
      <w:pPr>
        <w:pStyle w:val="afb"/>
        <w:jc w:val="center"/>
        <w:rPr>
          <w:sz w:val="24"/>
          <w:szCs w:val="24"/>
        </w:rPr>
      </w:pPr>
      <w:r>
        <w:rPr>
          <w:bCs/>
          <w:sz w:val="24"/>
          <w:szCs w:val="24"/>
        </w:rPr>
        <w:t xml:space="preserve">11. ДЕЙСТВИЕ КОНТРАКТА</w:t>
      </w:r>
    </w:p>
    <w:p>
      <w:pPr>
        <w:pStyle w:val="afb"/>
        <w:jc w:val="both"/>
        <w:rPr>
          <w:sz w:val="24"/>
          <w:szCs w:val="24"/>
        </w:rPr>
      </w:pPr>
    </w:p>
    <w:p>
      <w:pPr>
        <w:pStyle w:val="afb"/>
        <w:jc w:val="both"/>
        <w:rPr>
          <w:sz w:val="24"/>
          <w:szCs w:val="24"/>
        </w:rPr>
      </w:pPr>
      <w:r>
        <w:rPr>
          <w:sz w:val="24"/>
          <w:szCs w:val="24"/>
        </w:rPr>
        <w:tab/>
        <w:t xml:space="preserve">11.1. Контракт вступает в силу с даты его подписания и действует до  31 декабря 2026 года,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pPr>
        <w:pStyle w:val="afb"/>
        <w:jc w:val="both"/>
        <w:rPr>
          <w:sz w:val="24"/>
          <w:szCs w:val="24"/>
        </w:rPr>
      </w:pPr>
      <w:r>
        <w:rPr>
          <w:sz w:val="24"/>
          <w:szCs w:val="24"/>
        </w:rPr>
        <w:tab/>
      </w:r>
    </w:p>
    <w:p>
      <w:pPr>
        <w:pStyle w:val="afb"/>
        <w:jc w:val="center"/>
        <w:rPr>
          <w:sz w:val="24"/>
          <w:szCs w:val="24"/>
        </w:rPr>
      </w:pPr>
      <w:r>
        <w:rPr>
          <w:bCs/>
          <w:sz w:val="24"/>
          <w:szCs w:val="24"/>
        </w:rPr>
        <w:t xml:space="preserve">12. ПОРЯДОК ИЗМЕНЕНИЯ И РАСТОРЖЕНИЯ КОНТРАКТА</w:t>
      </w:r>
    </w:p>
    <w:p>
      <w:pPr>
        <w:pStyle w:val="afb"/>
        <w:jc w:val="center"/>
        <w:rPr>
          <w:sz w:val="24"/>
          <w:szCs w:val="24"/>
        </w:rPr>
      </w:pPr>
    </w:p>
    <w:p>
      <w:pPr>
        <w:pStyle w:val="consplusnormal1"/>
        <w:jc w:val="both"/>
        <w:rPr>
          <w:rFonts w:ascii="Times New Roman" w:hAnsi="Times New Roman" w:cs="Times New Roman"/>
          <w:sz w:val="24"/>
          <w:szCs w:val="24"/>
        </w:rPr>
      </w:pPr>
      <w:r>
        <w:rPr>
          <w:rFonts w:ascii="Times New Roman" w:hAnsi="Times New Roman" w:cs="Times New Roman"/>
          <w:sz w:val="24"/>
          <w:szCs w:val="24"/>
        </w:rPr>
        <w:tab/>
        <w:t xml:space="preserve">12.1. При заключении и исполнении контракта изменение его условий в одностороннем порядке не допускается.</w:t>
      </w:r>
    </w:p>
    <w:p>
      <w:pPr>
        <w:jc w:val="both"/>
        <w:rPr>
          <w:color w:val="000000"/>
        </w:rPr>
      </w:pPr>
      <w:r>
        <w:rPr>
          <w:color w:val="000000"/>
        </w:rPr>
        <w:tab/>
        <w:t xml:space="preserve">Контракт может быть изменен по соглашению Сторон по основаниям, предусмотренным Федеральным законом № 44-ФЗ.</w:t>
      </w:r>
    </w:p>
    <w:p>
      <w:pPr>
        <w:pStyle w:val="consplusnormal1"/>
        <w:jc w:val="both"/>
        <w:rPr>
          <w:rFonts w:ascii="Times New Roman" w:hAnsi="Times New Roman" w:cs="Times New Roman"/>
          <w:sz w:val="24"/>
          <w:szCs w:val="24"/>
        </w:rPr>
      </w:pPr>
      <w:r>
        <w:rPr>
          <w:rFonts w:ascii="Times New Roman" w:hAnsi="Times New Roman" w:cs="Times New Roman"/>
          <w:sz w:val="24"/>
          <w:szCs w:val="24"/>
        </w:rPr>
        <w:tab/>
        <w:t xml:space="preserve">12.2.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 xml:space="preserve">12.3.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pPr>
        <w:pStyle w:val="consplusnormal1"/>
        <w:jc w:val="both"/>
        <w:rPr>
          <w:rFonts w:ascii="Times New Roman" w:hAnsi="Times New Roman" w:cs="Times New Roman"/>
          <w:sz w:val="24"/>
          <w:szCs w:val="24"/>
        </w:rPr>
      </w:pPr>
      <w:r>
        <w:rPr>
          <w:rFonts w:ascii="Times New Roman" w:hAnsi="Times New Roman" w:cs="Times New Roman"/>
          <w:sz w:val="24"/>
          <w:szCs w:val="24"/>
        </w:rPr>
        <w:tab/>
        <w:t xml:space="preserve">12.4.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pPr>
        <w:pStyle w:val="consplusnormal1"/>
        <w:jc w:val="both"/>
        <w:rPr>
          <w:rFonts w:ascii="Times New Roman" w:hAnsi="Times New Roman" w:cs="Times New Roman"/>
          <w:sz w:val="24"/>
          <w:szCs w:val="24"/>
        </w:rPr>
      </w:pPr>
      <w:r>
        <w:rPr>
          <w:rFonts w:ascii="Times New Roman" w:hAnsi="Times New Roman" w:cs="Times New Roman"/>
          <w:sz w:val="24"/>
          <w:szCs w:val="24"/>
        </w:rPr>
        <w:tab/>
        <w:t xml:space="preserve">12.5. Расторжение контракта допускается по соглашению Сторон, по решению суда, в случае одностороннего отказа Стороны</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контракта от исполнения контракта в соответствии с гражданским законодательством Российской Федерации.</w:t>
      </w:r>
    </w:p>
    <w:p>
      <w:pPr>
        <w:jc w:val="both"/>
        <w:rPr>
          <w:b/>
        </w:rPr>
      </w:pPr>
    </w:p>
    <w:p>
      <w:pPr>
        <w:jc w:val="center"/>
      </w:pPr>
      <w:r>
        <w:t xml:space="preserve">13. ПРОЧИЕ УСЛОВИЯ</w:t>
      </w:r>
    </w:p>
    <w:p>
      <w:pPr>
        <w:jc w:val="both"/>
        <w:rPr>
          <w:color w:val="ff0000"/>
        </w:rPr>
      </w:pPr>
    </w:p>
    <w:p>
      <w:pPr>
        <w:pStyle w:val="consplusnormal1"/>
        <w:jc w:val="both"/>
        <w:rPr>
          <w:rFonts w:ascii="Times New Roman" w:hAnsi="Times New Roman" w:cs="Times New Roman"/>
          <w:sz w:val="24"/>
          <w:szCs w:val="24"/>
        </w:rPr>
      </w:pPr>
      <w:r>
        <w:rPr>
          <w:rFonts w:ascii="Times New Roman" w:hAnsi="Times New Roman" w:cs="Times New Roman"/>
          <w:sz w:val="24"/>
          <w:szCs w:val="24"/>
        </w:rPr>
        <w:tab/>
        <w:t xml:space="preserve">13.1.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pPr>
        <w:jc w:val="both"/>
        <w:rPr>
          <w:rFonts w:eastAsia="Times New Roman"/>
          <w:color w:val="000000"/>
        </w:rPr>
      </w:pPr>
      <w:r>
        <w:rPr>
          <w:rFonts w:eastAsia="Times New Roman"/>
          <w:color w:val="000000"/>
        </w:rPr>
        <w:tab/>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pPr>
        <w:pStyle w:val="afb"/>
        <w:jc w:val="both"/>
        <w:rPr>
          <w:sz w:val="24"/>
          <w:szCs w:val="24"/>
        </w:rPr>
      </w:pPr>
      <w:r>
        <w:rPr>
          <w:sz w:val="24"/>
          <w:szCs w:val="24"/>
        </w:rPr>
        <w:tab/>
      </w:r>
      <w:r>
        <w:rPr>
          <w:color w:val="262626"/>
          <w:sz w:val="24"/>
          <w:szCs w:val="24"/>
        </w:rPr>
        <w:t xml:space="preserve">13.2.</w:t>
      </w:r>
      <w:r>
        <w:rPr>
          <w:sz w:val="24"/>
          <w:szCs w:val="24"/>
        </w:rPr>
        <w:t xml:space="preserve"> Настоящий контракт составлен в двух экземплярах, имеющих одинаковую юридическую силу, по одному экземпляру для каждой из Сторон.</w:t>
      </w:r>
    </w:p>
    <w:p>
      <w:pPr>
        <w:pStyle w:val="afb"/>
        <w:jc w:val="both"/>
        <w:rPr>
          <w:sz w:val="24"/>
          <w:szCs w:val="24"/>
        </w:rPr>
      </w:pPr>
      <w:r>
        <w:tab/>
      </w:r>
      <w:r>
        <w:rPr>
          <w:sz w:val="24"/>
          <w:szCs w:val="24"/>
        </w:rPr>
        <w:t xml:space="preserve">13.3. Исполнитель не вправе без предварительного письменного согласия Заказчика передавать свои права по контракту третьим лицам.</w:t>
      </w:r>
    </w:p>
    <w:p>
      <w:pPr>
        <w:pStyle w:val="afb"/>
        <w:jc w:val="both"/>
        <w:rPr>
          <w:sz w:val="24"/>
          <w:szCs w:val="24"/>
        </w:rPr>
      </w:pPr>
      <w:r>
        <w:rPr>
          <w:sz w:val="24"/>
          <w:szCs w:val="24"/>
        </w:rPr>
        <w:tab/>
        <w:t xml:space="preserve">13.4. Исполнитель должен быть членом СРО и  состоять в реестре специалистов НОПРИЗ.</w:t>
      </w:r>
    </w:p>
    <w:p>
      <w:pPr>
        <w:jc w:val="both"/>
      </w:pPr>
      <w:r>
        <w:rPr>
          <w:color w:val="000000"/>
        </w:rPr>
        <w:tab/>
        <w:t xml:space="preserve">13.4. Приложения, указанные в настоящем</w:t>
      </w:r>
      <w:r>
        <w:rPr>
          <w:rFonts w:eastAsia="MS Mincho"/>
          <w:color w:val="000000"/>
        </w:rPr>
        <w:t xml:space="preserve"> контракте</w:t>
      </w:r>
      <w:r>
        <w:rPr>
          <w:color w:val="000000"/>
        </w:rPr>
        <w:t xml:space="preserve">, являются его </w:t>
      </w:r>
      <w:r>
        <w:t xml:space="preserve">неотъемлемой частью:</w:t>
      </w:r>
    </w:p>
    <w:p>
      <w:pPr>
        <w:ind w:firstLine="708"/>
        <w:jc w:val="both"/>
        <w:rPr>
          <w:rFonts w:eastAsia="Times New Roman"/>
        </w:rPr>
      </w:pPr>
      <w:r>
        <w:rPr>
          <w:rFonts w:eastAsia="Times New Roman"/>
        </w:rPr>
        <w:t xml:space="preserve">- Приложение № 1 «Описание объекта закупки»;</w:t>
      </w:r>
    </w:p>
    <w:p>
      <w:pPr>
        <w:ind w:firstLine="708"/>
        <w:jc w:val="both"/>
        <w:rPr>
          <w:rFonts w:eastAsia="Times New Roman"/>
        </w:rPr>
      </w:pPr>
      <w:r>
        <w:rPr>
          <w:rFonts w:eastAsia="Times New Roman"/>
        </w:rPr>
        <w:t xml:space="preserve">- Приложение № 2 «Спецификация».</w:t>
      </w:r>
    </w:p>
    <w:p>
      <w:pPr>
        <w:pStyle w:val="21221212112131"/>
        <w:jc w:val="center"/>
        <w:rPr>
          <w:rFonts w:ascii="Times New Roman" w:hAnsi="Times New Roman" w:eastAsia="MS Mincho"/>
          <w:bCs/>
        </w:rPr>
      </w:pPr>
    </w:p>
    <w:p>
      <w:pPr>
        <w:pStyle w:val="21221212112131"/>
        <w:jc w:val="center"/>
        <w:rPr>
          <w:rFonts w:ascii="Times New Roman" w:hAnsi="Times New Roman" w:eastAsia="MS Mincho"/>
          <w:bCs/>
          <w:color w:val="000000"/>
          <w:szCs w:val="24"/>
        </w:rPr>
      </w:pPr>
      <w:r>
        <w:rPr>
          <w:rFonts w:ascii="Times New Roman" w:hAnsi="Times New Roman" w:eastAsia="MS Mincho"/>
          <w:bCs/>
        </w:rPr>
        <w:t xml:space="preserve">14.</w:t>
      </w:r>
      <w:r>
        <w:rPr>
          <w:rFonts w:eastAsia="MS Mincho"/>
          <w:bCs/>
        </w:rPr>
        <w:t xml:space="preserve"> </w:t>
      </w:r>
      <w:r>
        <w:rPr>
          <w:rFonts w:ascii="Times New Roman" w:hAnsi="Times New Roman" w:eastAsia="Times New Roman"/>
          <w:bCs/>
          <w:szCs w:val="24"/>
          <w:lang w:eastAsia="ru-RU"/>
        </w:rPr>
        <w:t xml:space="preserve">ЮРИДИЧЕСКИЕ АДРЕСА И БАНКОВСКИЕ РЕКВИЗИТЫ СТОРОН</w:t>
      </w:r>
    </w:p>
    <w:p>
      <w:pPr>
        <w:pStyle w:val="21221212112131"/>
        <w:jc w:val="both"/>
        <w:rPr>
          <w:rFonts w:ascii="Times New Roman" w:hAnsi="Times New Roman" w:eastAsia="MS Mincho"/>
          <w:b/>
          <w:bCs/>
          <w:color w:val="000000"/>
          <w:szCs w:val="24"/>
        </w:rPr>
      </w:pPr>
    </w:p>
    <w:tbl>
      <w:tblPr>
        <w:tblW w:w="19324" w:type="dxa"/>
        <w:tblLayout w:type="fixed"/>
        <w:tblLook w:val="00A0" w:firstRow="1" w:lastRow="0" w:firstColumn="1" w:lastColumn="0" w:noHBand="0" w:noVBand="0"/>
      </w:tblPr>
      <w:tblGrid>
        <w:gridCol w:w="4928"/>
        <w:gridCol w:w="4928"/>
        <w:gridCol w:w="4928"/>
        <w:gridCol w:w="4540"/>
      </w:tblGrid>
      <w:tr>
        <w:tc>
          <w:tcPr>
            <w:tcW w:w="4928"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ЗАКАЗЧИК</w:t>
            </w:r>
          </w:p>
          <w:p>
            <w:pPr>
              <w:pStyle w:val="LBBodyText2"/>
              <w:spacing w:before="0" w:after="0"/>
              <w:ind w:left="31"/>
              <w:jc w:val="left"/>
              <w:rPr>
                <w:szCs w:val="22"/>
              </w:rPr>
            </w:pPr>
            <w:r>
              <w:rPr>
                <w:szCs w:val="22"/>
              </w:rPr>
              <w:t xml:space="preserve">администрация Тосненского муниципального района Ленинградской области</w:t>
            </w:r>
          </w:p>
          <w:p>
            <w:pPr>
              <w:pStyle w:val="LBBodyText2"/>
              <w:spacing w:before="0" w:after="0"/>
              <w:ind w:left="31"/>
              <w:jc w:val="left"/>
              <w:rPr>
                <w:szCs w:val="22"/>
              </w:rPr>
            </w:pPr>
            <w:r>
              <w:rPr>
                <w:szCs w:val="22"/>
              </w:rPr>
              <w:t xml:space="preserve">Место нахождения: 187000, Ленинградская область, г.Тосно,  пр.Ленина, д.32</w:t>
            </w:r>
          </w:p>
          <w:p>
            <w:pPr>
              <w:pStyle w:val="LBBodyText2"/>
              <w:spacing w:before="0" w:after="0"/>
              <w:ind w:left="31"/>
              <w:jc w:val="left"/>
              <w:rPr>
                <w:szCs w:val="22"/>
              </w:rPr>
            </w:pPr>
            <w:r>
              <w:rPr>
                <w:szCs w:val="22"/>
              </w:rPr>
              <w:t xml:space="preserve">Банковские реквизиты:</w:t>
            </w:r>
          </w:p>
          <w:p>
            <w:pPr>
              <w:spacing w:line="276" w:lineRule="auto"/>
              <w:rPr>
                <w:bCs/>
                <w:szCs w:val="22"/>
              </w:rPr>
            </w:pPr>
            <w:r>
              <w:rPr>
                <w:bCs/>
                <w:szCs w:val="22"/>
              </w:rPr>
              <w:t xml:space="preserve">ИНН 4716024480 КПП 471601001</w:t>
            </w:r>
          </w:p>
          <w:p>
            <w:pPr>
              <w:spacing w:line="276" w:lineRule="auto"/>
              <w:rPr>
                <w:bCs/>
                <w:szCs w:val="22"/>
              </w:rPr>
            </w:pPr>
            <w:r>
              <w:rPr>
                <w:bCs/>
                <w:szCs w:val="22"/>
              </w:rPr>
              <w:t xml:space="preserve">Плательщик: </w:t>
            </w:r>
          </w:p>
          <w:p>
            <w:pPr>
              <w:spacing w:line="276" w:lineRule="auto"/>
              <w:rPr>
                <w:bCs/>
                <w:szCs w:val="22"/>
              </w:rPr>
            </w:pPr>
            <w:r>
              <w:rPr>
                <w:bCs/>
                <w:szCs w:val="22"/>
              </w:rPr>
              <w:t xml:space="preserve">КФ администрации ТМРЛО (администрация муниципального образования Тосненский район Ленинградской области, </w:t>
            </w:r>
          </w:p>
          <w:p>
            <w:pPr>
              <w:spacing w:line="276" w:lineRule="auto"/>
              <w:rPr>
                <w:bCs/>
                <w:szCs w:val="22"/>
              </w:rPr>
            </w:pPr>
            <w:r>
              <w:rPr>
                <w:bCs/>
                <w:szCs w:val="22"/>
              </w:rPr>
              <w:t xml:space="preserve">л/с 0218001138)</w:t>
            </w:r>
          </w:p>
          <w:p>
            <w:pPr>
              <w:spacing w:line="276" w:lineRule="auto"/>
              <w:rPr>
                <w:bCs/>
                <w:szCs w:val="22"/>
              </w:rPr>
            </w:pPr>
            <w:r>
              <w:rPr>
                <w:bCs/>
                <w:szCs w:val="22"/>
              </w:rPr>
              <w:t xml:space="preserve">Банк плательщика:</w:t>
            </w:r>
          </w:p>
          <w:p>
            <w:pPr>
              <w:spacing w:line="276" w:lineRule="auto"/>
              <w:rPr>
                <w:bCs/>
                <w:szCs w:val="22"/>
              </w:rPr>
            </w:pPr>
            <w:r>
              <w:rPr>
                <w:bCs/>
                <w:szCs w:val="22"/>
              </w:rPr>
              <w:t xml:space="preserve">ОКЦ №1 СЗГУ Банка России//УФК по Ленинградской области г Санкт-Петербург </w:t>
            </w:r>
          </w:p>
          <w:p>
            <w:pPr>
              <w:spacing w:line="276" w:lineRule="auto"/>
              <w:rPr>
                <w:bCs/>
                <w:szCs w:val="22"/>
              </w:rPr>
            </w:pPr>
            <w:r>
              <w:rPr>
                <w:bCs/>
                <w:szCs w:val="22"/>
              </w:rPr>
              <w:t xml:space="preserve">Казначейский счет 03231643416481014500</w:t>
            </w:r>
          </w:p>
          <w:p>
            <w:pPr>
              <w:spacing w:line="276" w:lineRule="auto"/>
              <w:rPr>
                <w:bCs/>
                <w:szCs w:val="22"/>
              </w:rPr>
            </w:pPr>
            <w:r>
              <w:rPr>
                <w:bCs/>
                <w:szCs w:val="22"/>
              </w:rPr>
              <w:t xml:space="preserve">Единый казначейский счет 40102810745370000098</w:t>
            </w:r>
          </w:p>
          <w:p>
            <w:pPr>
              <w:spacing w:line="276" w:lineRule="auto"/>
              <w:rPr>
                <w:bCs/>
                <w:szCs w:val="22"/>
              </w:rPr>
            </w:pPr>
            <w:r>
              <w:rPr>
                <w:bCs/>
                <w:szCs w:val="22"/>
              </w:rPr>
              <w:t xml:space="preserve">БИК 044030098</w:t>
            </w:r>
          </w:p>
          <w:p>
            <w:pPr>
              <w:spacing w:line="276" w:lineRule="auto"/>
              <w:rPr>
                <w:bCs/>
                <w:szCs w:val="22"/>
              </w:rPr>
            </w:pPr>
            <w:r>
              <w:rPr>
                <w:bCs/>
                <w:szCs w:val="22"/>
              </w:rPr>
              <w:t xml:space="preserve">ОКТМО 41648101</w:t>
            </w:r>
          </w:p>
          <w:p>
            <w:pPr>
              <w:spacing w:line="276" w:lineRule="auto"/>
              <w:rPr>
                <w:bCs/>
                <w:szCs w:val="22"/>
              </w:rPr>
            </w:pPr>
            <w:r>
              <w:rPr>
                <w:bCs/>
                <w:szCs w:val="22"/>
              </w:rPr>
              <w:t xml:space="preserve">ОГРН 1054700604518</w:t>
            </w:r>
          </w:p>
          <w:p>
            <w:pPr>
              <w:spacing w:line="276" w:lineRule="auto"/>
              <w:rPr>
                <w:bCs/>
                <w:szCs w:val="22"/>
              </w:rPr>
            </w:pPr>
            <w:r>
              <w:rPr>
                <w:bCs/>
                <w:szCs w:val="22"/>
              </w:rPr>
              <w:t xml:space="preserve">ОКВЭД 84.11.3</w:t>
            </w:r>
          </w:p>
          <w:p>
            <w:pPr>
              <w:rPr>
                <w:bCs/>
                <w:szCs w:val="22"/>
              </w:rPr>
            </w:pPr>
            <w:r>
              <w:rPr>
                <w:bCs/>
                <w:szCs w:val="22"/>
              </w:rPr>
              <w:t xml:space="preserve">ОКПО 43489566</w:t>
            </w:r>
          </w:p>
          <w:p>
            <w:pPr>
              <w:jc w:val="both"/>
              <w:rPr>
                <w:rFonts w:eastAsia="Times New Roman"/>
                <w:sz w:val="28"/>
                <w:szCs w:val="20"/>
              </w:rPr>
            </w:pPr>
          </w:p>
          <w:p>
            <w:pPr>
              <w:pStyle w:val="21221212112131"/>
              <w:jc w:val="both"/>
              <w:rPr>
                <w:rFonts w:ascii="Times New Roman" w:hAnsi="Times New Roman" w:eastAsia="MS Mincho"/>
                <w:color w:val="000000"/>
                <w:szCs w:val="24"/>
              </w:rPr>
            </w:pPr>
          </w:p>
        </w:tc>
        <w:tc>
          <w:tcPr>
            <w:tcW w:w="4928"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ИСПОЛНИТЕЛЬ</w:t>
            </w:r>
          </w:p>
          <w:p>
            <w:pPr>
              <w:spacing w:line="360" w:lineRule="auto"/>
              <w:ind w:right="-28"/>
              <w:contextualSpacing/>
              <w:jc w:val="both"/>
              <w:rPr>
                <w:bCs/>
              </w:rPr>
            </w:pPr>
          </w:p>
          <w:p>
            <w:pPr>
              <w:pStyle w:val="21221212112131"/>
              <w:jc w:val="both"/>
              <w:rPr>
                <w:rFonts w:ascii="Times New Roman" w:hAnsi="Times New Roman" w:eastAsia="MS Mincho"/>
                <w:color w:val="000000"/>
                <w:szCs w:val="24"/>
              </w:rPr>
            </w:pPr>
          </w:p>
        </w:tc>
        <w:tc>
          <w:tcPr>
            <w:tcW w:w="4928"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p>
        </w:tc>
        <w:tc>
          <w:tcPr>
            <w:tcW w:w="4540"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p>
        </w:tc>
      </w:tr>
      <w:tr>
        <w:trPr>
          <w:trHeight w:val="359"/>
        </w:trPr>
        <w:tc>
          <w:tcPr>
            <w:tcW w:w="4928"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Начальник отдела жилищной</w:t>
            </w:r>
          </w:p>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Политики комитета по жилищно-</w:t>
            </w:r>
          </w:p>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коммунальному хозяйству и </w:t>
            </w:r>
          </w:p>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благоустройству</w:t>
            </w:r>
          </w:p>
          <w:p>
            <w:pPr>
              <w:pStyle w:val="21221212112131"/>
              <w:jc w:val="both"/>
              <w:rPr>
                <w:rFonts w:ascii="Times New Roman" w:hAnsi="Times New Roman" w:eastAsia="MS Mincho"/>
                <w:bCs/>
                <w:color w:val="000000"/>
                <w:szCs w:val="24"/>
              </w:rPr>
            </w:pPr>
          </w:p>
          <w:p>
            <w:pPr>
              <w:pStyle w:val="21221212112131"/>
              <w:jc w:val="both"/>
              <w:rPr>
                <w:rFonts w:ascii="Times New Roman" w:hAnsi="Times New Roman" w:eastAsia="MS Mincho"/>
                <w:bCs/>
                <w:color w:val="000000"/>
                <w:szCs w:val="24"/>
              </w:rPr>
            </w:pPr>
          </w:p>
          <w:p>
            <w:pPr>
              <w:pStyle w:val="21221212112131"/>
              <w:jc w:val="both"/>
              <w:rPr>
                <w:rFonts w:ascii="Times New Roman" w:hAnsi="Times New Roman" w:eastAsia="MS Mincho"/>
                <w:color w:val="000000"/>
                <w:szCs w:val="24"/>
              </w:rPr>
            </w:pPr>
          </w:p>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_____________________</w:t>
            </w:r>
            <w:r>
              <w:rPr>
                <w:rFonts w:ascii="Times New Roman" w:hAnsi="Times New Roman" w:eastAsia="MS Mincho"/>
                <w:color w:val="000000"/>
                <w:szCs w:val="24"/>
              </w:rPr>
              <w:t xml:space="preserve">(О.Н. Конюшевская</w:t>
            </w:r>
            <w:r>
              <w:rPr>
                <w:rFonts w:ascii="Times New Roman" w:hAnsi="Times New Roman" w:eastAsia="MS Mincho"/>
                <w:color w:val="000000"/>
                <w:szCs w:val="24"/>
              </w:rPr>
              <w:t xml:space="preserve">)</w:t>
            </w:r>
            <w:r>
              <w:rPr>
                <w:rFonts w:ascii="Times New Roman" w:hAnsi="Times New Roman"/>
                <w:bCs/>
                <w:color w:val="000000"/>
                <w:szCs w:val="24"/>
              </w:rPr>
              <w:t xml:space="preserve"> </w:t>
            </w:r>
          </w:p>
          <w:p>
            <w:pPr>
              <w:pStyle w:val="21221212112131"/>
              <w:jc w:val="both"/>
              <w:rPr>
                <w:rFonts w:ascii="Times New Roman" w:hAnsi="Times New Roman" w:eastAsia="MS Mincho"/>
                <w:color w:val="000000"/>
                <w:sz w:val="18"/>
                <w:szCs w:val="18"/>
              </w:rPr>
            </w:pPr>
            <w:r>
              <w:rPr>
                <w:rFonts w:ascii="Times New Roman" w:hAnsi="Times New Roman" w:eastAsia="MS Mincho"/>
                <w:color w:val="000000"/>
                <w:sz w:val="18"/>
                <w:szCs w:val="18"/>
              </w:rPr>
              <w:t xml:space="preserve">(должность)                 (подпись)</w:t>
            </w:r>
          </w:p>
          <w:p>
            <w:pPr>
              <w:pStyle w:val="21221212112131"/>
              <w:jc w:val="both"/>
              <w:rPr>
                <w:rFonts w:ascii="Times New Roman" w:hAnsi="Times New Roman" w:eastAsia="MS Mincho"/>
                <w:color w:val="000000"/>
                <w:sz w:val="18"/>
                <w:szCs w:val="18"/>
              </w:rPr>
            </w:pPr>
          </w:p>
          <w:p>
            <w:pPr>
              <w:pStyle w:val="21221212112131"/>
              <w:jc w:val="both"/>
              <w:rPr>
                <w:rFonts w:ascii="Times New Roman" w:hAnsi="Times New Roman" w:eastAsia="MS Mincho"/>
                <w:color w:val="000000"/>
                <w:sz w:val="18"/>
                <w:szCs w:val="18"/>
              </w:rPr>
            </w:pPr>
            <w:r>
              <w:rPr>
                <w:rFonts w:ascii="Times New Roman" w:hAnsi="Times New Roman" w:eastAsia="MS Mincho"/>
                <w:color w:val="000000"/>
                <w:sz w:val="18"/>
                <w:szCs w:val="18"/>
              </w:rPr>
              <w:t xml:space="preserve">                            М.П.</w:t>
            </w:r>
          </w:p>
        </w:tc>
        <w:tc>
          <w:tcPr>
            <w:tcW w:w="4928"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 </w:t>
            </w:r>
          </w:p>
          <w:p>
            <w:pPr>
              <w:pStyle w:val="21221212112131"/>
              <w:jc w:val="both"/>
              <w:rPr>
                <w:rFonts w:ascii="Times New Roman" w:hAnsi="Times New Roman" w:eastAsia="MS Mincho"/>
                <w:color w:val="000000"/>
                <w:szCs w:val="24"/>
              </w:rPr>
            </w:pPr>
          </w:p>
          <w:p>
            <w:pPr>
              <w:pStyle w:val="21221212112131"/>
              <w:jc w:val="both"/>
              <w:rPr>
                <w:rFonts w:ascii="Times New Roman" w:hAnsi="Times New Roman" w:eastAsia="MS Mincho"/>
                <w:color w:val="000000"/>
                <w:szCs w:val="24"/>
              </w:rPr>
            </w:pPr>
          </w:p>
          <w:p>
            <w:pPr>
              <w:pStyle w:val="21221212112131"/>
              <w:jc w:val="both"/>
              <w:rPr>
                <w:rFonts w:ascii="Times New Roman" w:hAnsi="Times New Roman" w:eastAsia="MS Mincho"/>
                <w:color w:val="000000"/>
                <w:szCs w:val="24"/>
              </w:rPr>
            </w:pPr>
          </w:p>
          <w:p>
            <w:pPr>
              <w:pStyle w:val="21221212112131"/>
              <w:jc w:val="both"/>
              <w:rPr>
                <w:rFonts w:ascii="Times New Roman" w:hAnsi="Times New Roman" w:eastAsia="MS Mincho"/>
                <w:color w:val="000000"/>
                <w:szCs w:val="24"/>
              </w:rPr>
            </w:pPr>
          </w:p>
          <w:p>
            <w:pPr>
              <w:pStyle w:val="21221212112131"/>
              <w:jc w:val="both"/>
              <w:rPr>
                <w:rFonts w:ascii="Times New Roman" w:hAnsi="Times New Roman" w:eastAsia="MS Mincho"/>
                <w:bCs/>
                <w:color w:val="000000"/>
                <w:szCs w:val="24"/>
              </w:rPr>
            </w:pPr>
          </w:p>
          <w:p>
            <w:pPr>
              <w:pStyle w:val="21221212112131"/>
              <w:jc w:val="both"/>
              <w:rPr>
                <w:rFonts w:ascii="Times New Roman" w:hAnsi="Times New Roman" w:eastAsia="MS Mincho"/>
                <w:bCs/>
                <w:color w:val="000000"/>
                <w:szCs w:val="24"/>
              </w:rPr>
            </w:pPr>
          </w:p>
          <w:p>
            <w:pPr>
              <w:pStyle w:val="21221212112131"/>
              <w:jc w:val="both"/>
              <w:rPr>
                <w:rFonts w:ascii="Times New Roman" w:hAnsi="Times New Roman" w:eastAsia="MS Mincho"/>
                <w:color w:val="000000"/>
                <w:szCs w:val="24"/>
              </w:rPr>
            </w:pPr>
            <w:r>
              <w:rPr>
                <w:rFonts w:ascii="Times New Roman" w:hAnsi="Times New Roman" w:eastAsia="MS Mincho"/>
                <w:color w:val="000000"/>
                <w:szCs w:val="24"/>
              </w:rPr>
              <w:t xml:space="preserve">__________  __________ (</w:t>
            </w:r>
            <w:r>
              <w:rPr>
                <w:rFonts w:ascii="Times New Roman" w:hAnsi="Times New Roman" w:eastAsia="MS Mincho"/>
                <w:color w:val="000000"/>
                <w:szCs w:val="24"/>
              </w:rPr>
              <w:t xml:space="preserve">                          </w:t>
            </w:r>
            <w:r>
              <w:rPr>
                <w:rFonts w:ascii="Times New Roman" w:hAnsi="Times New Roman" w:eastAsia="MS Mincho"/>
                <w:color w:val="000000"/>
                <w:szCs w:val="24"/>
              </w:rPr>
              <w:t xml:space="preserve">)</w:t>
            </w:r>
            <w:r>
              <w:rPr>
                <w:rFonts w:ascii="Times New Roman" w:hAnsi="Times New Roman"/>
                <w:bCs/>
                <w:color w:val="000000"/>
                <w:szCs w:val="24"/>
              </w:rPr>
              <w:t xml:space="preserve"> </w:t>
            </w:r>
          </w:p>
          <w:p>
            <w:pPr>
              <w:pStyle w:val="21221212112131"/>
              <w:jc w:val="both"/>
              <w:rPr>
                <w:rFonts w:ascii="Times New Roman" w:hAnsi="Times New Roman" w:eastAsia="MS Mincho"/>
                <w:color w:val="000000"/>
                <w:sz w:val="18"/>
                <w:szCs w:val="18"/>
              </w:rPr>
            </w:pPr>
            <w:r>
              <w:rPr>
                <w:rFonts w:ascii="Times New Roman" w:hAnsi="Times New Roman" w:eastAsia="MS Mincho"/>
                <w:color w:val="000000"/>
                <w:sz w:val="18"/>
                <w:szCs w:val="18"/>
              </w:rPr>
              <w:t xml:space="preserve">(должность)                 (подпись)</w:t>
            </w:r>
          </w:p>
          <w:p>
            <w:pPr>
              <w:pStyle w:val="21221212112131"/>
              <w:jc w:val="both"/>
              <w:rPr>
                <w:rFonts w:ascii="Times New Roman" w:hAnsi="Times New Roman" w:eastAsia="MS Mincho"/>
                <w:color w:val="000000"/>
                <w:sz w:val="18"/>
                <w:szCs w:val="18"/>
              </w:rPr>
            </w:pPr>
          </w:p>
          <w:p>
            <w:pPr>
              <w:pStyle w:val="21221212112131"/>
              <w:jc w:val="both"/>
              <w:rPr>
                <w:rFonts w:ascii="Times New Roman" w:hAnsi="Times New Roman" w:eastAsia="MS Mincho"/>
                <w:color w:val="000000"/>
                <w:szCs w:val="24"/>
              </w:rPr>
            </w:pPr>
            <w:r>
              <w:rPr>
                <w:rFonts w:ascii="Times New Roman" w:hAnsi="Times New Roman" w:eastAsia="MS Mincho"/>
                <w:color w:val="000000"/>
                <w:sz w:val="18"/>
                <w:szCs w:val="18"/>
              </w:rPr>
              <w:t xml:space="preserve">                            М.П.</w:t>
            </w:r>
          </w:p>
        </w:tc>
        <w:tc>
          <w:tcPr>
            <w:tcW w:w="4928"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p>
        </w:tc>
        <w:tc>
          <w:tcPr>
            <w:tcW w:w="4540" w:type="dxa"/>
            <w:tcBorders>
              <w:top w:val="none" w:color="000000" w:sz="0" w:space="0"/>
              <w:left w:val="none" w:color="000000" w:sz="0" w:space="0"/>
              <w:bottom w:val="none" w:color="000000" w:sz="0" w:space="0"/>
              <w:right w:val="none" w:color="000000" w:sz="0" w:space="0"/>
            </w:tcBorders>
          </w:tcPr>
          <w:p>
            <w:pPr>
              <w:pStyle w:val="21221212112131"/>
              <w:jc w:val="both"/>
              <w:rPr>
                <w:rFonts w:ascii="Times New Roman" w:hAnsi="Times New Roman" w:eastAsia="MS Mincho"/>
                <w:color w:val="000000"/>
                <w:szCs w:val="24"/>
              </w:rPr>
            </w:pPr>
          </w:p>
        </w:tc>
      </w:tr>
      <w:tr>
        <w:trPr>
          <w:trHeight w:val="359"/>
        </w:trPr>
        <w:tc>
          <w:tcPr>
            <w:tcW w:w="4928" w:type="dxa"/>
            <w:tcBorders>
              <w:top w:val="none" w:color="000000" w:sz="0" w:space="0"/>
              <w:left w:val="none" w:color="000000" w:sz="0" w:space="0"/>
              <w:bottom w:val="none" w:color="000000" w:sz="0" w:space="0"/>
              <w:right w:val="none" w:color="000000" w:sz="0" w:space="0"/>
            </w:tcBorders>
          </w:tcPr>
          <w:p>
            <w:pPr>
              <w:pStyle w:val="21221212112131"/>
              <w:rPr>
                <w:rFonts w:ascii="Times New Roman" w:hAnsi="Times New Roman" w:eastAsia="MS Mincho"/>
                <w:color w:val="000000"/>
                <w:szCs w:val="24"/>
              </w:rPr>
            </w:pPr>
          </w:p>
        </w:tc>
        <w:tc>
          <w:tcPr>
            <w:tcW w:w="4928" w:type="dxa"/>
            <w:tcBorders>
              <w:top w:val="none" w:color="000000" w:sz="0" w:space="0"/>
              <w:left w:val="none" w:color="000000" w:sz="0" w:space="0"/>
              <w:bottom w:val="none" w:color="000000" w:sz="0" w:space="0"/>
              <w:right w:val="none" w:color="000000" w:sz="0" w:space="0"/>
            </w:tcBorders>
          </w:tcPr>
          <w:p>
            <w:pPr>
              <w:pStyle w:val="21221212112131"/>
              <w:rPr>
                <w:rFonts w:ascii="Times New Roman" w:hAnsi="Times New Roman" w:eastAsia="MS Mincho"/>
                <w:color w:val="000000"/>
                <w:szCs w:val="24"/>
              </w:rPr>
            </w:pPr>
          </w:p>
        </w:tc>
        <w:tc>
          <w:tcPr>
            <w:tcW w:w="4928" w:type="dxa"/>
            <w:tcBorders>
              <w:top w:val="none" w:color="000000" w:sz="0" w:space="0"/>
              <w:left w:val="none" w:color="000000" w:sz="0" w:space="0"/>
              <w:bottom w:val="none" w:color="000000" w:sz="0" w:space="0"/>
              <w:right w:val="none" w:color="000000" w:sz="0" w:space="0"/>
            </w:tcBorders>
          </w:tcPr>
          <w:p>
            <w:pPr>
              <w:pStyle w:val="21221212112131"/>
              <w:rPr>
                <w:rFonts w:ascii="Times New Roman" w:hAnsi="Times New Roman" w:eastAsia="MS Mincho"/>
                <w:color w:val="000000"/>
                <w:szCs w:val="24"/>
              </w:rPr>
            </w:pPr>
          </w:p>
        </w:tc>
        <w:tc>
          <w:tcPr>
            <w:tcW w:w="4540" w:type="dxa"/>
            <w:tcBorders>
              <w:top w:val="none" w:color="000000" w:sz="0" w:space="0"/>
              <w:left w:val="none" w:color="000000" w:sz="0" w:space="0"/>
              <w:bottom w:val="none" w:color="000000" w:sz="0" w:space="0"/>
              <w:right w:val="none" w:color="000000" w:sz="0" w:space="0"/>
            </w:tcBorders>
          </w:tcPr>
          <w:p>
            <w:pPr>
              <w:pStyle w:val="21221212112131"/>
              <w:rPr>
                <w:rFonts w:ascii="Times New Roman" w:hAnsi="Times New Roman" w:eastAsia="MS Mincho"/>
                <w:color w:val="000000"/>
                <w:szCs w:val="24"/>
              </w:rPr>
            </w:pPr>
          </w:p>
        </w:tc>
      </w:tr>
    </w:tbl>
    <w:p>
      <w:pPr>
        <w:ind w:firstLine="708"/>
        <w:jc w:val="both"/>
        <w:rPr>
          <w:rFonts w:eastAsia="Times New Roman"/>
        </w:rPr>
      </w:pPr>
    </w:p>
    <w:tbl>
      <w:tblPr>
        <w:tblW w:w="19324" w:type="dxa"/>
        <w:tblLayout w:type="fixed"/>
        <w:tblLook w:val="00A0" w:firstRow="1" w:lastRow="0" w:firstColumn="1" w:lastColumn="0" w:noHBand="0" w:noVBand="0"/>
      </w:tblPr>
      <w:tblGrid>
        <w:gridCol w:w="4928"/>
        <w:gridCol w:w="4928"/>
        <w:gridCol w:w="4928"/>
        <w:gridCol w:w="4540"/>
      </w:tblGrid>
      <w:tr>
        <w:trPr>
          <w:trHeight w:val="359"/>
        </w:trPr>
        <w:tc>
          <w:tcPr>
            <w:tcW w:w="4928" w:type="dxa"/>
            <w:tcBorders>
              <w:top w:val="none" w:color="000000" w:sz="0" w:space="0"/>
              <w:left w:val="none" w:color="000000" w:sz="0" w:space="0"/>
              <w:bottom w:val="none" w:color="000000" w:sz="0" w:space="0"/>
              <w:right w:val="none" w:color="000000" w:sz="0" w:space="0"/>
            </w:tcBorders>
          </w:tcPr>
          <w:p/>
        </w:tc>
        <w:tc>
          <w:tcPr>
            <w:tcW w:w="4928" w:type="dxa"/>
            <w:tcBorders>
              <w:top w:val="none" w:color="000000" w:sz="0" w:space="0"/>
              <w:left w:val="none" w:color="000000" w:sz="0" w:space="0"/>
              <w:bottom w:val="none" w:color="000000" w:sz="0" w:space="0"/>
              <w:right w:val="none" w:color="000000" w:sz="0" w:space="0"/>
            </w:tcBorders>
          </w:tcPr>
          <w:p/>
          <w:p/>
          <w:p/>
          <w:p/>
          <w:p/>
          <w:p/>
          <w:p/>
          <w:p/>
          <w:p/>
          <w:p/>
          <w:p/>
          <w:p/>
          <w:p/>
          <w:p/>
          <w:p/>
          <w:p/>
          <w:p/>
          <w:p/>
          <w:p/>
          <w:p/>
          <w:p/>
          <w:p/>
          <w:p/>
          <w:p/>
          <w:p/>
          <w:p/>
          <w:p/>
          <w:p/>
          <w:p/>
          <w:p/>
          <w:p/>
          <w:p/>
          <w:p/>
          <w:p/>
          <w:p/>
          <w:p/>
          <w:p/>
        </w:tc>
        <w:tc>
          <w:tcPr>
            <w:tcW w:w="4928" w:type="dxa"/>
            <w:tcBorders>
              <w:top w:val="none" w:color="000000" w:sz="0" w:space="0"/>
              <w:left w:val="none" w:color="000000" w:sz="0" w:space="0"/>
              <w:bottom w:val="none" w:color="000000" w:sz="0" w:space="0"/>
              <w:right w:val="none" w:color="000000" w:sz="0" w:space="0"/>
            </w:tcBorders>
          </w:tcPr>
          <w:p>
            <w:pPr>
              <w:pStyle w:val="21221212112131"/>
              <w:rPr>
                <w:rFonts w:ascii="Times New Roman" w:hAnsi="Times New Roman" w:eastAsia="MS Mincho"/>
                <w:color w:val="000000"/>
                <w:szCs w:val="24"/>
              </w:rPr>
            </w:pPr>
          </w:p>
        </w:tc>
        <w:tc>
          <w:tcPr>
            <w:tcW w:w="4540" w:type="dxa"/>
            <w:tcBorders>
              <w:top w:val="none" w:color="000000" w:sz="0" w:space="0"/>
              <w:left w:val="none" w:color="000000" w:sz="0" w:space="0"/>
              <w:bottom w:val="none" w:color="000000" w:sz="0" w:space="0"/>
              <w:right w:val="none" w:color="000000" w:sz="0" w:space="0"/>
            </w:tcBorders>
          </w:tcPr>
          <w:p>
            <w:pPr>
              <w:pStyle w:val="21221212112131"/>
              <w:rPr>
                <w:rFonts w:ascii="Times New Roman" w:hAnsi="Times New Roman" w:eastAsia="MS Mincho"/>
                <w:color w:val="000000"/>
                <w:szCs w:val="24"/>
              </w:rPr>
            </w:pPr>
          </w:p>
        </w:tc>
      </w:tr>
    </w:tbl>
    <w:p>
      <w:pPr>
        <w:ind w:left="5670"/>
        <w:rPr>
          <w:rFonts w:eastAsia="Times New Roman"/>
        </w:rPr>
      </w:pPr>
    </w:p>
    <w:p>
      <w:pPr>
        <w:ind w:left="5670"/>
        <w:rPr>
          <w:rFonts w:eastAsia="Times New Roman"/>
        </w:rPr>
      </w:pPr>
    </w:p>
    <w:p>
      <w:pPr>
        <w:ind w:left="5670"/>
        <w:rPr>
          <w:rFonts w:eastAsia="Times New Roman"/>
        </w:rPr>
      </w:pPr>
    </w:p>
    <w:p>
      <w:pPr>
        <w:ind w:left="5670"/>
        <w:rPr>
          <w:rFonts w:eastAsia="Times New Roman"/>
        </w:rPr>
      </w:pPr>
      <w:r>
        <w:rPr>
          <w:rFonts w:eastAsia="Times New Roman"/>
        </w:rPr>
        <w:t xml:space="preserve">Приложение № 1 </w:t>
      </w:r>
    </w:p>
    <w:p>
      <w:pPr>
        <w:ind w:left="5670"/>
        <w:rPr>
          <w:rFonts w:eastAsia="Times New Roman"/>
        </w:rPr>
      </w:pPr>
      <w:r>
        <w:rPr>
          <w:rFonts w:eastAsia="Times New Roman"/>
        </w:rPr>
        <w:t xml:space="preserve">к муниципальному контракту №_________________________</w:t>
      </w:r>
    </w:p>
    <w:p>
      <w:pPr>
        <w:ind w:left="5670"/>
        <w:rPr>
          <w:rFonts w:eastAsia="Times New Roman"/>
        </w:rPr>
      </w:pPr>
      <w:r>
        <w:rPr>
          <w:rFonts w:eastAsia="Times New Roman"/>
        </w:rPr>
        <w:t xml:space="preserve">от «___» ______________ 20__г. </w:t>
      </w:r>
    </w:p>
    <w:p>
      <w:pPr>
        <w:jc w:val="both"/>
      </w:pPr>
    </w:p>
    <w:p>
      <w:pPr>
        <w:jc w:val="center"/>
        <w:rPr>
          <w:b/>
        </w:rPr>
      </w:pPr>
      <w:r>
        <w:rPr>
          <w:b/>
        </w:rPr>
        <w:t xml:space="preserve">Описание объекта закупки</w:t>
      </w:r>
    </w:p>
    <w:p>
      <w:pPr>
        <w:widowControl w:val="off"/>
        <w:shd w:val="clear" w:color="auto" w:fill="ffffff"/>
        <w:spacing w:line="281" w:lineRule="exact"/>
        <w:ind w:left="108"/>
        <w:jc w:val="center"/>
        <w:rPr>
          <w:rFonts w:eastAsia="Times New Roman"/>
          <w:b/>
        </w:rPr>
      </w:pPr>
      <w:r>
        <w:rPr>
          <w:rFonts w:eastAsia="Times New Roman"/>
          <w:b/>
        </w:rPr>
        <w:t xml:space="preserve">на оказание услуг</w:t>
      </w:r>
      <w:r>
        <w:rPr>
          <w:rFonts w:eastAsia="Times New Roman"/>
          <w:b/>
          <w:bCs/>
        </w:rPr>
        <w:t xml:space="preserve">  </w:t>
      </w:r>
      <w:r>
        <w:rPr>
          <w:rFonts w:eastAsia="Times New Roman"/>
          <w:b/>
          <w:bCs/>
          <w:color w:val="000000"/>
        </w:rPr>
        <w:t xml:space="preserve">по </w:t>
      </w:r>
      <w:r>
        <w:rPr>
          <w:rFonts w:eastAsia="Times New Roman"/>
          <w:b/>
        </w:rPr>
        <w:t xml:space="preserve"> обследованию конструктивных элементов  многоквартирных домов,  расположенных по адресу: </w:t>
      </w:r>
      <w:r>
        <w:rPr>
          <w:rFonts w:eastAsia="Times New Roman"/>
          <w:b/>
        </w:rPr>
        <w:t xml:space="preserve">Ленинградская область, Тосненский район,  г. Тосно, ул. Болотная, д.10;  Ленинградская область, Тосненский район,  г. Тосно, ул. Октябрьская, д.72</w:t>
      </w:r>
    </w:p>
    <w:p>
      <w:pPr>
        <w:widowControl w:val="off"/>
        <w:shd w:val="clear" w:color="auto" w:fill="ffffff"/>
        <w:spacing w:line="281" w:lineRule="exact"/>
        <w:ind w:left="108"/>
        <w:jc w:val="center"/>
        <w:rPr>
          <w:rFonts w:eastAsia="Times New Roman"/>
          <w:b/>
          <w:bCs/>
        </w:rPr>
      </w:pPr>
    </w:p>
    <w:p>
      <w:pPr>
        <w:widowControl w:val="off"/>
        <w:shd w:val="clear" w:color="auto" w:fill="ffffff"/>
        <w:spacing w:line="281" w:lineRule="exact"/>
        <w:ind w:left="108"/>
        <w:rPr>
          <w:rFonts w:eastAsia="Times New Roman"/>
          <w:b/>
        </w:rPr>
      </w:pPr>
    </w:p>
    <w:tbl>
      <w:tblPr>
        <w:tblW w:w="10490"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4140"/>
        <w:gridCol w:w="5783"/>
      </w:tblGrid>
      <w:tr>
        <w:trPr>
          <w:trHeight w:val="568"/>
        </w:trPr>
        <w:tc>
          <w:tcPr>
            <w:tcW w:w="567" w:type="dxa"/>
            <w:vAlign w:val="center"/>
          </w:tcPr>
          <w:p>
            <w:pPr>
              <w:numPr>
                <w:numId w:val="2"/>
                <w:ilvl w:val="0"/>
              </w:numPr>
              <w:spacing w:after="200"/>
              <w:rPr>
                <w:rFonts w:eastAsia="Times New Roman"/>
                <w:color w:val="000000"/>
              </w:rPr>
            </w:pPr>
          </w:p>
        </w:tc>
        <w:tc>
          <w:tcPr>
            <w:tcW w:w="4140" w:type="dxa"/>
            <w:vAlign w:val="center"/>
          </w:tcPr>
          <w:p>
            <w:pPr>
              <w:jc w:val="both"/>
              <w:rPr>
                <w:rFonts w:eastAsia="Times New Roman"/>
                <w:color w:val="000000"/>
              </w:rPr>
            </w:pPr>
            <w:r>
              <w:rPr>
                <w:rFonts w:eastAsia="Times New Roman"/>
                <w:color w:val="000000"/>
              </w:rPr>
              <w:t xml:space="preserve">Наименование объекта</w:t>
            </w:r>
          </w:p>
        </w:tc>
        <w:tc>
          <w:tcPr>
            <w:tcW w:w="5783" w:type="dxa"/>
            <w:vAlign w:val="center"/>
          </w:tcPr>
          <w:p>
            <w:pPr>
              <w:widowControl w:val="off"/>
              <w:shd w:val="clear" w:color="auto" w:fill="ffffff"/>
              <w:spacing w:line="281" w:lineRule="exact"/>
              <w:ind w:left="108"/>
              <w:jc w:val="center"/>
              <w:rPr>
                <w:rFonts w:eastAsia="Times New Roman"/>
                <w:color w:val="000000"/>
              </w:rPr>
            </w:pPr>
            <w:r>
              <w:rPr>
                <w:rFonts w:eastAsia="Times New Roman"/>
              </w:rPr>
              <w:t xml:space="preserve"> </w:t>
            </w:r>
            <w:r>
              <w:rPr>
                <w:rFonts w:eastAsia="Times New Roman"/>
              </w:rPr>
              <w:t xml:space="preserve">Обследование конструктивных элементов  многоквартирных домов,  расположенных по адресу:  Ленинградская область, Тосненский район,  </w:t>
            </w:r>
            <w:r>
              <w:rPr>
                <w:rFonts w:eastAsia="Times New Roman"/>
              </w:rPr>
              <w:t xml:space="preserve"> г. Тосно, ул. Болотная, д.10;  Ленинградская область, Тосненский район,  г. Тосно, ул. Октябрьская, д.72</w:t>
            </w:r>
          </w:p>
        </w:tc>
      </w:tr>
      <w:tr>
        <w:trPr>
          <w:trHeight w:val="433"/>
        </w:trPr>
        <w:tc>
          <w:tcPr>
            <w:tcW w:w="567" w:type="dxa"/>
            <w:vAlign w:val="center"/>
          </w:tcPr>
          <w:p>
            <w:pPr>
              <w:numPr>
                <w:numId w:val="2"/>
                <w:ilvl w:val="0"/>
              </w:numPr>
              <w:rPr>
                <w:lang w:eastAsia="en-US"/>
              </w:rPr>
            </w:pPr>
          </w:p>
        </w:tc>
        <w:tc>
          <w:tcPr>
            <w:tcW w:w="4140" w:type="dxa"/>
            <w:vAlign w:val="center"/>
          </w:tcPr>
          <w:p>
            <w:pPr>
              <w:tabs>
                <w:tab w:val="left" w:pos="5400"/>
              </w:tabs>
              <w:jc w:val="both"/>
              <w:rPr>
                <w:rFonts w:eastAsia="Times New Roman"/>
              </w:rPr>
            </w:pPr>
            <w:r>
              <w:rPr>
                <w:rFonts w:eastAsia="Times New Roman"/>
              </w:rPr>
              <w:t xml:space="preserve">Назначение объектов</w:t>
            </w:r>
          </w:p>
        </w:tc>
        <w:tc>
          <w:tcPr>
            <w:tcW w:w="5783" w:type="dxa"/>
            <w:vAlign w:val="center"/>
          </w:tcPr>
          <w:p>
            <w:pPr>
              <w:rPr>
                <w:rFonts w:eastAsia="Times New Roman"/>
              </w:rPr>
            </w:pPr>
            <w:r>
              <w:rPr>
                <w:rFonts w:eastAsia="Times New Roman"/>
              </w:rPr>
              <w:t xml:space="preserve">Жилые (многоквартирные дома)</w:t>
            </w:r>
          </w:p>
        </w:tc>
      </w:tr>
      <w:tr>
        <w:trPr>
          <w:trHeight w:val="433"/>
        </w:trPr>
        <w:tc>
          <w:tcPr>
            <w:tcW w:w="567" w:type="dxa"/>
            <w:vAlign w:val="center"/>
          </w:tcPr>
          <w:p>
            <w:pPr>
              <w:numPr>
                <w:numId w:val="2"/>
                <w:ilvl w:val="0"/>
              </w:numPr>
              <w:rPr>
                <w:lang w:eastAsia="en-US"/>
              </w:rPr>
            </w:pPr>
          </w:p>
        </w:tc>
        <w:tc>
          <w:tcPr>
            <w:tcW w:w="4140" w:type="dxa"/>
            <w:vAlign w:val="center"/>
          </w:tcPr>
          <w:p>
            <w:pPr>
              <w:tabs>
                <w:tab w:val="left" w:pos="5400"/>
              </w:tabs>
              <w:jc w:val="both"/>
              <w:rPr>
                <w:rFonts w:eastAsia="Times New Roman"/>
              </w:rPr>
            </w:pPr>
            <w:r>
              <w:rPr>
                <w:rFonts w:eastAsia="Times New Roman"/>
              </w:rPr>
              <w:t xml:space="preserve">Вид </w:t>
            </w:r>
            <w:r>
              <w:rPr>
                <w:rFonts w:eastAsia="Times New Roman"/>
              </w:rPr>
              <w:t xml:space="preserve">услуг</w:t>
            </w:r>
          </w:p>
        </w:tc>
        <w:tc>
          <w:tcPr>
            <w:tcW w:w="5783" w:type="dxa"/>
            <w:vAlign w:val="center"/>
          </w:tcPr>
          <w:p>
            <w:pPr>
              <w:rPr>
                <w:rFonts w:eastAsia="Times New Roman"/>
              </w:rPr>
            </w:pPr>
            <w:r>
              <w:rPr>
                <w:rFonts w:eastAsia="Times New Roman"/>
              </w:rPr>
              <w:t xml:space="preserve">Визуальное  и инструментально обследование технического состояния строительных конструкций зданий (в границах обследования).</w:t>
            </w:r>
          </w:p>
        </w:tc>
      </w:tr>
      <w:tr>
        <w:trPr>
          <w:trHeight w:val="433"/>
        </w:trPr>
        <w:tc>
          <w:tcPr>
            <w:tcW w:w="567" w:type="dxa"/>
            <w:vAlign w:val="center"/>
          </w:tcPr>
          <w:p>
            <w:pPr>
              <w:numPr>
                <w:numId w:val="2"/>
                <w:ilvl w:val="0"/>
              </w:numPr>
              <w:rPr>
                <w:lang w:eastAsia="en-US"/>
              </w:rPr>
            </w:pPr>
          </w:p>
        </w:tc>
        <w:tc>
          <w:tcPr>
            <w:tcW w:w="4140" w:type="dxa"/>
            <w:vAlign w:val="center"/>
          </w:tcPr>
          <w:p>
            <w:pPr>
              <w:tabs>
                <w:tab w:val="left" w:pos="5400"/>
              </w:tabs>
              <w:jc w:val="both"/>
              <w:rPr>
                <w:rFonts w:eastAsia="Times New Roman"/>
              </w:rPr>
            </w:pPr>
            <w:r>
              <w:rPr>
                <w:rFonts w:eastAsia="Times New Roman"/>
              </w:rPr>
              <w:t xml:space="preserve">Цель обследования</w:t>
            </w:r>
          </w:p>
        </w:tc>
        <w:tc>
          <w:tcPr>
            <w:tcW w:w="5783" w:type="dxa"/>
            <w:vAlign w:val="center"/>
          </w:tcPr>
          <w:p>
            <w:pPr>
              <w:jc w:val="both"/>
              <w:rPr>
                <w:rFonts w:eastAsia="Times New Roman"/>
              </w:rPr>
            </w:pPr>
            <w:r>
              <w:rPr>
                <w:rFonts w:eastAsia="Times New Roman"/>
              </w:rPr>
              <w:t xml:space="preserve">Составление заключения по результатам визуального и инструментального обследования строительных конструкций зданий (в границах обследования) с выводами, рекомендациями для дальнейшей безаварийной эксплуатации.</w:t>
            </w:r>
          </w:p>
        </w:tc>
      </w:tr>
      <w:tr>
        <w:trPr>
          <w:trHeight w:val="433"/>
        </w:trPr>
        <w:tc>
          <w:tcPr>
            <w:tcW w:w="567" w:type="dxa"/>
            <w:vAlign w:val="center"/>
          </w:tcPr>
          <w:p>
            <w:pPr>
              <w:numPr>
                <w:numId w:val="2"/>
                <w:ilvl w:val="0"/>
              </w:numPr>
              <w:rPr>
                <w:lang w:eastAsia="en-US"/>
              </w:rPr>
            </w:pPr>
          </w:p>
        </w:tc>
        <w:tc>
          <w:tcPr>
            <w:tcW w:w="4140" w:type="dxa"/>
            <w:vAlign w:val="center"/>
          </w:tcPr>
          <w:p>
            <w:pPr>
              <w:tabs>
                <w:tab w:val="left" w:pos="5400"/>
              </w:tabs>
              <w:jc w:val="both"/>
              <w:rPr>
                <w:rFonts w:eastAsia="Times New Roman"/>
              </w:rPr>
            </w:pPr>
            <w:r>
              <w:rPr>
                <w:rFonts w:eastAsia="Times New Roman"/>
              </w:rPr>
              <w:t xml:space="preserve">Элементы объектов, подлежащие обследованию</w:t>
            </w:r>
          </w:p>
        </w:tc>
        <w:tc>
          <w:tcPr>
            <w:tcW w:w="5783" w:type="dxa"/>
            <w:vAlign w:val="center"/>
          </w:tcPr>
          <w:p>
            <w:pPr>
              <w:widowControl w:val="off"/>
              <w:shd w:val="clear" w:color="auto" w:fill="ffffff"/>
              <w:spacing w:line="281" w:lineRule="exact"/>
              <w:ind w:left="108"/>
              <w:jc w:val="both"/>
              <w:rPr>
                <w:rFonts w:eastAsia="Times New Roman"/>
              </w:rPr>
            </w:pPr>
            <w:r>
              <w:rPr>
                <w:rFonts w:eastAsia="Times New Roman"/>
              </w:rPr>
              <w:t xml:space="preserve">5.1. Строительные конструкции зданий по адресу: </w:t>
            </w:r>
            <w:r>
              <w:rPr>
                <w:rFonts w:eastAsia="Times New Roman"/>
              </w:rPr>
              <w:t xml:space="preserve">Ленинградская область, Тосненский район,  г. Тосно, ул. Болотная, д.10;  Ленинградская область, Тосненский район,  г. Тосно, ул. Октябрьская, д.72</w:t>
            </w:r>
          </w:p>
        </w:tc>
      </w:tr>
      <w:tr>
        <w:trPr>
          <w:trHeight w:val="70"/>
        </w:trPr>
        <w:tc>
          <w:tcPr>
            <w:tcW w:w="567" w:type="dxa"/>
            <w:vAlign w:val="center"/>
          </w:tcPr>
          <w:p>
            <w:pPr>
              <w:numPr>
                <w:numId w:val="2"/>
                <w:ilvl w:val="0"/>
              </w:numPr>
              <w:rPr>
                <w:lang w:eastAsia="en-US"/>
              </w:rPr>
            </w:pPr>
          </w:p>
        </w:tc>
        <w:tc>
          <w:tcPr>
            <w:tcW w:w="4140" w:type="dxa"/>
            <w:vAlign w:val="center"/>
          </w:tcPr>
          <w:p>
            <w:pPr>
              <w:tabs>
                <w:tab w:val="left" w:pos="5400"/>
              </w:tabs>
              <w:jc w:val="both"/>
              <w:rPr>
                <w:rFonts w:eastAsia="Times New Roman"/>
              </w:rPr>
            </w:pPr>
            <w:r>
              <w:rPr>
                <w:rFonts w:eastAsia="Times New Roman"/>
              </w:rPr>
              <w:t xml:space="preserve">Задачи обследования</w:t>
            </w:r>
          </w:p>
        </w:tc>
        <w:tc>
          <w:tcPr>
            <w:tcW w:w="5783" w:type="dxa"/>
            <w:vAlign w:val="center"/>
          </w:tcPr>
          <w:p>
            <w:pPr>
              <w:pBdr>
                <w:top w:val="none" w:color="000000" w:sz="4" w:space="0"/>
                <w:left w:val="none" w:color="000000" w:sz="4" w:space="0"/>
                <w:bottom w:val="none" w:color="000000" w:sz="4" w:space="0"/>
                <w:right w:val="none" w:color="000000" w:sz="4" w:space="0"/>
                <w:between w:val="none" w:color="000000" w:sz="4" w:space="0"/>
              </w:pBdr>
              <w:ind w:left="37"/>
              <w:jc w:val="both"/>
              <w:rPr>
                <w:rFonts w:eastAsia="Times New Roman"/>
                <w:color w:val="000000"/>
              </w:rPr>
            </w:pPr>
            <w:r>
              <w:rPr>
                <w:rFonts w:eastAsia="Times New Roman"/>
                <w:color w:val="000000"/>
              </w:rPr>
              <w:t xml:space="preserve">6.1.</w:t>
            </w:r>
            <w:r>
              <w:rPr>
                <w:rFonts w:eastAsia="Times New Roman"/>
                <w:color w:val="000000"/>
              </w:rPr>
              <w:tab/>
              <w:t xml:space="preserve">Определение технического состояния обследуемых строительных конструкций и внутренних инженерных сетей (в границах обследования);</w:t>
            </w:r>
          </w:p>
          <w:p>
            <w:pPr>
              <w:pBdr>
                <w:top w:val="none" w:color="000000" w:sz="4" w:space="0"/>
                <w:left w:val="none" w:color="000000" w:sz="4" w:space="0"/>
                <w:bottom w:val="none" w:color="000000" w:sz="4" w:space="0"/>
                <w:right w:val="none" w:color="000000" w:sz="4" w:space="0"/>
                <w:between w:val="none" w:color="000000" w:sz="4" w:space="0"/>
              </w:pBdr>
              <w:ind w:left="37"/>
              <w:jc w:val="both"/>
              <w:rPr>
                <w:rFonts w:eastAsia="Times New Roman"/>
                <w:color w:val="000000"/>
              </w:rPr>
            </w:pPr>
            <w:r>
              <w:rPr>
                <w:rFonts w:eastAsia="Times New Roman"/>
                <w:color w:val="000000"/>
              </w:rPr>
              <w:t xml:space="preserve">6.2.</w:t>
            </w:r>
            <w:r>
              <w:rPr>
                <w:rFonts w:eastAsia="Times New Roman"/>
                <w:color w:val="000000"/>
              </w:rPr>
              <w:tab/>
              <w:t xml:space="preserve">Выводы и рекомендации по результатам визуального и инструментального обследования строительных конструкций и внутренних инженерных сетей (в границах обследования); для дальнейшей безаварийной эксплуатации.</w:t>
            </w:r>
          </w:p>
        </w:tc>
      </w:tr>
      <w:tr>
        <w:trPr>
          <w:trHeight w:val="767"/>
        </w:trPr>
        <w:tc>
          <w:tcPr>
            <w:tcW w:w="567" w:type="dxa"/>
            <w:vAlign w:val="center"/>
          </w:tcPr>
          <w:p>
            <w:pPr>
              <w:numPr>
                <w:numId w:val="2"/>
                <w:ilvl w:val="0"/>
              </w:numPr>
              <w:rPr>
                <w:lang w:eastAsia="en-US"/>
              </w:rPr>
            </w:pPr>
          </w:p>
        </w:tc>
        <w:tc>
          <w:tcPr>
            <w:tcW w:w="4140" w:type="dxa"/>
            <w:vAlign w:val="center"/>
          </w:tcPr>
          <w:p>
            <w:pPr>
              <w:jc w:val="both"/>
              <w:rPr>
                <w:rFonts w:eastAsia="Times New Roman"/>
                <w:color w:val="000000"/>
              </w:rPr>
            </w:pPr>
            <w:r>
              <w:rPr>
                <w:rFonts w:eastAsia="Times New Roman"/>
                <w:color w:val="000000"/>
              </w:rPr>
              <w:t xml:space="preserve">Краткая характеристика объекта обследования</w:t>
            </w:r>
          </w:p>
        </w:tc>
        <w:tc>
          <w:tcPr>
            <w:tcW w:w="5783" w:type="dxa"/>
            <w:vAlign w:val="center"/>
          </w:tcPr>
          <w:p>
            <w:pPr>
              <w:rPr>
                <w:rFonts w:eastAsia="Times New Roman"/>
              </w:rPr>
            </w:pPr>
            <w:r>
              <w:rPr>
                <w:rFonts w:eastAsia="Times New Roman"/>
              </w:rPr>
              <w:t xml:space="preserve">7.1 Здание кирпичное, двухэтажное, жилое. Общая площадь </w:t>
            </w:r>
            <w:r>
              <w:rPr>
                <w:rFonts w:eastAsia="Times New Roman"/>
              </w:rPr>
              <w:t xml:space="preserve">311,9</w:t>
            </w:r>
            <w:r>
              <w:rPr>
                <w:rFonts w:eastAsia="Times New Roman"/>
              </w:rPr>
              <w:t xml:space="preserve"> м</w:t>
            </w:r>
            <w:r>
              <w:rPr>
                <w:rFonts w:eastAsia="Times New Roman"/>
                <w:vertAlign w:val="superscript"/>
              </w:rPr>
              <w:t xml:space="preserve">2</w:t>
            </w:r>
            <w:r>
              <w:rPr>
                <w:rFonts w:eastAsia="Times New Roman"/>
              </w:rPr>
              <w:t xml:space="preserve">. Год постройки 19</w:t>
            </w:r>
            <w:r>
              <w:rPr>
                <w:rFonts w:eastAsia="Times New Roman"/>
              </w:rPr>
              <w:t xml:space="preserve">72</w:t>
            </w:r>
            <w:r>
              <w:rPr>
                <w:rFonts w:eastAsia="Times New Roman"/>
              </w:rPr>
              <w:t xml:space="preserve"> г.</w:t>
            </w:r>
          </w:p>
          <w:p>
            <w:pPr>
              <w:rPr>
                <w:rFonts w:eastAsia="Times New Roman"/>
              </w:rPr>
            </w:pPr>
            <w:r>
              <w:rPr>
                <w:rFonts w:eastAsia="Times New Roman"/>
              </w:rPr>
              <w:t xml:space="preserve">7.2 Здание кирпичное, двухэтажное, жилое. Общая площадь </w:t>
            </w:r>
            <w:r>
              <w:rPr>
                <w:rFonts w:eastAsia="Times New Roman"/>
              </w:rPr>
              <w:t xml:space="preserve">87,4</w:t>
            </w:r>
            <w:r>
              <w:rPr>
                <w:rFonts w:eastAsia="Times New Roman"/>
              </w:rPr>
              <w:t xml:space="preserve"> м</w:t>
            </w:r>
            <w:r>
              <w:rPr>
                <w:rFonts w:eastAsia="Times New Roman"/>
                <w:vertAlign w:val="superscript"/>
              </w:rPr>
              <w:t xml:space="preserve">2</w:t>
            </w:r>
            <w:r>
              <w:rPr>
                <w:rFonts w:eastAsia="Times New Roman"/>
              </w:rPr>
              <w:t xml:space="preserve">. Год постройки 196</w:t>
            </w:r>
            <w:r>
              <w:rPr>
                <w:rFonts w:eastAsia="Times New Roman"/>
              </w:rPr>
              <w:t xml:space="preserve">4</w:t>
            </w:r>
            <w:r>
              <w:rPr>
                <w:rFonts w:eastAsia="Times New Roman"/>
              </w:rPr>
              <w:t xml:space="preserve"> г.</w:t>
            </w:r>
          </w:p>
          <w:p>
            <w:pPr>
              <w:rPr>
                <w:rFonts w:eastAsia="Times New Roman"/>
              </w:rPr>
            </w:pPr>
          </w:p>
        </w:tc>
      </w:tr>
      <w:tr>
        <w:trPr>
          <w:trHeight w:val="433"/>
        </w:trPr>
        <w:tc>
          <w:tcPr>
            <w:tcW w:w="567" w:type="dxa"/>
            <w:vAlign w:val="center"/>
          </w:tcPr>
          <w:p>
            <w:pPr>
              <w:numPr>
                <w:numId w:val="2"/>
                <w:ilvl w:val="0"/>
              </w:numPr>
              <w:rPr>
                <w:lang w:eastAsia="en-US"/>
              </w:rPr>
            </w:pPr>
          </w:p>
        </w:tc>
        <w:tc>
          <w:tcPr>
            <w:tcW w:w="4140" w:type="dxa"/>
            <w:vAlign w:val="center"/>
          </w:tcPr>
          <w:p>
            <w:pPr>
              <w:jc w:val="both"/>
              <w:rPr>
                <w:rFonts w:eastAsia="Times New Roman"/>
                <w:color w:val="000000"/>
              </w:rPr>
            </w:pPr>
            <w:r>
              <w:rPr>
                <w:rFonts w:eastAsia="Times New Roman"/>
              </w:rPr>
              <w:t xml:space="preserve">Сроки </w:t>
            </w:r>
            <w:r>
              <w:rPr>
                <w:rFonts w:eastAsia="Times New Roman"/>
              </w:rPr>
              <w:t xml:space="preserve"> оказани</w:t>
            </w:r>
            <w:r>
              <w:rPr>
                <w:rFonts w:eastAsia="Times New Roman"/>
              </w:rPr>
              <w:t xml:space="preserve">я</w:t>
            </w:r>
            <w:r>
              <w:rPr>
                <w:rFonts w:eastAsia="Times New Roman"/>
              </w:rPr>
              <w:t xml:space="preserve"> услуг </w:t>
            </w:r>
            <w:r>
              <w:rPr>
                <w:rFonts w:eastAsia="Times New Roman"/>
              </w:rPr>
              <w:t xml:space="preserve"> </w:t>
            </w:r>
          </w:p>
        </w:tc>
        <w:tc>
          <w:tcPr>
            <w:tcW w:w="5783" w:type="dxa"/>
            <w:vAlign w:val="center"/>
          </w:tcPr>
          <w:p>
            <w:pPr>
              <w:jc w:val="both"/>
              <w:rPr>
                <w:rFonts w:eastAsia="Times New Roman"/>
              </w:rPr>
            </w:pPr>
            <w:r>
              <w:rPr>
                <w:rFonts w:eastAsia="Times New Roman"/>
                <w:color w:val="000000"/>
              </w:rPr>
              <w:t xml:space="preserve">30 (тридцать)  </w:t>
            </w:r>
            <w:r>
              <w:rPr>
                <w:rFonts w:eastAsia="Times New Roman"/>
                <w:color w:val="000000"/>
              </w:rPr>
              <w:t xml:space="preserve">календарных </w:t>
            </w:r>
            <w:r>
              <w:rPr>
                <w:rFonts w:eastAsia="Times New Roman"/>
                <w:color w:val="000000"/>
              </w:rPr>
              <w:t xml:space="preserve">дней</w:t>
            </w:r>
            <w:r>
              <w:rPr>
                <w:rFonts w:eastAsia="Times New Roman"/>
                <w:color w:val="000000"/>
              </w:rPr>
              <w:t xml:space="preserve"> с момента заключения</w:t>
            </w:r>
            <w:r>
              <w:rPr>
                <w:rFonts w:eastAsia="Times New Roman"/>
                <w:color w:val="000000"/>
              </w:rPr>
              <w:t xml:space="preserve"> муниципального</w:t>
            </w:r>
            <w:r>
              <w:rPr>
                <w:rFonts w:eastAsia="Times New Roman"/>
                <w:color w:val="000000"/>
              </w:rPr>
              <w:t xml:space="preserve"> контракта</w:t>
            </w:r>
            <w:r>
              <w:rPr>
                <w:rFonts w:eastAsia="Times New Roman"/>
                <w:color w:val="000000"/>
              </w:rPr>
              <w:t xml:space="preserve"> </w:t>
            </w:r>
          </w:p>
        </w:tc>
      </w:tr>
      <w:tr>
        <w:trPr>
          <w:trHeight w:val="433"/>
        </w:trPr>
        <w:tc>
          <w:tcPr>
            <w:tcW w:w="567" w:type="dxa"/>
            <w:vAlign w:val="center"/>
          </w:tcPr>
          <w:p>
            <w:pPr>
              <w:numPr>
                <w:numId w:val="2"/>
                <w:ilvl w:val="0"/>
              </w:numPr>
              <w:rPr>
                <w:lang w:eastAsia="en-US"/>
              </w:rPr>
            </w:pPr>
          </w:p>
        </w:tc>
        <w:tc>
          <w:tcPr>
            <w:tcW w:w="4140" w:type="dxa"/>
            <w:vAlign w:val="center"/>
          </w:tcPr>
          <w:p>
            <w:pPr>
              <w:jc w:val="both"/>
              <w:rPr>
                <w:rFonts w:eastAsia="Times New Roman"/>
                <w:color w:val="000000"/>
              </w:rPr>
            </w:pPr>
            <w:r>
              <w:rPr>
                <w:rFonts w:eastAsia="Times New Roman"/>
                <w:color w:val="000000"/>
              </w:rPr>
              <w:t xml:space="preserve">Перечень нормативных документов, в соответствии с требованиями которых необходимо выполнить работы</w:t>
            </w:r>
          </w:p>
        </w:tc>
        <w:tc>
          <w:tcPr>
            <w:tcW w:w="5783" w:type="dxa"/>
            <w:vAlign w:val="center"/>
          </w:tcPr>
          <w:p>
            <w:pPr>
              <w:numPr>
                <w:numId w:val="2"/>
                <w:ilvl w:val="1"/>
              </w:numPr>
              <w:contextualSpacing/>
              <w:rPr>
                <w:rFonts w:eastAsia="Times New Roman"/>
                <w:color w:val="000000"/>
              </w:rPr>
            </w:pPr>
            <w:r>
              <w:rPr>
                <w:rFonts w:eastAsia="Times New Roman"/>
                <w:color w:val="000000"/>
              </w:rPr>
              <w:t xml:space="preserve">ГОСТ 31937-2024 Здания и сооружения. Правила обследования и мониторинга технического состояния.</w:t>
            </w:r>
          </w:p>
          <w:p>
            <w:pPr>
              <w:numPr>
                <w:numId w:val="2"/>
                <w:ilvl w:val="1"/>
              </w:numPr>
              <w:tabs>
                <w:tab w:val="left" w:pos="452"/>
              </w:tabs>
              <w:contextualSpacing/>
              <w:jc w:val="both"/>
              <w:rPr>
                <w:rFonts w:eastAsia="Times New Roman"/>
                <w:color w:val="000000"/>
              </w:rPr>
            </w:pPr>
            <w:r>
              <w:rPr>
                <w:rFonts w:eastAsia="Times New Roman"/>
                <w:color w:val="000000"/>
              </w:rPr>
              <w:t xml:space="preserve">СП 13-102-2003 Правила обследования несущих строительных конструкций зданий и сооружений</w:t>
            </w:r>
          </w:p>
        </w:tc>
      </w:tr>
      <w:tr>
        <w:trPr>
          <w:trHeight w:val="433"/>
        </w:trPr>
        <w:tc>
          <w:tcPr>
            <w:tcW w:w="567" w:type="dxa"/>
            <w:vAlign w:val="center"/>
          </w:tcPr>
          <w:p>
            <w:pPr>
              <w:numPr>
                <w:numId w:val="2"/>
                <w:ilvl w:val="0"/>
              </w:numPr>
              <w:rPr>
                <w:lang w:eastAsia="en-US"/>
              </w:rPr>
            </w:pPr>
          </w:p>
        </w:tc>
        <w:tc>
          <w:tcPr>
            <w:tcW w:w="4140" w:type="dxa"/>
            <w:vAlign w:val="center"/>
          </w:tcPr>
          <w:p>
            <w:pPr>
              <w:spacing w:after="200"/>
              <w:rPr>
                <w:rFonts w:eastAsia="Times New Roman"/>
              </w:rPr>
            </w:pPr>
            <w:r>
              <w:rPr>
                <w:rFonts w:eastAsia="Times New Roman"/>
              </w:rPr>
              <w:t xml:space="preserve">Требования к материалам и результатам обследования в части сроков выполнения, порядка представления изыскательской продукции и форматов материалов в электронном виде и срокам представления промежуточных материалов и отчетной документации</w:t>
            </w:r>
          </w:p>
        </w:tc>
        <w:tc>
          <w:tcPr>
            <w:tcW w:w="5783" w:type="dxa"/>
            <w:vAlign w:val="center"/>
          </w:tcPr>
          <w:p>
            <w:pPr>
              <w:jc w:val="both"/>
              <w:rPr>
                <w:rFonts w:eastAsia="Times New Roman"/>
              </w:rPr>
            </w:pPr>
            <w:r>
              <w:rPr>
                <w:rFonts w:eastAsia="Times New Roman"/>
              </w:rPr>
              <w:t xml:space="preserve">10.1 Технический отчет по выполненному обследованию </w:t>
            </w:r>
            <w:r>
              <w:rPr>
                <w:rFonts w:eastAsia="Times New Roman"/>
              </w:rPr>
              <w:t xml:space="preserve">Исполнитель</w:t>
            </w:r>
            <w:r>
              <w:rPr>
                <w:rFonts w:eastAsia="Times New Roman"/>
              </w:rPr>
              <w:t xml:space="preserve"> предоставляет Заказчику в виде материалов на бумажных носителях (в сброшюрованном виде в количестве двух экземпляров) и в одном экземпляре на электронном носителе. Электронная копия передаётся на диске CD-R</w:t>
            </w:r>
          </w:p>
        </w:tc>
      </w:tr>
      <w:tr>
        <w:trPr>
          <w:trHeight w:val="433"/>
        </w:trPr>
        <w:tc>
          <w:tcPr>
            <w:tcW w:w="567" w:type="dxa"/>
            <w:vAlign w:val="center"/>
          </w:tcPr>
          <w:p>
            <w:pPr>
              <w:numPr>
                <w:numId w:val="2"/>
                <w:ilvl w:val="0"/>
              </w:numPr>
              <w:rPr>
                <w:lang w:eastAsia="en-US"/>
              </w:rPr>
            </w:pPr>
          </w:p>
        </w:tc>
        <w:tc>
          <w:tcPr>
            <w:tcW w:w="4140" w:type="dxa"/>
            <w:vAlign w:val="center"/>
          </w:tcPr>
          <w:p>
            <w:pPr>
              <w:spacing w:after="200"/>
              <w:rPr>
                <w:rFonts w:eastAsia="Times New Roman"/>
              </w:rPr>
            </w:pPr>
            <w:r>
              <w:rPr>
                <w:rFonts w:eastAsia="Times New Roman"/>
              </w:rPr>
              <w:t xml:space="preserve">Порядок согласований</w:t>
            </w:r>
          </w:p>
        </w:tc>
        <w:tc>
          <w:tcPr>
            <w:tcW w:w="5783" w:type="dxa"/>
            <w:vAlign w:val="center"/>
          </w:tcPr>
          <w:p>
            <w:pPr>
              <w:jc w:val="both"/>
              <w:rPr>
                <w:rFonts w:eastAsia="Times New Roman"/>
              </w:rPr>
            </w:pPr>
            <w:r>
              <w:rPr>
                <w:rFonts w:eastAsia="Times New Roman"/>
              </w:rPr>
              <w:t xml:space="preserve">Технический отчет по выполненному обследованию согласовывается Заказчиком.</w:t>
            </w:r>
          </w:p>
        </w:tc>
      </w:tr>
      <w:tr>
        <w:trPr>
          <w:trHeight w:val="433"/>
        </w:trPr>
        <w:tc>
          <w:tcPr>
            <w:tcW w:w="567" w:type="dxa"/>
            <w:vAlign w:val="center"/>
          </w:tcPr>
          <w:p>
            <w:pPr>
              <w:numPr>
                <w:numId w:val="2"/>
                <w:ilvl w:val="0"/>
              </w:numPr>
              <w:rPr>
                <w:lang w:eastAsia="en-US"/>
              </w:rPr>
            </w:pPr>
          </w:p>
        </w:tc>
        <w:tc>
          <w:tcPr>
            <w:tcW w:w="4140" w:type="dxa"/>
            <w:vAlign w:val="center"/>
          </w:tcPr>
          <w:p>
            <w:pPr>
              <w:jc w:val="both"/>
              <w:rPr>
                <w:rFonts w:eastAsia="Times New Roman"/>
              </w:rPr>
            </w:pPr>
            <w:r>
              <w:rPr>
                <w:rFonts w:eastAsia="Times New Roman"/>
              </w:rPr>
              <w:t xml:space="preserve">Границы обследования</w:t>
            </w:r>
          </w:p>
        </w:tc>
        <w:tc>
          <w:tcPr>
            <w:tcW w:w="5783" w:type="dxa"/>
            <w:vAlign w:val="center"/>
          </w:tcPr>
          <w:p>
            <w:pPr>
              <w:rPr>
                <w:rFonts w:eastAsia="Times New Roman"/>
              </w:rPr>
            </w:pPr>
            <w:r>
              <w:rPr>
                <w:rFonts w:eastAsia="Times New Roman"/>
              </w:rPr>
              <w:t xml:space="preserve">12.1. Строительные конструкции здания;</w:t>
            </w:r>
          </w:p>
          <w:p>
            <w:pPr>
              <w:rPr>
                <w:rFonts w:eastAsia="Times New Roman"/>
              </w:rPr>
            </w:pPr>
            <w:r>
              <w:rPr>
                <w:rFonts w:eastAsia="Times New Roman"/>
              </w:rPr>
              <w:t xml:space="preserve">12.2. Внутренние инженерные системы </w:t>
            </w:r>
          </w:p>
        </w:tc>
      </w:tr>
      <w:tr>
        <w:trPr>
          <w:trHeight w:val="433"/>
        </w:trPr>
        <w:tc>
          <w:tcPr>
            <w:tcW w:w="567" w:type="dxa"/>
            <w:vAlign w:val="center"/>
          </w:tcPr>
          <w:p>
            <w:pPr>
              <w:numPr>
                <w:numId w:val="2"/>
                <w:ilvl w:val="0"/>
              </w:numPr>
              <w:spacing w:after="200"/>
              <w:rPr>
                <w:lang w:eastAsia="en-US"/>
              </w:rPr>
            </w:pPr>
          </w:p>
        </w:tc>
        <w:tc>
          <w:tcPr>
            <w:tcW w:w="4140" w:type="dxa"/>
            <w:vAlign w:val="center"/>
          </w:tcPr>
          <w:p>
            <w:pPr>
              <w:jc w:val="both"/>
              <w:rPr>
                <w:rFonts w:eastAsia="Times New Roman"/>
                <w:color w:val="000000"/>
              </w:rPr>
            </w:pPr>
            <w:r>
              <w:rPr>
                <w:rFonts w:eastAsia="Times New Roman"/>
                <w:color w:val="000000"/>
              </w:rPr>
              <w:t xml:space="preserve">Состав работ по обследованию жилых помещений </w:t>
            </w:r>
          </w:p>
          <w:p>
            <w:pPr>
              <w:jc w:val="both"/>
              <w:rPr>
                <w:rFonts w:eastAsia="Times New Roman"/>
                <w:color w:val="000000"/>
              </w:rPr>
            </w:pPr>
          </w:p>
        </w:tc>
        <w:tc>
          <w:tcPr>
            <w:tcW w:w="5783" w:type="dxa"/>
            <w:vAlign w:val="center"/>
          </w:tcPr>
          <w:p>
            <w:pPr>
              <w:ind w:left="720"/>
              <w:jc w:val="both"/>
              <w:rPr>
                <w:rFonts w:eastAsia="Times New Roman"/>
              </w:rPr>
            </w:pPr>
            <w:r>
              <w:rPr>
                <w:rFonts w:eastAsia="Times New Roman"/>
              </w:rPr>
              <w:t xml:space="preserve">13.1 Изучение архивной и проектной документации, предоставленной Заказчиком.</w:t>
            </w:r>
          </w:p>
          <w:p>
            <w:pPr>
              <w:ind w:left="720"/>
              <w:jc w:val="both"/>
              <w:rPr>
                <w:rFonts w:eastAsia="Times New Roman"/>
              </w:rPr>
            </w:pPr>
            <w:r>
              <w:rPr>
                <w:rFonts w:eastAsia="Times New Roman"/>
              </w:rPr>
              <w:t xml:space="preserve">13.2 Согласование с Заказчиком допуска на объект, расположения мест шурфования.</w:t>
            </w:r>
          </w:p>
          <w:p>
            <w:pPr>
              <w:ind w:left="720"/>
              <w:jc w:val="both"/>
              <w:rPr>
                <w:rFonts w:eastAsia="Times New Roman"/>
              </w:rPr>
            </w:pPr>
            <w:r>
              <w:rPr>
                <w:rFonts w:eastAsia="Times New Roman"/>
              </w:rPr>
              <w:t xml:space="preserve">13.3 Визуальное освидетельствование конструкций здания, с целью определения геометрических размеров конструкций и их сечений в натуральном виде.</w:t>
            </w:r>
          </w:p>
          <w:p>
            <w:pPr>
              <w:ind w:left="720"/>
              <w:jc w:val="both"/>
              <w:rPr>
                <w:rFonts w:eastAsia="Times New Roman"/>
              </w:rPr>
            </w:pPr>
            <w:r>
              <w:rPr>
                <w:rFonts w:eastAsia="Times New Roman"/>
              </w:rPr>
              <w:t xml:space="preserve">13.4 Анализ проектной, исполнительной документации (при предоставлении Заказчиком).</w:t>
            </w:r>
          </w:p>
          <w:p>
            <w:pPr>
              <w:numPr>
                <w:numId w:val="6"/>
                <w:ilvl w:val="1"/>
              </w:numPr>
              <w:jc w:val="both"/>
              <w:rPr>
                <w:rFonts w:eastAsia="Times New Roman"/>
              </w:rPr>
            </w:pPr>
            <w:r>
              <w:rPr>
                <w:rFonts w:eastAsia="Times New Roman"/>
              </w:rPr>
              <w:t xml:space="preserve">Предварительная оценка технического состояния строительных конструкций и внутренних инженерных сетей (в границах обследования), с определением наиболее поврежденных мест.</w:t>
            </w:r>
          </w:p>
          <w:p>
            <w:pPr>
              <w:numPr>
                <w:numId w:val="6"/>
                <w:ilvl w:val="1"/>
              </w:numPr>
              <w:jc w:val="both"/>
              <w:rPr>
                <w:rFonts w:eastAsia="Times New Roman"/>
              </w:rPr>
            </w:pPr>
            <w:r>
              <w:rPr>
                <w:rFonts w:eastAsia="Times New Roman"/>
              </w:rPr>
              <w:t xml:space="preserve">Выявление дефектов, повреждений, неисправностей, выявление причин образования деформаций.</w:t>
            </w:r>
          </w:p>
          <w:p>
            <w:pPr>
              <w:numPr>
                <w:numId w:val="6"/>
                <w:ilvl w:val="1"/>
              </w:numPr>
              <w:jc w:val="both"/>
              <w:rPr>
                <w:rFonts w:eastAsia="Times New Roman"/>
              </w:rPr>
            </w:pPr>
            <w:r>
              <w:rPr>
                <w:rFonts w:eastAsia="Times New Roman"/>
              </w:rPr>
              <w:t xml:space="preserve">Установление аварийных участков (при наличии).</w:t>
            </w:r>
          </w:p>
          <w:p>
            <w:pPr>
              <w:numPr>
                <w:numId w:val="6"/>
                <w:ilvl w:val="1"/>
              </w:numPr>
              <w:jc w:val="both"/>
              <w:rPr>
                <w:rFonts w:eastAsia="Times New Roman"/>
              </w:rPr>
            </w:pPr>
            <w:r>
              <w:rPr>
                <w:rFonts w:eastAsia="Times New Roman"/>
              </w:rPr>
              <w:t xml:space="preserve">Составление схем и ведомостей дефектов и повреждений строительных конструкций и внутренних инженерных сетей (в границах обследования), с фотофиксацией.</w:t>
            </w:r>
          </w:p>
          <w:p>
            <w:pPr>
              <w:numPr>
                <w:numId w:val="6"/>
                <w:ilvl w:val="1"/>
              </w:numPr>
              <w:jc w:val="both"/>
              <w:rPr>
                <w:rFonts w:eastAsia="Times New Roman"/>
              </w:rPr>
            </w:pPr>
            <w:r>
              <w:rPr>
                <w:rFonts w:eastAsia="Times New Roman"/>
              </w:rPr>
              <w:t xml:space="preserve">Оценка степени опасности выявленных дефектов.</w:t>
            </w:r>
          </w:p>
          <w:p>
            <w:pPr>
              <w:numPr>
                <w:numId w:val="6"/>
                <w:ilvl w:val="1"/>
              </w:numPr>
              <w:contextualSpacing/>
              <w:rPr>
                <w:rFonts w:eastAsia="Times New Roman"/>
              </w:rPr>
            </w:pPr>
            <w:r>
              <w:rPr>
                <w:rFonts w:eastAsia="Times New Roman"/>
              </w:rPr>
              <w:t xml:space="preserve">Обмерные работы 1 категории  в составе: поэтажные планы, продольный разрез.</w:t>
            </w:r>
          </w:p>
          <w:p>
            <w:pPr>
              <w:numPr>
                <w:numId w:val="6"/>
                <w:ilvl w:val="1"/>
              </w:numPr>
              <w:jc w:val="both"/>
              <w:rPr>
                <w:rFonts w:eastAsia="Times New Roman"/>
              </w:rPr>
            </w:pPr>
            <w:r>
              <w:rPr>
                <w:rFonts w:eastAsia="Times New Roman"/>
              </w:rPr>
              <w:t xml:space="preserve">Шурфование вблизи фундамента  для уточнения параметров фундамента с фотофиксацией (2 шт). Определения уровня грунтовых вод (при их наличии в шурфах). Определение наличия вертикальной и горизонтальной гидроизоляции во вскрытых конструкциях фундамента. Места шурфования подлежат обратной засыпке, без восстановления слоев.</w:t>
            </w:r>
          </w:p>
          <w:p>
            <w:pPr>
              <w:numPr>
                <w:numId w:val="6"/>
                <w:ilvl w:val="1"/>
              </w:numPr>
              <w:jc w:val="both"/>
              <w:rPr>
                <w:rFonts w:eastAsia="Times New Roman"/>
              </w:rPr>
            </w:pPr>
            <w:r>
              <w:rPr>
                <w:rFonts w:eastAsia="Times New Roman"/>
              </w:rPr>
              <w:t xml:space="preserve">Определение влажности строительных конструкций  – 10 точек на здание.</w:t>
            </w:r>
          </w:p>
          <w:p>
            <w:pPr>
              <w:numPr>
                <w:numId w:val="6"/>
                <w:ilvl w:val="1"/>
              </w:numPr>
              <w:jc w:val="both"/>
              <w:rPr>
                <w:rFonts w:eastAsia="Times New Roman"/>
              </w:rPr>
            </w:pPr>
            <w:r>
              <w:rPr>
                <w:rFonts w:eastAsia="Times New Roman"/>
              </w:rPr>
              <w:t xml:space="preserve">Составление Технического отчета с выводами и рекомендациями, по результатам обследования.</w:t>
            </w:r>
          </w:p>
          <w:p>
            <w:pPr>
              <w:tabs>
                <w:tab w:val="left" w:pos="455"/>
              </w:tabs>
              <w:jc w:val="both"/>
              <w:rPr>
                <w:rFonts w:eastAsia="Times New Roman"/>
                <w:color w:val="000000"/>
              </w:rPr>
            </w:pPr>
          </w:p>
        </w:tc>
      </w:tr>
      <w:tr>
        <w:trPr>
          <w:trHeight w:val="433"/>
        </w:trPr>
        <w:tc>
          <w:tcPr>
            <w:tcW w:w="567" w:type="dxa"/>
            <w:vAlign w:val="center"/>
          </w:tcPr>
          <w:p>
            <w:pPr>
              <w:spacing w:after="200"/>
              <w:rPr>
                <w:lang w:eastAsia="en-US"/>
              </w:rPr>
            </w:pPr>
            <w:r>
              <w:rPr>
                <w:lang w:val="en-US" w:eastAsia="en-US"/>
              </w:rPr>
              <w:t xml:space="preserve">1</w:t>
            </w:r>
            <w:r>
              <w:rPr>
                <w:lang w:eastAsia="en-US"/>
              </w:rPr>
              <w:t xml:space="preserve">4.</w:t>
            </w:r>
          </w:p>
        </w:tc>
        <w:tc>
          <w:tcPr>
            <w:tcW w:w="4140" w:type="dxa"/>
            <w:vAlign w:val="center"/>
          </w:tcPr>
          <w:p>
            <w:pPr>
              <w:spacing w:after="200"/>
              <w:jc w:val="both"/>
              <w:rPr>
                <w:rFonts w:eastAsia="Times New Roman"/>
                <w:color w:val="000000"/>
              </w:rPr>
            </w:pPr>
            <w:r>
              <w:rPr>
                <w:rFonts w:eastAsia="Times New Roman"/>
                <w:color w:val="000000"/>
              </w:rPr>
              <w:t xml:space="preserve">Наличие технической документации:</w:t>
            </w:r>
          </w:p>
        </w:tc>
        <w:tc>
          <w:tcPr>
            <w:tcW w:w="5783" w:type="dxa"/>
            <w:vAlign w:val="center"/>
          </w:tcPr>
          <w:p>
            <w:pPr>
              <w:jc w:val="both"/>
              <w:rPr>
                <w:rFonts w:eastAsia="Times New Roman"/>
              </w:rPr>
            </w:pPr>
            <w:r>
              <w:rPr>
                <w:rFonts w:eastAsia="Times New Roman"/>
              </w:rPr>
              <w:t xml:space="preserve">Для выполнения работ Заказчик предоставляет: </w:t>
            </w:r>
          </w:p>
          <w:p>
            <w:pPr>
              <w:jc w:val="both"/>
              <w:rPr>
                <w:rFonts w:eastAsia="Times New Roman"/>
              </w:rPr>
            </w:pPr>
            <w:r>
              <w:rPr>
                <w:rFonts w:eastAsia="Times New Roman"/>
              </w:rPr>
              <w:t xml:space="preserve">- результаты предыдущих обследований (при наличии);</w:t>
            </w:r>
          </w:p>
          <w:p>
            <w:pPr>
              <w:jc w:val="both"/>
              <w:rPr>
                <w:rFonts w:eastAsia="Times New Roman"/>
              </w:rPr>
            </w:pPr>
            <w:r>
              <w:rPr>
                <w:rFonts w:eastAsia="Times New Roman"/>
              </w:rPr>
              <w:t xml:space="preserve">- технический паспорт здания с поэтажными планами (при наличии);</w:t>
            </w:r>
          </w:p>
          <w:p>
            <w:pPr>
              <w:jc w:val="both"/>
              <w:rPr>
                <w:rFonts w:eastAsia="Times New Roman"/>
              </w:rPr>
            </w:pPr>
            <w:r>
              <w:rPr>
                <w:rFonts w:eastAsia="Times New Roman"/>
              </w:rPr>
              <w:t xml:space="preserve">- акты и отчёты ранее проводимых обследований (при наличии);</w:t>
            </w:r>
          </w:p>
          <w:p>
            <w:pPr>
              <w:jc w:val="both"/>
              <w:rPr>
                <w:rFonts w:eastAsia="Times New Roman"/>
              </w:rPr>
            </w:pPr>
            <w:r>
              <w:rPr>
                <w:rFonts w:eastAsia="Times New Roman"/>
              </w:rPr>
              <w:t xml:space="preserve">- проектную документацию (при наличии);</w:t>
            </w:r>
          </w:p>
        </w:tc>
      </w:tr>
    </w:tbl>
    <w:p>
      <w:pPr>
        <w:rPr>
          <w:b/>
        </w:rPr>
      </w:pPr>
    </w:p>
    <w:p>
      <w:pPr>
        <w:jc w:val="center"/>
        <w:rPr>
          <w:b/>
        </w:rPr>
      </w:pPr>
    </w:p>
    <w:p>
      <w:pPr>
        <w:jc w:val="center"/>
        <w:rPr>
          <w:b/>
        </w:rPr>
      </w:pPr>
    </w:p>
    <w:p>
      <w:pPr>
        <w:jc w:val="center"/>
        <w:rPr>
          <w:b/>
        </w:rPr>
      </w:pPr>
    </w:p>
    <w:p>
      <w:r>
        <w:t xml:space="preserve">Заказчик</w:t>
      </w:r>
      <w:r>
        <w:tab/>
      </w:r>
      <w:r>
        <w:tab/>
      </w:r>
      <w:r>
        <w:tab/>
      </w:r>
      <w:r>
        <w:tab/>
      </w:r>
      <w:r>
        <w:tab/>
      </w:r>
      <w:r>
        <w:tab/>
      </w:r>
      <w:r>
        <w:tab/>
        <w:t xml:space="preserve">Исполнитель</w:t>
      </w:r>
    </w:p>
    <w:p>
      <w:pPr>
        <w:jc w:val="both"/>
        <w:rPr>
          <w:rFonts w:eastAsia="Times New Roman"/>
        </w:rPr>
      </w:pPr>
      <w:r>
        <w:t xml:space="preserve">_________________ / </w:t>
      </w:r>
      <w:r>
        <w:t xml:space="preserve">О.Н. Конюшевская</w:t>
      </w:r>
      <w:r>
        <w:t xml:space="preserve">                        _________________ /</w:t>
      </w:r>
    </w:p>
    <w:p>
      <w:pPr>
        <w:jc w:val="center"/>
        <w:rPr>
          <w:b/>
        </w:rPr>
      </w:pPr>
    </w:p>
    <w:p>
      <w:pPr>
        <w:ind w:left="5670" w:firstLine="702"/>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p>
    <w:p>
      <w:pPr>
        <w:ind w:firstLine="5670"/>
        <w:rPr>
          <w:rFonts w:eastAsia="Times New Roman"/>
        </w:rPr>
      </w:pPr>
      <w:r>
        <w:rPr>
          <w:rFonts w:eastAsia="Times New Roman"/>
        </w:rPr>
        <w:t xml:space="preserve">Приложение № 2 </w:t>
      </w:r>
    </w:p>
    <w:p>
      <w:pPr>
        <w:ind w:left="5670"/>
        <w:rPr>
          <w:rFonts w:eastAsia="Times New Roman"/>
        </w:rPr>
      </w:pPr>
      <w:r>
        <w:rPr>
          <w:rFonts w:eastAsia="Times New Roman"/>
        </w:rPr>
        <w:t xml:space="preserve">к муниципальному контракту №_________________________</w:t>
      </w:r>
    </w:p>
    <w:p>
      <w:pPr>
        <w:ind w:left="5670"/>
        <w:rPr>
          <w:rFonts w:eastAsia="Times New Roman"/>
        </w:rPr>
      </w:pPr>
      <w:r>
        <w:rPr>
          <w:rFonts w:eastAsia="Times New Roman"/>
        </w:rPr>
        <w:t xml:space="preserve">от «___» ______________ 20__г. </w:t>
      </w:r>
    </w:p>
    <w:p>
      <w:pPr>
        <w:jc w:val="both"/>
        <w:rPr>
          <w:rFonts w:eastAsia="Times New Roman"/>
        </w:rPr>
      </w:pPr>
    </w:p>
    <w:p>
      <w:pPr>
        <w:jc w:val="both"/>
        <w:rPr>
          <w:rFonts w:eastAsia="Times New Roman"/>
        </w:rPr>
      </w:pPr>
    </w:p>
    <w:p>
      <w:pPr>
        <w:jc w:val="center"/>
        <w:rPr>
          <w:rFonts w:eastAsia="Times New Roman"/>
          <w:b/>
        </w:rPr>
      </w:pPr>
      <w:r>
        <w:rPr>
          <w:rFonts w:eastAsia="Times New Roman"/>
          <w:b/>
        </w:rPr>
        <w:t xml:space="preserve">Спецификация</w:t>
      </w:r>
    </w:p>
    <w:p>
      <w:pPr>
        <w:jc w:val="center"/>
        <w:rPr>
          <w:rFonts w:eastAsia="Times New Roman"/>
          <w:b/>
        </w:rPr>
      </w:pPr>
    </w:p>
    <w:p>
      <w:pPr>
        <w:rPr>
          <w:rFonts w:eastAsia="Times New Roman"/>
        </w:rPr>
      </w:pPr>
    </w:p>
    <w:tbl>
      <w:tblPr>
        <w:tblpPr w:horzAnchor="text" w:tblpXSpec="center" w:vertAnchor="text" w:tblpY="1" w:leftFromText="180" w:rightFromText="180"/>
        <w:tblW w:w="96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676"/>
        <w:gridCol w:w="3258"/>
        <w:gridCol w:w="1275"/>
        <w:gridCol w:w="1274"/>
        <w:gridCol w:w="1416"/>
        <w:gridCol w:w="1701"/>
      </w:tblGrid>
      <w:tr>
        <w:trPr>
          <w:trHeight w:val="759"/>
        </w:trPr>
        <w:tc>
          <w:tcPr>
            <w:tcW w:w="675" w:type="dxa"/>
            <w:tcBorders>
              <w:top w:val="single" w:color="000000" w:sz="4" w:space="0"/>
              <w:left w:val="single" w:color="000000" w:sz="4" w:space="0"/>
              <w:bottom w:val="single" w:color="000000" w:sz="4" w:space="0"/>
              <w:right w:val="single" w:color="000000" w:sz="4" w:space="0"/>
            </w:tcBorders>
          </w:tcPr>
          <w:p>
            <w:pPr>
              <w:jc w:val="center"/>
              <w:rPr>
                <w:rFonts w:eastAsia="Times New Roman"/>
                <w:b/>
              </w:rPr>
            </w:pPr>
            <w:r>
              <w:rPr>
                <w:rFonts w:eastAsia="Times New Roman"/>
                <w:b/>
              </w:rPr>
              <w:t xml:space="preserve">№</w:t>
            </w:r>
          </w:p>
          <w:p>
            <w:pPr>
              <w:jc w:val="center"/>
              <w:rPr>
                <w:rFonts w:eastAsia="Times New Roman"/>
                <w:b/>
              </w:rPr>
            </w:pPr>
            <w:r>
              <w:rPr>
                <w:rFonts w:eastAsia="Times New Roman"/>
                <w:b/>
              </w:rPr>
              <w:t xml:space="preserve">п/п</w:t>
            </w:r>
          </w:p>
        </w:tc>
        <w:tc>
          <w:tcPr>
            <w:tcW w:w="3260" w:type="dxa"/>
            <w:tcBorders>
              <w:top w:val="single" w:color="000000" w:sz="4" w:space="0"/>
              <w:left w:val="single" w:color="000000" w:sz="4" w:space="0"/>
              <w:bottom w:val="single" w:color="000000" w:sz="4" w:space="0"/>
              <w:right w:val="single" w:color="000000" w:sz="4" w:space="0"/>
            </w:tcBorders>
            <w:vAlign w:val="center"/>
          </w:tcPr>
          <w:p>
            <w:pPr>
              <w:jc w:val="center"/>
              <w:rPr>
                <w:rFonts w:eastAsia="Times New Roman"/>
                <w:b/>
                <w:lang w:val="en-US"/>
              </w:rPr>
            </w:pPr>
            <w:r>
              <w:rPr>
                <w:rFonts w:eastAsia="Times New Roman"/>
                <w:b/>
              </w:rPr>
              <w:t xml:space="preserve">Наименование работ,</w:t>
            </w:r>
            <w:r>
              <w:t xml:space="preserve"> </w:t>
            </w:r>
            <w:r>
              <w:rPr>
                <w:rFonts w:eastAsia="Times New Roman"/>
                <w:b/>
              </w:rPr>
              <w:t xml:space="preserve">ОКПД2 / КТРУ</w:t>
            </w:r>
            <w:r>
              <w:rPr>
                <w:rFonts w:eastAsia="Times New Roman"/>
                <w:b/>
                <w:color w:val="ff0000"/>
              </w:rPr>
              <w:t xml:space="preserve">*</w:t>
            </w: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Fonts w:eastAsia="Times New Roman"/>
                <w:b/>
                <w:lang w:val="en-US"/>
              </w:rPr>
            </w:pPr>
            <w:r>
              <w:rPr>
                <w:rFonts w:eastAsia="Times New Roman"/>
                <w:b/>
                <w:lang w:val="en-US"/>
              </w:rPr>
              <w:t xml:space="preserve">Ед. изм.</w:t>
            </w:r>
          </w:p>
        </w:tc>
        <w:tc>
          <w:tcPr>
            <w:tcW w:w="1275" w:type="dxa"/>
            <w:tcBorders>
              <w:top w:val="single" w:color="000000" w:sz="4" w:space="0"/>
              <w:left w:val="single" w:color="000000" w:sz="4" w:space="0"/>
              <w:bottom w:val="single" w:color="000000" w:sz="4" w:space="0"/>
              <w:right w:val="single" w:color="000000" w:sz="4" w:space="0"/>
            </w:tcBorders>
            <w:vAlign w:val="center"/>
          </w:tcPr>
          <w:p>
            <w:pPr>
              <w:jc w:val="center"/>
              <w:rPr>
                <w:rFonts w:eastAsia="Times New Roman"/>
                <w:b/>
                <w:lang w:val="en-US"/>
              </w:rPr>
            </w:pPr>
            <w:r>
              <w:rPr>
                <w:rFonts w:eastAsia="Times New Roman"/>
                <w:b/>
              </w:rPr>
              <w:t xml:space="preserve">Кол-во</w:t>
            </w:r>
          </w:p>
        </w:tc>
        <w:tc>
          <w:tcPr>
            <w:tcW w:w="1417" w:type="dxa"/>
            <w:tcBorders>
              <w:top w:val="single" w:color="000000" w:sz="4" w:space="0"/>
              <w:left w:val="single" w:color="000000" w:sz="4" w:space="0"/>
              <w:bottom w:val="single" w:color="000000" w:sz="4" w:space="0"/>
              <w:right w:val="single" w:color="000000" w:sz="4" w:space="0"/>
            </w:tcBorders>
            <w:vAlign w:val="center"/>
          </w:tcPr>
          <w:p>
            <w:pPr>
              <w:jc w:val="center"/>
              <w:rPr>
                <w:rFonts w:eastAsia="Times New Roman"/>
                <w:b/>
              </w:rPr>
            </w:pPr>
            <w:r>
              <w:rPr>
                <w:rFonts w:eastAsia="Times New Roman"/>
                <w:b/>
              </w:rPr>
              <w:t xml:space="preserve">Цена </w:t>
            </w:r>
          </w:p>
          <w:p>
            <w:pPr>
              <w:jc w:val="center"/>
              <w:rPr>
                <w:rFonts w:eastAsia="Times New Roman"/>
                <w:b/>
              </w:rPr>
            </w:pPr>
            <w:r>
              <w:rPr>
                <w:rFonts w:eastAsia="Times New Roman"/>
                <w:b/>
              </w:rPr>
              <w:t xml:space="preserve">без НДС</w:t>
            </w:r>
          </w:p>
          <w:p>
            <w:pPr>
              <w:jc w:val="center"/>
              <w:rPr>
                <w:rFonts w:eastAsia="Times New Roman"/>
                <w:b/>
              </w:rPr>
            </w:pPr>
            <w:r>
              <w:rPr>
                <w:rFonts w:eastAsia="Times New Roman"/>
                <w:b/>
              </w:rPr>
              <w:t xml:space="preserve">(руб.)</w:t>
            </w:r>
          </w:p>
        </w:tc>
        <w:tc>
          <w:tcPr>
            <w:tcW w:w="1702" w:type="dxa"/>
            <w:tcBorders>
              <w:top w:val="single" w:color="000000" w:sz="4" w:space="0"/>
              <w:left w:val="single" w:color="000000" w:sz="4" w:space="0"/>
              <w:bottom w:val="single" w:color="000000" w:sz="4" w:space="0"/>
              <w:right w:val="single" w:color="000000" w:sz="4" w:space="0"/>
            </w:tcBorders>
            <w:vAlign w:val="center"/>
          </w:tcPr>
          <w:p>
            <w:pPr>
              <w:jc w:val="center"/>
              <w:rPr>
                <w:rFonts w:eastAsia="Times New Roman"/>
                <w:b/>
              </w:rPr>
            </w:pPr>
            <w:r>
              <w:rPr>
                <w:rFonts w:eastAsia="Times New Roman"/>
                <w:b/>
              </w:rPr>
              <w:t xml:space="preserve">Сумма             </w:t>
            </w:r>
          </w:p>
          <w:p>
            <w:pPr>
              <w:jc w:val="center"/>
              <w:rPr>
                <w:rFonts w:eastAsia="Times New Roman"/>
                <w:b/>
              </w:rPr>
            </w:pPr>
            <w:r>
              <w:rPr>
                <w:rFonts w:eastAsia="Times New Roman"/>
                <w:b/>
              </w:rPr>
              <w:t xml:space="preserve">без НДС</w:t>
            </w:r>
          </w:p>
          <w:p>
            <w:pPr>
              <w:jc w:val="center"/>
              <w:rPr>
                <w:rFonts w:eastAsia="Times New Roman"/>
                <w:b/>
              </w:rPr>
            </w:pPr>
            <w:r>
              <w:rPr>
                <w:rFonts w:eastAsia="Times New Roman"/>
                <w:b/>
              </w:rPr>
              <w:t xml:space="preserve">(руб.)</w:t>
            </w:r>
          </w:p>
        </w:tc>
      </w:tr>
      <w:tr>
        <w:tc>
          <w:tcPr>
            <w:tcW w:w="675" w:type="dxa"/>
            <w:tcBorders>
              <w:top w:val="single" w:color="000000" w:sz="4" w:space="0"/>
              <w:left w:val="single" w:color="000000" w:sz="4" w:space="0"/>
              <w:bottom w:val="single" w:color="000000" w:sz="4" w:space="0"/>
              <w:right w:val="single" w:color="000000" w:sz="4" w:space="0"/>
            </w:tcBorders>
          </w:tcPr>
          <w:p>
            <w:pPr>
              <w:jc w:val="center"/>
              <w:rPr>
                <w:rFonts w:eastAsia="Times New Roman"/>
                <w:b/>
                <w:bCs/>
                <w:i/>
                <w:iCs/>
                <w:sz w:val="22"/>
                <w:szCs w:val="22"/>
              </w:rPr>
            </w:pPr>
            <w:r>
              <w:rPr>
                <w:rFonts w:eastAsia="Times New Roman"/>
                <w:b/>
                <w:bCs/>
                <w:i/>
                <w:iCs/>
                <w:sz w:val="22"/>
                <w:szCs w:val="22"/>
              </w:rPr>
              <w:t xml:space="preserve">1</w:t>
            </w:r>
          </w:p>
        </w:tc>
        <w:tc>
          <w:tcPr>
            <w:tcW w:w="3260" w:type="dxa"/>
            <w:tcBorders>
              <w:top w:val="single" w:color="000000" w:sz="4" w:space="0"/>
              <w:left w:val="single" w:color="000000" w:sz="4" w:space="0"/>
              <w:bottom w:val="single" w:color="000000" w:sz="4" w:space="0"/>
              <w:right w:val="single" w:color="000000" w:sz="4" w:space="0"/>
            </w:tcBorders>
            <w:vAlign w:val="bottom"/>
          </w:tcPr>
          <w:p>
            <w:pPr>
              <w:jc w:val="center"/>
              <w:rPr>
                <w:rFonts w:eastAsia="Times New Roman"/>
                <w:b/>
                <w:bCs/>
                <w:i/>
                <w:iCs/>
                <w:sz w:val="22"/>
                <w:szCs w:val="22"/>
              </w:rPr>
            </w:pPr>
            <w:r>
              <w:rPr>
                <w:rFonts w:eastAsia="Times New Roman"/>
                <w:b/>
                <w:bCs/>
                <w:i/>
                <w:iCs/>
                <w:sz w:val="22"/>
                <w:szCs w:val="22"/>
              </w:rPr>
              <w:t xml:space="preserve">2</w:t>
            </w:r>
          </w:p>
        </w:tc>
        <w:tc>
          <w:tcPr>
            <w:tcW w:w="1276" w:type="dxa"/>
            <w:tcBorders>
              <w:top w:val="single" w:color="000000" w:sz="4" w:space="0"/>
              <w:left w:val="single" w:color="000000" w:sz="4" w:space="0"/>
              <w:bottom w:val="single" w:color="000000" w:sz="4" w:space="0"/>
              <w:right w:val="single" w:color="000000" w:sz="4" w:space="0"/>
            </w:tcBorders>
          </w:tcPr>
          <w:p>
            <w:pPr>
              <w:jc w:val="center"/>
              <w:rPr>
                <w:rFonts w:eastAsia="Times New Roman"/>
                <w:b/>
                <w:bCs/>
                <w:i/>
                <w:iCs/>
                <w:sz w:val="22"/>
                <w:szCs w:val="22"/>
              </w:rPr>
            </w:pPr>
            <w:r>
              <w:rPr>
                <w:rFonts w:eastAsia="Times New Roman"/>
                <w:b/>
                <w:bCs/>
                <w:i/>
                <w:iCs/>
                <w:sz w:val="22"/>
                <w:szCs w:val="22"/>
              </w:rPr>
              <w:t xml:space="preserve">3</w:t>
            </w:r>
          </w:p>
        </w:tc>
        <w:tc>
          <w:tcPr>
            <w:tcW w:w="1275" w:type="dxa"/>
            <w:tcBorders>
              <w:top w:val="single" w:color="000000" w:sz="4" w:space="0"/>
              <w:left w:val="single" w:color="000000" w:sz="4" w:space="0"/>
              <w:bottom w:val="single" w:color="000000" w:sz="4" w:space="0"/>
              <w:right w:val="single" w:color="000000" w:sz="4" w:space="0"/>
            </w:tcBorders>
          </w:tcPr>
          <w:p>
            <w:pPr>
              <w:jc w:val="center"/>
              <w:rPr>
                <w:rFonts w:eastAsia="Times New Roman"/>
                <w:b/>
                <w:bCs/>
                <w:i/>
                <w:iCs/>
                <w:sz w:val="22"/>
                <w:szCs w:val="22"/>
              </w:rPr>
            </w:pPr>
            <w:r>
              <w:rPr>
                <w:rFonts w:eastAsia="Times New Roman"/>
                <w:b/>
                <w:bCs/>
                <w:i/>
                <w:iCs/>
                <w:sz w:val="22"/>
                <w:szCs w:val="22"/>
              </w:rPr>
              <w:t xml:space="preserve">4</w:t>
            </w:r>
          </w:p>
        </w:tc>
        <w:tc>
          <w:tcPr>
            <w:tcW w:w="1417" w:type="dxa"/>
            <w:tcBorders>
              <w:top w:val="single" w:color="000000" w:sz="4" w:space="0"/>
              <w:left w:val="single" w:color="000000" w:sz="4" w:space="0"/>
              <w:bottom w:val="single" w:color="000000" w:sz="4" w:space="0"/>
              <w:right w:val="single" w:color="000000" w:sz="4" w:space="0"/>
            </w:tcBorders>
          </w:tcPr>
          <w:p>
            <w:pPr>
              <w:jc w:val="center"/>
              <w:rPr>
                <w:rFonts w:eastAsia="Times New Roman"/>
                <w:b/>
                <w:bCs/>
                <w:i/>
                <w:iCs/>
                <w:sz w:val="22"/>
                <w:szCs w:val="22"/>
              </w:rPr>
            </w:pPr>
            <w:r>
              <w:rPr>
                <w:rFonts w:eastAsia="Times New Roman"/>
                <w:b/>
                <w:bCs/>
                <w:i/>
                <w:iCs/>
                <w:sz w:val="22"/>
                <w:szCs w:val="22"/>
              </w:rPr>
              <w:t xml:space="preserve">5</w:t>
            </w:r>
          </w:p>
        </w:tc>
        <w:tc>
          <w:tcPr>
            <w:tcW w:w="1702" w:type="dxa"/>
            <w:tcBorders>
              <w:top w:val="single" w:color="000000" w:sz="4" w:space="0"/>
              <w:left w:val="single" w:color="000000" w:sz="4" w:space="0"/>
              <w:bottom w:val="single" w:color="000000" w:sz="4" w:space="0"/>
              <w:right w:val="single" w:color="000000" w:sz="4" w:space="0"/>
            </w:tcBorders>
          </w:tcPr>
          <w:p>
            <w:pPr>
              <w:jc w:val="center"/>
              <w:rPr>
                <w:rFonts w:eastAsia="Times New Roman"/>
                <w:b/>
                <w:bCs/>
                <w:i/>
                <w:iCs/>
                <w:sz w:val="22"/>
                <w:szCs w:val="22"/>
              </w:rPr>
            </w:pPr>
            <w:r>
              <w:rPr>
                <w:rFonts w:eastAsia="Times New Roman"/>
                <w:b/>
                <w:bCs/>
                <w:i/>
                <w:iCs/>
                <w:sz w:val="22"/>
                <w:szCs w:val="22"/>
              </w:rPr>
              <w:t xml:space="preserve">6</w:t>
            </w:r>
          </w:p>
        </w:tc>
      </w:tr>
      <w:tr>
        <w:tc>
          <w:tcPr>
            <w:tcW w:w="675" w:type="dxa"/>
            <w:tcBorders>
              <w:top w:val="single" w:color="000000" w:sz="4" w:space="0"/>
              <w:left w:val="single" w:color="000000" w:sz="4" w:space="0"/>
              <w:bottom w:val="single" w:color="000000" w:sz="4" w:space="0"/>
              <w:right w:val="single" w:color="000000" w:sz="4" w:space="0"/>
            </w:tcBorders>
          </w:tcPr>
          <w:p>
            <w:r>
              <w:t xml:space="preserve">1.</w:t>
            </w:r>
          </w:p>
        </w:tc>
        <w:tc>
          <w:tcPr>
            <w:tcW w:w="3260" w:type="dxa"/>
            <w:tcBorders>
              <w:top w:val="single" w:color="000000" w:sz="4" w:space="0"/>
              <w:left w:val="single" w:color="000000" w:sz="4" w:space="0"/>
              <w:bottom w:val="single" w:color="000000" w:sz="4" w:space="0"/>
              <w:right w:val="single" w:color="000000" w:sz="4" w:space="0"/>
            </w:tcBorders>
          </w:tcPr>
          <w:p>
            <w:pPr>
              <w:pStyle w:val="a4"/>
            </w:pPr>
            <w:r>
              <w:t xml:space="preserve">71.20.19.190 – Услуги по техническим испытаниям и анализу прочие, не включенные в другие группировки</w:t>
            </w:r>
          </w:p>
          <w:p/>
          <w:p/>
        </w:tc>
        <w:tc>
          <w:tcPr>
            <w:tcW w:w="1276" w:type="dxa"/>
            <w:tcBorders>
              <w:top w:val="single" w:color="000000" w:sz="4" w:space="0"/>
              <w:left w:val="single" w:color="000000" w:sz="4" w:space="0"/>
              <w:bottom w:val="single" w:color="000000" w:sz="4" w:space="0"/>
              <w:right w:val="single" w:color="000000" w:sz="4" w:space="0"/>
            </w:tcBorders>
          </w:tcPr>
          <w:p>
            <w:r>
              <w:t xml:space="preserve">усл.</w:t>
            </w:r>
          </w:p>
        </w:tc>
        <w:tc>
          <w:tcPr>
            <w:tcW w:w="1275" w:type="dxa"/>
            <w:tcBorders>
              <w:top w:val="single" w:color="000000" w:sz="4" w:space="0"/>
              <w:left w:val="single" w:color="000000" w:sz="4" w:space="0"/>
              <w:bottom w:val="single" w:color="000000" w:sz="4" w:space="0"/>
              <w:right w:val="single" w:color="000000" w:sz="4" w:space="0"/>
            </w:tcBorders>
          </w:tcPr>
          <w:p>
            <w:r>
              <w:t xml:space="preserve">1</w:t>
            </w:r>
          </w:p>
        </w:tc>
        <w:tc>
          <w:tcPr>
            <w:tcW w:w="1417" w:type="dxa"/>
            <w:tcBorders>
              <w:top w:val="single" w:color="000000" w:sz="4" w:space="0"/>
              <w:left w:val="single" w:color="000000" w:sz="4" w:space="0"/>
              <w:bottom w:val="single" w:color="000000" w:sz="4" w:space="0"/>
              <w:right w:val="single" w:color="000000" w:sz="4" w:space="0"/>
            </w:tcBorders>
          </w:tcPr>
          <w:p>
            <w:pPr>
              <w:jc w:val="center"/>
              <w:rPr>
                <w:rFonts w:eastAsia="Times New Roman"/>
              </w:rPr>
            </w:pPr>
          </w:p>
        </w:tc>
        <w:tc>
          <w:tcPr>
            <w:tcW w:w="1702" w:type="dxa"/>
            <w:tcBorders>
              <w:top w:val="single" w:color="000000" w:sz="4" w:space="0"/>
              <w:left w:val="single" w:color="000000" w:sz="4" w:space="0"/>
              <w:bottom w:val="single" w:color="000000" w:sz="4" w:space="0"/>
              <w:right w:val="single" w:color="000000" w:sz="4" w:space="0"/>
            </w:tcBorders>
          </w:tcPr>
          <w:p>
            <w:pPr>
              <w:rPr>
                <w:rFonts w:eastAsia="Times New Roman"/>
              </w:rPr>
            </w:pPr>
          </w:p>
        </w:tc>
      </w:tr>
      <w:tr>
        <w:tc>
          <w:tcPr>
            <w:tcW w:w="675" w:type="dxa"/>
            <w:tcBorders>
              <w:top w:val="single" w:color="000000" w:sz="4" w:space="0"/>
              <w:left w:val="single" w:color="000000" w:sz="4" w:space="0"/>
              <w:bottom w:val="single" w:color="000000" w:sz="4" w:space="0"/>
              <w:right w:val="single" w:color="000000" w:sz="4" w:space="0"/>
            </w:tcBorders>
          </w:tcPr>
          <w:p>
            <w:pPr>
              <w:jc w:val="both"/>
              <w:rPr>
                <w:rFonts w:eastAsia="Times New Roman"/>
              </w:rPr>
            </w:pPr>
          </w:p>
        </w:tc>
        <w:tc>
          <w:tcPr>
            <w:tcW w:w="3260" w:type="dxa"/>
            <w:tcBorders>
              <w:top w:val="single" w:color="000000" w:sz="4" w:space="0"/>
              <w:left w:val="single" w:color="000000" w:sz="4" w:space="0"/>
              <w:bottom w:val="single" w:color="000000" w:sz="4" w:space="0"/>
              <w:right w:val="single" w:color="000000" w:sz="4" w:space="0"/>
            </w:tcBorders>
          </w:tcPr>
          <w:p>
            <w:pPr>
              <w:jc w:val="both"/>
              <w:rPr>
                <w:rFonts w:eastAsia="Times New Roman"/>
              </w:rPr>
            </w:pPr>
            <w:r>
              <w:rPr>
                <w:rFonts w:eastAsia="Times New Roman"/>
              </w:rPr>
              <w:t xml:space="preserve">Итого:</w:t>
            </w:r>
          </w:p>
        </w:tc>
        <w:tc>
          <w:tcPr>
            <w:tcW w:w="1276" w:type="dxa"/>
            <w:tcBorders>
              <w:top w:val="single" w:color="000000" w:sz="4" w:space="0"/>
              <w:left w:val="single" w:color="000000" w:sz="4" w:space="0"/>
              <w:bottom w:val="single" w:color="000000" w:sz="4" w:space="0"/>
              <w:right w:val="single" w:color="000000" w:sz="4" w:space="0"/>
            </w:tcBorders>
          </w:tcPr>
          <w:p>
            <w:pPr>
              <w:jc w:val="both"/>
              <w:rPr>
                <w:rFonts w:eastAsia="Times New Roman"/>
              </w:rPr>
            </w:pPr>
          </w:p>
        </w:tc>
        <w:tc>
          <w:tcPr>
            <w:tcW w:w="1275" w:type="dxa"/>
            <w:tcBorders>
              <w:top w:val="single" w:color="000000" w:sz="4" w:space="0"/>
              <w:left w:val="single" w:color="000000" w:sz="4" w:space="0"/>
              <w:bottom w:val="single" w:color="000000" w:sz="4" w:space="0"/>
              <w:right w:val="single" w:color="000000" w:sz="4" w:space="0"/>
            </w:tcBorders>
          </w:tcPr>
          <w:p>
            <w:pPr>
              <w:jc w:val="both"/>
              <w:rPr>
                <w:rFonts w:eastAsia="Times New Roman"/>
              </w:rPr>
            </w:pPr>
          </w:p>
        </w:tc>
        <w:tc>
          <w:tcPr>
            <w:tcW w:w="1417" w:type="dxa"/>
            <w:tcBorders>
              <w:top w:val="single" w:color="000000" w:sz="4" w:space="0"/>
              <w:left w:val="single" w:color="000000" w:sz="4" w:space="0"/>
              <w:bottom w:val="single" w:color="000000" w:sz="4" w:space="0"/>
              <w:right w:val="single" w:color="000000" w:sz="4" w:space="0"/>
            </w:tcBorders>
          </w:tcPr>
          <w:p/>
        </w:tc>
        <w:tc>
          <w:tcPr>
            <w:tcW w:w="1702" w:type="dxa"/>
            <w:tcBorders>
              <w:top w:val="single" w:color="000000" w:sz="4" w:space="0"/>
              <w:left w:val="single" w:color="000000" w:sz="4" w:space="0"/>
              <w:bottom w:val="single" w:color="000000" w:sz="4" w:space="0"/>
              <w:right w:val="single" w:color="000000" w:sz="4" w:space="0"/>
            </w:tcBorders>
          </w:tcPr>
          <w:p/>
        </w:tc>
      </w:tr>
    </w:tbl>
    <w:p>
      <w:pPr>
        <w:jc w:val="both"/>
        <w:rPr>
          <w:rFonts w:eastAsia="Times New Roman"/>
        </w:rPr>
      </w:pPr>
    </w:p>
    <w:p>
      <w:pPr>
        <w:jc w:val="center"/>
        <w:rPr>
          <w:rFonts w:eastAsia="Times New Roman"/>
          <w:b/>
        </w:rPr>
      </w:pPr>
    </w:p>
    <w:p>
      <w:pPr>
        <w:jc w:val="center"/>
        <w:rPr>
          <w:rFonts w:eastAsia="Times New Roman"/>
          <w:b/>
        </w:rPr>
      </w:pPr>
    </w:p>
    <w:p>
      <w:pPr>
        <w:jc w:val="both"/>
        <w:rPr>
          <w:rFonts w:eastAsia="Times New Roman"/>
        </w:rPr>
      </w:pPr>
    </w:p>
    <w:p>
      <w:pPr>
        <w:jc w:val="both"/>
        <w:rPr>
          <w:rFonts w:eastAsia="Times New Roman"/>
        </w:rPr>
      </w:pPr>
    </w:p>
    <w:p>
      <w:pPr>
        <w:jc w:val="both"/>
      </w:pPr>
      <w:r>
        <w:rPr>
          <w:rFonts w:eastAsia="Times New Roman"/>
        </w:rPr>
        <w:t xml:space="preserve">ИТОГО:     </w:t>
      </w:r>
      <w:r>
        <w:t xml:space="preserve">Цена Контракта составляет ______________ рублей ________копеек (__________), в том числе НДС (____процентов) __________ рублей _____ копеек)/ НДС не облагается на основании  _______ Налогового кодекса Российской Федерации.</w:t>
      </w:r>
    </w:p>
    <w:p>
      <w:pPr>
        <w:jc w:val="both"/>
        <w:rPr>
          <w:rFonts w:eastAsia="Times New Roman"/>
        </w:rPr>
      </w:pPr>
    </w:p>
    <w:p>
      <w:pPr>
        <w:jc w:val="both"/>
        <w:rPr>
          <w:rFonts w:eastAsia="Times New Roman"/>
        </w:rPr>
      </w:pPr>
    </w:p>
    <w:p>
      <w:pPr>
        <w:jc w:val="both"/>
        <w:rPr>
          <w:rFonts w:eastAsia="Times New Roman"/>
        </w:rPr>
      </w:pPr>
    </w:p>
    <w:p>
      <w:r>
        <w:t xml:space="preserve">Заказчик</w:t>
      </w:r>
      <w:r>
        <w:tab/>
      </w:r>
      <w:r>
        <w:tab/>
      </w:r>
      <w:r>
        <w:tab/>
      </w:r>
      <w:r>
        <w:tab/>
      </w:r>
      <w:r>
        <w:tab/>
      </w:r>
      <w:r>
        <w:tab/>
      </w:r>
      <w:r>
        <w:tab/>
        <w:t xml:space="preserve">     Исполнитель</w:t>
      </w:r>
    </w:p>
    <w:p>
      <w:pPr>
        <w:jc w:val="both"/>
        <w:rPr>
          <w:rFonts w:eastAsia="Times New Roman"/>
        </w:rPr>
      </w:pPr>
      <w:r>
        <w:t xml:space="preserve">_________________ /</w:t>
      </w:r>
      <w:r>
        <w:t xml:space="preserve">О.Н. Конюшевская</w:t>
      </w:r>
      <w:r>
        <w:t xml:space="preserve">                 </w:t>
      </w:r>
      <w:r>
        <w:tab/>
        <w:t xml:space="preserve">              ______________ /</w:t>
      </w:r>
      <w:r>
        <w:rPr>
          <w:rFonts w:eastAsia="Times New Roman"/>
        </w:rPr>
        <w:t xml:space="preserve"> </w:t>
      </w:r>
    </w:p>
    <w:p>
      <w:pPr>
        <w:jc w:val="both"/>
        <w:rPr>
          <w:rFonts w:eastAsia="Times New Roman"/>
        </w:rPr>
      </w:pPr>
    </w:p>
    <w:tbl>
      <w:tblPr>
        <w:tblW w:w="9269" w:type="dxa"/>
        <w:jc w:val="center"/>
        <w:tblLayout w:type="fixed"/>
        <w:tblLook w:val="00A0" w:firstRow="1" w:lastRow="0" w:firstColumn="1" w:lastColumn="0" w:noHBand="0" w:noVBand="0"/>
      </w:tblPr>
      <w:tblGrid>
        <w:gridCol w:w="4729"/>
        <w:gridCol w:w="4540"/>
      </w:tblGrid>
      <w:tr>
        <w:trPr>
          <w:jc w:val="center"/>
        </w:trPr>
        <w:tc>
          <w:tcPr>
            <w:tcW w:w="4729" w:type="dxa"/>
            <w:tcBorders>
              <w:top w:val="none" w:color="000000" w:sz="0" w:space="0"/>
              <w:left w:val="none" w:color="000000" w:sz="0" w:space="0"/>
              <w:bottom w:val="none" w:color="000000" w:sz="0" w:space="0"/>
              <w:right w:val="none" w:color="000000" w:sz="0" w:space="0"/>
            </w:tcBorders>
          </w:tcPr>
          <w:p/>
        </w:tc>
        <w:tc>
          <w:tcPr>
            <w:tcW w:w="4540" w:type="dxa"/>
            <w:tcBorders>
              <w:top w:val="none" w:color="000000" w:sz="0" w:space="0"/>
              <w:left w:val="none" w:color="000000" w:sz="0" w:space="0"/>
              <w:bottom w:val="none" w:color="000000" w:sz="0" w:space="0"/>
              <w:right w:val="none" w:color="000000" w:sz="0" w:space="0"/>
            </w:tcBorders>
          </w:tcPr>
          <w:p>
            <w:pPr>
              <w:jc w:val="center"/>
            </w:pPr>
          </w:p>
        </w:tc>
      </w:tr>
    </w:tbl>
    <w:p>
      <w:pPr>
        <w:ind w:left="5670"/>
        <w:rPr>
          <w:rFonts w:eastAsia="Times New Roman"/>
        </w:rPr>
      </w:pPr>
    </w:p>
    <w:p>
      <w:pPr>
        <w:jc w:val="both"/>
        <w:rPr>
          <w:rFonts w:eastAsia="Times New Roman"/>
        </w:rPr>
      </w:pPr>
    </w:p>
    <w:tbl>
      <w:tblPr>
        <w:tblW w:w="9269" w:type="dxa"/>
        <w:jc w:val="center"/>
        <w:tblLayout w:type="fixed"/>
        <w:tblLook w:val="00A0" w:firstRow="1" w:lastRow="0" w:firstColumn="1" w:lastColumn="0" w:noHBand="0" w:noVBand="0"/>
      </w:tblPr>
      <w:tblGrid>
        <w:gridCol w:w="4729"/>
        <w:gridCol w:w="4540"/>
      </w:tblGrid>
      <w:tr>
        <w:trPr>
          <w:jc w:val="center"/>
        </w:trPr>
        <w:tc>
          <w:tcPr>
            <w:tcW w:w="4729" w:type="dxa"/>
            <w:tcBorders>
              <w:top w:val="none" w:color="000000" w:sz="0" w:space="0"/>
              <w:left w:val="none" w:color="000000" w:sz="0" w:space="0"/>
              <w:bottom w:val="none" w:color="000000" w:sz="0" w:space="0"/>
              <w:right w:val="none" w:color="000000" w:sz="0" w:space="0"/>
            </w:tcBorders>
          </w:tcPr>
          <w:p/>
        </w:tc>
        <w:tc>
          <w:tcPr>
            <w:tcW w:w="4540" w:type="dxa"/>
            <w:tcBorders>
              <w:top w:val="none" w:color="000000" w:sz="0" w:space="0"/>
              <w:left w:val="none" w:color="000000" w:sz="0" w:space="0"/>
              <w:bottom w:val="none" w:color="000000" w:sz="0" w:space="0"/>
              <w:right w:val="none" w:color="000000" w:sz="0" w:space="0"/>
            </w:tcBorders>
          </w:tcPr>
          <w:p>
            <w:pPr>
              <w:jc w:val="center"/>
            </w:pPr>
          </w:p>
        </w:tc>
      </w:tr>
    </w:tbl>
    <w:p>
      <w:pPr>
        <w:jc w:val="both"/>
        <w:rPr>
          <w:rFonts w:eastAsia="Times New Roman"/>
        </w:rPr>
      </w:pPr>
    </w:p>
    <w:p>
      <w:pPr>
        <w:jc w:val="both"/>
        <w:rPr>
          <w:rFonts w:eastAsia="Times New Roman"/>
        </w:rPr>
      </w:pPr>
    </w:p>
    <w:p>
      <w:pPr>
        <w:jc w:val="both"/>
        <w:rPr>
          <w:rFonts w:eastAsia="Times New Roman"/>
        </w:rPr>
      </w:pPr>
    </w:p>
    <w:sectPr>
      <w:headerReference w:type="default" r:id="rId9"/>
      <w:pgSz w:w="11906" w:h="16838"/>
      <w:pgMar w:top="1134" w:right="567" w:bottom="1134" w:left="1276" w:header="709" w:footer="709" w:gutter="0"/>
      <w:cols w:space="708"/>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6060505090204"/>
  </w:font>
  <w:font w:name="Tahoma">
    <w:panose1 w:val="020B060403050404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 w:id="1">
    <w:p>
      <w:pPr>
        <w:pStyle w:val="af2"/>
        <w:jc w:val="both"/>
      </w:pPr>
      <w:r>
        <w:rPr>
          <w:rStyle w:val="af4"/>
        </w:rPr>
        <w:footnoteRef/>
      </w:r>
      <w:r>
        <w:t xml:space="preserve"> </w:t>
      </w:r>
      <w:r>
        <w:rPr>
          <w:sz w:val="18"/>
          <w:szCs w:val="18"/>
        </w:rPr>
        <w:t xml:space="preserve">В случае применения Исполнителем упрощенной системы налогообложения, согласно статье 346.11 Налогового Кодекса Российской Федерации счет-фактура не предоставляется.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ab"/>
      <w:jc w:val="center"/>
    </w:pPr>
    <w:r>
      <w:fldChar w:fldCharType="begin"/>
    </w:r>
    <w:r>
      <w:instrText xml:space="preserve">PAGE   \* MERGEFORMAT</w:instrText>
    </w:r>
    <w:r>
      <w:fldChar w:fldCharType="separate"/>
    </w:r>
    <w:r>
      <w:t xml:space="preserve">9</w:t>
    </w:r>
    <w:r>
      <w:fldChar w:fldCharType="end"/>
    </w:r>
  </w:p>
  <w:p>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lvlText w:val="%1."/>
      <w:lvlJc w:val="left"/>
      <w:pPr>
        <w:ind w:left="360" w:hanging="360"/>
      </w:pPr>
    </w:lvl>
    <w:lvl w:ilvl="1">
      <w:start w:val="1"/>
      <w:numFmt w:val="decimal"/>
      <w:lvlText w:val="%1.%2"/>
      <w:lvlJc w:val="left"/>
      <w:pPr>
        <w:ind w:left="1210" w:hanging="360"/>
      </w:pPr>
      <w:rPr>
        <w:rFonts w:ascii="Times New Roman" w:hAnsi="Times New Roman" w:cs="Times New Roman"/>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multiLevelType w:val="hybridMultilevel"/>
    <w:lvl w:ilvl="0" w:tplc="FC3295BC">
      <w:start w:val="1"/>
      <w:numFmt w:val="decimal"/>
      <w:lvlText w:val="%1."/>
      <w:lvlJc w:val="left"/>
      <w:pPr>
        <w:ind w:left="1068" w:hanging="360"/>
      </w:pPr>
    </w:lvl>
    <w:lvl w:ilvl="1" w:tplc="D65E4C10">
      <w:start w:val="1"/>
      <w:numFmt w:val="lowerLetter"/>
      <w:lvlText w:val="%2."/>
      <w:lvlJc w:val="left"/>
      <w:pPr>
        <w:ind w:left="1788" w:hanging="360"/>
      </w:pPr>
    </w:lvl>
    <w:lvl w:ilvl="2" w:tplc="89642712">
      <w:start w:val="1"/>
      <w:numFmt w:val="lowerRoman"/>
      <w:lvlText w:val="%3."/>
      <w:lvlJc w:val="right"/>
      <w:pPr>
        <w:ind w:left="2508" w:hanging="180"/>
      </w:pPr>
    </w:lvl>
    <w:lvl w:ilvl="3" w:tplc="446E8E04">
      <w:start w:val="1"/>
      <w:numFmt w:val="decimal"/>
      <w:lvlText w:val="%4."/>
      <w:lvlJc w:val="left"/>
      <w:pPr>
        <w:ind w:left="3228" w:hanging="360"/>
      </w:pPr>
    </w:lvl>
    <w:lvl w:ilvl="4" w:tplc="BBBA42C2">
      <w:start w:val="1"/>
      <w:numFmt w:val="lowerLetter"/>
      <w:lvlText w:val="%5."/>
      <w:lvlJc w:val="left"/>
      <w:pPr>
        <w:ind w:left="3948" w:hanging="360"/>
      </w:pPr>
    </w:lvl>
    <w:lvl w:ilvl="5" w:tplc="68004402">
      <w:start w:val="1"/>
      <w:numFmt w:val="lowerRoman"/>
      <w:lvlText w:val="%6."/>
      <w:lvlJc w:val="right"/>
      <w:pPr>
        <w:ind w:left="4668" w:hanging="180"/>
      </w:pPr>
    </w:lvl>
    <w:lvl w:ilvl="6" w:tplc="4BC052B8">
      <w:start w:val="1"/>
      <w:numFmt w:val="decimal"/>
      <w:lvlText w:val="%7."/>
      <w:lvlJc w:val="left"/>
      <w:pPr>
        <w:ind w:left="5388" w:hanging="360"/>
      </w:pPr>
    </w:lvl>
    <w:lvl w:ilvl="7" w:tplc="AE988F62">
      <w:start w:val="1"/>
      <w:numFmt w:val="lowerLetter"/>
      <w:lvlText w:val="%8."/>
      <w:lvlJc w:val="left"/>
      <w:pPr>
        <w:ind w:left="6108" w:hanging="360"/>
      </w:pPr>
    </w:lvl>
    <w:lvl w:ilvl="8" w:tplc="4B58E0EA">
      <w:start w:val="1"/>
      <w:numFmt w:val="lowerRoman"/>
      <w:lvlText w:val="%9."/>
      <w:lvlJc w:val="right"/>
      <w:pPr>
        <w:ind w:left="6828" w:hanging="180"/>
      </w:pPr>
    </w:lvl>
  </w:abstractNum>
  <w:abstractNum w:abstractNumId="2">
    <w:multiLevelType w:val="hybridMultilevel"/>
    <w:lvl w:ilvl="0">
      <w:start w:val="16"/>
      <w:numFmt w:val="decimal"/>
      <w:lvlText w:val="%1"/>
      <w:lvlJc w:val="left"/>
      <w:pPr>
        <w:ind w:left="420" w:hanging="420"/>
      </w:pPr>
    </w:lvl>
    <w:lvl w:ilvl="1">
      <w:start w:val="3"/>
      <w:numFmt w:val="decimal"/>
      <w:lvlText w:val="%1.%2"/>
      <w:lvlJc w:val="left"/>
      <w:pPr>
        <w:ind w:left="1024" w:hanging="420"/>
      </w:pPr>
    </w:lvl>
    <w:lvl w:ilvl="2">
      <w:start w:val="1"/>
      <w:numFmt w:val="decimal"/>
      <w:lvlText w:val="%1.%2.%3"/>
      <w:lvlJc w:val="left"/>
      <w:pPr>
        <w:ind w:left="1928" w:hanging="720"/>
      </w:pPr>
    </w:lvl>
    <w:lvl w:ilvl="3">
      <w:start w:val="1"/>
      <w:numFmt w:val="decimal"/>
      <w:lvlText w:val="%1.%2.%3.%4"/>
      <w:lvlJc w:val="left"/>
      <w:pPr>
        <w:ind w:left="2532" w:hanging="720"/>
      </w:pPr>
    </w:lvl>
    <w:lvl w:ilvl="4">
      <w:start w:val="1"/>
      <w:numFmt w:val="decimal"/>
      <w:lvlText w:val="%1.%2.%3.%4.%5"/>
      <w:lvlJc w:val="left"/>
      <w:pPr>
        <w:ind w:left="3496" w:hanging="1080"/>
      </w:pPr>
    </w:lvl>
    <w:lvl w:ilvl="5">
      <w:start w:val="1"/>
      <w:numFmt w:val="decimal"/>
      <w:lvlText w:val="%1.%2.%3.%4.%5.%6"/>
      <w:lvlJc w:val="left"/>
      <w:pPr>
        <w:ind w:left="4100" w:hanging="1080"/>
      </w:pPr>
    </w:lvl>
    <w:lvl w:ilvl="6">
      <w:start w:val="1"/>
      <w:numFmt w:val="decimal"/>
      <w:lvlText w:val="%1.%2.%3.%4.%5.%6.%7"/>
      <w:lvlJc w:val="left"/>
      <w:pPr>
        <w:ind w:left="5064" w:hanging="1440"/>
      </w:pPr>
    </w:lvl>
    <w:lvl w:ilvl="7">
      <w:start w:val="1"/>
      <w:numFmt w:val="decimal"/>
      <w:lvlText w:val="%1.%2.%3.%4.%5.%6.%7.%8"/>
      <w:lvlJc w:val="left"/>
      <w:pPr>
        <w:ind w:left="5668" w:hanging="1440"/>
      </w:pPr>
    </w:lvl>
    <w:lvl w:ilvl="8">
      <w:start w:val="1"/>
      <w:numFmt w:val="decimal"/>
      <w:lvlText w:val="%1.%2.%3.%4.%5.%6.%7.%8.%9"/>
      <w:lvlJc w:val="left"/>
      <w:pPr>
        <w:ind w:left="6632" w:hanging="1800"/>
      </w:pPr>
    </w:lvl>
  </w:abstractNum>
  <w:abstractNum w:abstractNumId="3">
    <w:multiLevelType w:val="hybridMultilevel"/>
    <w:lvl w:ilvl="0">
      <w:start w:val="16"/>
      <w:numFmt w:val="decimal"/>
      <w:lvlText w:val="%1"/>
      <w:lvlJc w:val="left"/>
      <w:pPr>
        <w:ind w:left="420" w:hanging="420"/>
      </w:pPr>
    </w:lvl>
    <w:lvl w:ilvl="1">
      <w:start w:val="5"/>
      <w:numFmt w:val="decimal"/>
      <w:lvlText w:val="%1.%2"/>
      <w:lvlJc w:val="left"/>
      <w:pPr>
        <w:ind w:left="1140" w:hanging="4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multiLevelType w:val="hybridMultilevel"/>
    <w:lvl w:ilvl="0">
      <w:start w:val="13"/>
      <w:numFmt w:val="decimal"/>
      <w:lvlText w:val="%1"/>
      <w:lvlJc w:val="left"/>
      <w:pPr>
        <w:ind w:left="420" w:hanging="420"/>
      </w:pPr>
    </w:lvl>
    <w:lvl w:ilvl="1">
      <w:start w:val="5"/>
      <w:numFmt w:val="decimal"/>
      <w:lvlText w:val="%1.%2"/>
      <w:lvlJc w:val="left"/>
      <w:pPr>
        <w:ind w:left="1140" w:hanging="4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multiLevelType w:val="hybridMultilevel"/>
    <w:lvl w:ilvl="0" w:tplc="EF8ECBD2">
      <w:start w:val="1"/>
      <w:numFmt w:val="decimal"/>
      <w:lvlText w:val="%1."/>
      <w:lvlJc w:val="left"/>
      <w:pPr>
        <w:ind w:left="720" w:hanging="360"/>
      </w:pPr>
      <w:rPr>
        <w:b w:val="0"/>
        <w:i w:val="0"/>
      </w:rPr>
    </w:lvl>
    <w:lvl w:ilvl="1" w:tplc="C24200CA">
      <w:start w:val="1"/>
      <w:numFmt w:val="lowerLetter"/>
      <w:lvlText w:val="%2."/>
      <w:lvlJc w:val="left"/>
      <w:pPr>
        <w:ind w:left="1440" w:hanging="360"/>
      </w:pPr>
    </w:lvl>
    <w:lvl w:ilvl="2" w:tplc="AFAA833C">
      <w:start w:val="1"/>
      <w:numFmt w:val="lowerRoman"/>
      <w:lvlText w:val="%3."/>
      <w:lvlJc w:val="right"/>
      <w:pPr>
        <w:ind w:left="2160" w:hanging="180"/>
      </w:pPr>
    </w:lvl>
    <w:lvl w:ilvl="3" w:tplc="17009B20">
      <w:start w:val="1"/>
      <w:numFmt w:val="decimal"/>
      <w:lvlText w:val="%4."/>
      <w:lvlJc w:val="left"/>
      <w:pPr>
        <w:ind w:left="2880" w:hanging="360"/>
      </w:pPr>
    </w:lvl>
    <w:lvl w:ilvl="4" w:tplc="9AE81BBA">
      <w:start w:val="1"/>
      <w:numFmt w:val="lowerLetter"/>
      <w:lvlText w:val="%5."/>
      <w:lvlJc w:val="left"/>
      <w:pPr>
        <w:ind w:left="3600" w:hanging="360"/>
      </w:pPr>
    </w:lvl>
    <w:lvl w:ilvl="5" w:tplc="08E8ED34">
      <w:start w:val="1"/>
      <w:numFmt w:val="lowerRoman"/>
      <w:lvlText w:val="%6."/>
      <w:lvlJc w:val="right"/>
      <w:pPr>
        <w:ind w:left="4320" w:hanging="180"/>
      </w:pPr>
    </w:lvl>
    <w:lvl w:ilvl="6" w:tplc="764A5D76">
      <w:start w:val="1"/>
      <w:numFmt w:val="decimal"/>
      <w:lvlText w:val="%7."/>
      <w:lvlJc w:val="left"/>
      <w:pPr>
        <w:ind w:left="5040" w:hanging="360"/>
      </w:pPr>
    </w:lvl>
    <w:lvl w:ilvl="7" w:tplc="13261654">
      <w:start w:val="1"/>
      <w:numFmt w:val="lowerLetter"/>
      <w:lvlText w:val="%8."/>
      <w:lvlJc w:val="left"/>
      <w:pPr>
        <w:ind w:left="5760" w:hanging="360"/>
      </w:pPr>
    </w:lvl>
    <w:lvl w:ilvl="8" w:tplc="F22E8534">
      <w:start w:val="1"/>
      <w:numFmt w:val="lowerRoman"/>
      <w:lvlText w:val="%9."/>
      <w:lvlJc w:val="right"/>
      <w:pPr>
        <w:ind w:left="6480" w:hanging="18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rPr>
      <w:rFonts w:ascii="Times New Roman" w:hAnsi="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hAnsi="Arial" w:eastAsia="Arial" w:cs="Arial"/>
      <w:sz w:val="40"/>
      <w:szCs w:val="40"/>
    </w:rPr>
  </w:style>
  <w:style w:type="paragraph" w:styleId="2">
    <w:name w:val="heading 2"/>
    <w:basedOn w:val="a"/>
    <w:next w:val="a"/>
    <w:link w:val="20"/>
    <w:unhideWhenUsed/>
    <w:qFormat/>
    <w:pPr>
      <w:keepNext/>
      <w:spacing w:before="240" w:after="60"/>
      <w:outlineLvl w:val="1"/>
    </w:pPr>
    <w:rPr>
      <w:rFonts w:ascii="Cambria" w:hAnsi="Cambria" w:eastAsia="Times New Roman"/>
      <w:b/>
      <w:bCs/>
      <w:i/>
      <w:iCs/>
      <w:sz w:val="28"/>
      <w:szCs w:val="28"/>
      <w:lang w:val="en-US" w:eastAsia="en-US"/>
    </w:rPr>
  </w:style>
  <w:style w:type="paragraph" w:styleId="3">
    <w:name w:val="heading 3"/>
    <w:basedOn w:val="a"/>
    <w:next w:val="a"/>
    <w:link w:val="30"/>
    <w:uiPriority w:val="9"/>
    <w:unhideWhenUsed/>
    <w:qFormat/>
    <w:pPr>
      <w:keepNext/>
      <w:keepLines/>
      <w:spacing w:before="320" w:after="200"/>
      <w:outlineLvl w:val="2"/>
    </w:pPr>
    <w:rPr>
      <w:rFonts w:ascii="Arial" w:hAnsi="Arial" w:eastAsia="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hAnsi="Arial" w:eastAsia="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hAnsi="Arial" w:eastAsia="Arial" w:cs="Arial"/>
      <w:b/>
      <w:bCs/>
    </w:rPr>
  </w:style>
  <w:style w:type="paragraph" w:styleId="6">
    <w:name w:val="heading 6"/>
    <w:basedOn w:val="a"/>
    <w:next w:val="a"/>
    <w:link w:val="60"/>
    <w:uiPriority w:val="9"/>
    <w:unhideWhenUsed/>
    <w:qFormat/>
    <w:pPr>
      <w:keepNext/>
      <w:keepLines/>
      <w:spacing w:before="320" w:after="200"/>
      <w:outlineLvl w:val="5"/>
    </w:pPr>
    <w:rPr>
      <w:rFonts w:ascii="Arial" w:hAnsi="Arial" w:eastAsia="Arial" w:cs="Arial"/>
      <w:b/>
      <w:bCs/>
      <w:sz w:val="22"/>
      <w:szCs w:val="22"/>
    </w:rPr>
  </w:style>
  <w:style w:type="paragraph" w:styleId="7">
    <w:name w:val="heading 7"/>
    <w:basedOn w:val="a"/>
    <w:next w:val="a"/>
    <w:link w:val="70"/>
    <w:qFormat/>
    <w:pPr>
      <w:spacing w:before="240" w:after="60"/>
      <w:outlineLvl w:val="6"/>
    </w:pPr>
    <w:rPr>
      <w:rFonts w:eastAsia="Times New Roman"/>
      <w:lang w:val="en-US" w:eastAsia="en-US"/>
    </w:rPr>
  </w:style>
  <w:style w:type="paragraph" w:styleId="8">
    <w:name w:val="heading 8"/>
    <w:basedOn w:val="a"/>
    <w:next w:val="a"/>
    <w:link w:val="80"/>
    <w:uiPriority w:val="9"/>
    <w:unhideWhenUsed/>
    <w:qFormat/>
    <w:pPr>
      <w:keepNext/>
      <w:keepLines/>
      <w:spacing w:before="320" w:after="200"/>
      <w:outlineLvl w:val="7"/>
    </w:pPr>
    <w:rPr>
      <w:rFonts w:ascii="Arial" w:hAnsi="Arial" w:eastAsia="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hAnsi="Arial" w:eastAsia="Arial" w:cs="Arial"/>
      <w:i/>
      <w:iCs/>
      <w:sz w:val="21"/>
      <w:szCs w:val="21"/>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character" w:styleId="10" w:customStyle="1">
    <w:name w:val="Заголовок 1 Знак"/>
    <w:link w:val="1"/>
    <w:uiPriority w:val="9"/>
    <w:rPr>
      <w:rFonts w:ascii="Arial" w:hAnsi="Arial" w:eastAsia="Arial" w:cs="Arial"/>
      <w:sz w:val="40"/>
      <w:szCs w:val="40"/>
    </w:rPr>
  </w:style>
  <w:style w:type="character" w:styleId="Heading2Char" w:customStyle="1">
    <w:name w:val="Heading 2 Char"/>
    <w:uiPriority w:val="9"/>
    <w:rPr>
      <w:rFonts w:ascii="Arial" w:hAnsi="Arial" w:eastAsia="Arial" w:cs="Arial"/>
      <w:sz w:val="34"/>
    </w:rPr>
  </w:style>
  <w:style w:type="character" w:styleId="30" w:customStyle="1">
    <w:name w:val="Заголовок 3 Знак"/>
    <w:link w:val="3"/>
    <w:uiPriority w:val="9"/>
    <w:rPr>
      <w:rFonts w:ascii="Arial" w:hAnsi="Arial" w:eastAsia="Arial" w:cs="Arial"/>
      <w:sz w:val="30"/>
      <w:szCs w:val="30"/>
    </w:rPr>
  </w:style>
  <w:style w:type="character" w:styleId="40" w:customStyle="1">
    <w:name w:val="Заголовок 4 Знак"/>
    <w:link w:val="4"/>
    <w:uiPriority w:val="9"/>
    <w:rPr>
      <w:rFonts w:ascii="Arial" w:hAnsi="Arial" w:eastAsia="Arial" w:cs="Arial"/>
      <w:b/>
      <w:bCs/>
      <w:sz w:val="26"/>
      <w:szCs w:val="26"/>
    </w:rPr>
  </w:style>
  <w:style w:type="character" w:styleId="50" w:customStyle="1">
    <w:name w:val="Заголовок 5 Знак"/>
    <w:link w:val="5"/>
    <w:uiPriority w:val="9"/>
    <w:rPr>
      <w:rFonts w:ascii="Arial" w:hAnsi="Arial" w:eastAsia="Arial" w:cs="Arial"/>
      <w:b/>
      <w:bCs/>
      <w:sz w:val="24"/>
      <w:szCs w:val="24"/>
    </w:rPr>
  </w:style>
  <w:style w:type="character" w:styleId="60" w:customStyle="1">
    <w:name w:val="Заголовок 6 Знак"/>
    <w:link w:val="6"/>
    <w:uiPriority w:val="9"/>
    <w:rPr>
      <w:rFonts w:ascii="Arial" w:hAnsi="Arial" w:eastAsia="Arial" w:cs="Arial"/>
      <w:b/>
      <w:bCs/>
      <w:sz w:val="22"/>
      <w:szCs w:val="22"/>
    </w:rPr>
  </w:style>
  <w:style w:type="character" w:styleId="Heading7Char" w:customStyle="1">
    <w:name w:val="Heading 7 Char"/>
    <w:uiPriority w:val="9"/>
    <w:rPr>
      <w:rFonts w:ascii="Arial" w:hAnsi="Arial" w:eastAsia="Arial" w:cs="Arial"/>
      <w:b/>
      <w:bCs/>
      <w:i/>
      <w:iCs/>
      <w:sz w:val="22"/>
      <w:szCs w:val="22"/>
    </w:rPr>
  </w:style>
  <w:style w:type="character" w:styleId="80" w:customStyle="1">
    <w:name w:val="Заголовок 8 Знак"/>
    <w:link w:val="8"/>
    <w:uiPriority w:val="9"/>
    <w:rPr>
      <w:rFonts w:ascii="Arial" w:hAnsi="Arial" w:eastAsia="Arial" w:cs="Arial"/>
      <w:i/>
      <w:iCs/>
      <w:sz w:val="22"/>
      <w:szCs w:val="22"/>
    </w:rPr>
  </w:style>
  <w:style w:type="character" w:styleId="90" w:customStyle="1">
    <w:name w:val="Заголовок 9 Знак"/>
    <w:link w:val="9"/>
    <w:uiPriority w:val="9"/>
    <w:rPr>
      <w:rFonts w:ascii="Arial" w:hAnsi="Arial" w:eastAsia="Arial" w:cs="Arial"/>
      <w:i/>
      <w:iCs/>
      <w:sz w:val="21"/>
      <w:szCs w:val="21"/>
    </w:rPr>
  </w:style>
  <w:style w:type="paragraph" w:styleId="a3">
    <w:name w:val="List Paragraph"/>
    <w:basedOn w:val="a"/>
    <w:uiPriority w:val="34"/>
    <w:qFormat/>
    <w:pPr>
      <w:ind w:left="720"/>
    </w:pPr>
    <w:rPr>
      <w:rFonts w:eastAsia="Times New Roman"/>
      <w:lang w:eastAsia="zh-CN"/>
    </w:rPr>
  </w:style>
  <w:style w:type="paragraph" w:styleId="a4">
    <w:name w:val="No Spacing"/>
    <w:uiPriority w:val="1"/>
    <w:qFormat/>
    <w:rPr>
      <w:rFonts w:ascii="Times New Roman" w:hAnsi="Times New Roman"/>
      <w:sz w:val="24"/>
      <w:szCs w:val="24"/>
      <w:lang w:eastAsia="ru-RU"/>
    </w:rPr>
  </w:style>
  <w:style w:type="paragraph" w:styleId="a5">
    <w:name w:val="Title"/>
    <w:basedOn w:val="a"/>
    <w:next w:val="a"/>
    <w:link w:val="a6"/>
    <w:uiPriority w:val="10"/>
    <w:qFormat/>
    <w:pPr>
      <w:spacing w:before="300" w:after="200"/>
      <w:contextualSpacing/>
    </w:pPr>
    <w:rPr>
      <w:sz w:val="48"/>
      <w:szCs w:val="48"/>
    </w:rPr>
  </w:style>
  <w:style w:type="character" w:styleId="a6" w:customStyle="1">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styleId="a8" w:customStyle="1">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styleId="22" w:customStyle="1">
    <w:name w:val="Цитата 2 Знак"/>
    <w:link w:val="21"/>
    <w:uiPriority w:val="29"/>
    <w:rPr>
      <w:i/>
    </w:rPr>
  </w:style>
  <w:style w:type="paragraph" w:styleId="a9">
    <w:name w:val="Intense Quote"/>
    <w:basedOn w:val="a"/>
    <w:next w:val="a"/>
    <w:link w:val="aa"/>
    <w:uiPriority w:val="30"/>
    <w:qFormat/>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styleId="aa" w:customStyle="1">
    <w:name w:val="Выделенная цитата Знак"/>
    <w:link w:val="a9"/>
    <w:uiPriority w:val="30"/>
    <w:rPr>
      <w:i/>
    </w:rPr>
  </w:style>
  <w:style w:type="paragraph" w:styleId="ab">
    <w:name w:val="header"/>
    <w:basedOn w:val="a"/>
    <w:link w:val="ac"/>
    <w:uiPriority w:val="99"/>
    <w:unhideWhenUsed/>
    <w:pPr>
      <w:tabs>
        <w:tab w:val="center" w:pos="4677"/>
        <w:tab w:val="right" w:pos="9355"/>
      </w:tabs>
    </w:pPr>
  </w:style>
  <w:style w:type="character" w:styleId="HeaderChar" w:customStyle="1">
    <w:name w:val="Header Char"/>
    <w:uiPriority w:val="99"/>
  </w:style>
  <w:style w:type="paragraph" w:styleId="ad">
    <w:name w:val="footer"/>
    <w:basedOn w:val="a"/>
    <w:link w:val="ae"/>
    <w:uiPriority w:val="99"/>
    <w:unhideWhenUsed/>
    <w:pPr>
      <w:tabs>
        <w:tab w:val="center" w:pos="4677"/>
        <w:tab w:val="right" w:pos="9355"/>
      </w:tabs>
    </w:pPr>
  </w:style>
  <w:style w:type="character" w:styleId="FooterChar" w:customStyle="1">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styleId="CaptionChar" w:customStyle="1">
    <w:name w:val="Caption Char"/>
    <w:uiPriority w:val="99"/>
  </w:style>
  <w:style w:type="table" w:styleId="af0">
    <w:name w:val="Table Grid"/>
    <w:basedOn w:val="a1"/>
    <w:uiPriority w:val="59"/>
    <w:tblPr/>
  </w:style>
  <w:style w:type="table" w:styleId="TableGridLight"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themeColor="text1" w:themeTint="0D" w:fill="f2f2f2" w:themeFill="text1" w:themeFillTint="0D"/>
      </w:tcPr>
    </w:tblStylePr>
    <w:tblStylePr w:type="band1Horz">
      <w:tcPr>
        <w:shd w:val="clear" w:color="f2f2f2" w:themeColor="text1" w:themeTint="0D" w:fill="f2f2f2" w:themeFill="text1" w:themeFillTint="0D"/>
      </w:tcPr>
    </w:tblStylePr>
  </w:style>
  <w:style w:type="table" w:styleId="23">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styleId="31">
    <w:name w:val="Plain Table 3"/>
    <w:uiPriority w:val="99"/>
    <w:tblPr>
      <w:tblStyleRowBandSize w:val="1"/>
      <w:tblStyleColBandSize w:val="1"/>
      <w:tblInd w:w="0" w:type="dxa"/>
      <w:tblCellMar>
        <w:left w:w="0" w:type="dxa"/>
        <w:top w:w="0" w:type="dxa"/>
        <w:right w:w="0" w:type="dxa"/>
        <w:bottom w:w="0" w:type="dxa"/>
      </w:tblCellMar>
    </w:tbl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left w:w="0" w:type="dxa"/>
        <w:top w:w="0" w:type="dxa"/>
        <w:right w:w="0" w:type="dxa"/>
        <w:bottom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left w:w="0" w:type="dxa"/>
        <w:top w:w="0" w:type="dxa"/>
        <w:right w:w="0" w:type="dxa"/>
        <w:bottom w:w="0" w:type="dxa"/>
      </w:tblCellMar>
    </w:tblPr>
    <w:tblStylePr w:type="firstRow">
      <w:rPr>
        <w:i/>
        <w:color w:val="404040"/>
      </w:rPr>
      <w:tcPr>
        <w:tcBorders>
          <w:left w:val="none" w:color="000000" w:sz="4" w:space="0"/>
          <w:bottom w:val="single" w:color="404040" w:sz="4" w:space="0"/>
          <w:right w:val="none" w:color="000000" w:sz="4" w:space="0"/>
        </w:tcBorders>
        <w:shd w:val="clear" w:color="ffffff" w:fill="auto"/>
      </w:tcPr>
    </w:tblStylePr>
    <w:tblStylePr w:type="lastRow">
      <w:rPr>
        <w:i/>
        <w:color w:val="404040"/>
      </w:rPr>
      <w:tcPr>
        <w:tcBorders>
          <w:top w:val="single" w:color="404040" w:sz="4" w:space="0"/>
          <w:left w:val="none" w:color="000000" w:sz="4" w:space="0"/>
          <w:right w:val="none" w:color="000000" w:sz="4" w:space="0"/>
        </w:tcBorders>
        <w:shd w:val="clear" w:color="ffffff" w:fill="auto"/>
      </w:tcPr>
    </w:tblStylePr>
    <w:tblStylePr w:type="firstCol">
      <w:rPr>
        <w:i/>
        <w:color w:val="404040"/>
      </w:rPr>
      <w:pPr>
        <w:jc w:val="right"/>
      </w:p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firstRow">
      <w:rPr>
        <w:b/>
        <w:color w:val="404040"/>
      </w:r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firstRow">
      <w:rPr>
        <w:b/>
        <w:color w:val="404040"/>
      </w:r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firstRow">
      <w:rPr>
        <w:b/>
        <w:color w:val="404040"/>
      </w:r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2">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2-Accent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2-Accent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2-Accent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2-Accent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2-Accent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2-Accent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3-Accent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3-Accent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3-Accent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3-Accent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3-Accent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3-Accent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4-Accent1"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firstRow">
      <w:rPr>
        <w:rFonts w:ascii="Arial" w:hAnsi="Arial"/>
        <w:b/>
        <w:color w:val="ffffff"/>
        <w:sz w:val="22"/>
      </w:r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styleId="GridTable4-Accent2"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firstRow">
      <w:rPr>
        <w:rFonts w:ascii="Arial" w:hAnsi="Arial"/>
        <w:b/>
        <w:color w:val="ffffff"/>
        <w:sz w:val="22"/>
      </w:r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4-Accent3"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firstRow">
      <w:rPr>
        <w:rFonts w:ascii="Arial" w:hAnsi="Arial"/>
        <w:b/>
        <w:color w:val="ffffff"/>
        <w:sz w:val="22"/>
      </w:r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4-Accent4"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4-Accent5"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4-Accent6"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a8a8a" w:themeColor="text1" w:themeTint="75" w:fill="8a8a8a" w:themeFill="text1" w:themeFillTint="75"/>
      </w:tcPr>
    </w:tblStylePr>
    <w:tblStylePr w:type="band1Horz">
      <w:tcPr>
        <w:shd w:val="clear" w:color="8a8a8a" w:themeColor="text1" w:themeTint="75" w:fill="8a8a8a" w:themeFill="text1" w:themeFillTint="75"/>
      </w:tcPr>
    </w:tblStylePr>
  </w:style>
  <w:style w:type="table" w:styleId="GridTable5Dark-Accent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4e0" w:themeColor="accent1" w:themeTint="75" w:fill="aec4e0" w:themeFill="accent1" w:themeFillTint="75"/>
      </w:tcPr>
    </w:tblStylePr>
    <w:tblStylePr w:type="band1Horz">
      <w:tcPr>
        <w:shd w:val="clear" w:color="aec4e0" w:themeColor="accent1" w:themeTint="75" w:fill="aec4e0" w:themeFill="accent1" w:themeFillTint="75"/>
      </w:tcPr>
    </w:tblStylePr>
  </w:style>
  <w:style w:type="table" w:styleId="GridTable5Dark-Accent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styleId="GridTable5Dark-Accent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0dfb2" w:themeColor="accent3" w:themeTint="75" w:fill="d0dfb2" w:themeFill="accent3" w:themeFillTint="75"/>
      </w:tcPr>
    </w:tblStylePr>
    <w:tblStylePr w:type="band1Horz">
      <w:tcPr>
        <w:shd w:val="clear" w:color="d0dfb2" w:themeColor="accent3" w:themeTint="75" w:fill="d0dfb2" w:themeFill="accent3" w:themeFillTint="75"/>
      </w:tcPr>
    </w:tblStylePr>
  </w:style>
  <w:style w:type="table" w:styleId="GridTable5Dark-Accent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styleId="GridTable5Dark-Accent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styleId="GridTable5Dark-Accent6"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firstRow">
      <w:rPr>
        <w:b/>
        <w:color w:val="7f7f7f" w:themeColor="text1" w:themeTint="80" w:themeShade="95"/>
      </w:r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color="cbcbcb" w:themeColor="text1" w:themeTint="34" w:fill="cbcbcb" w:themeFill="text1" w:themeFillTint="34"/>
      </w:tcPr>
    </w:tblStyle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firstRow">
      <w:rPr>
        <w:b/>
        <w:color w:val="a6bfdd" w:themeColor="accent1" w:themeTint="80" w:themeShade="95"/>
      </w:r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firstRow">
      <w:rPr>
        <w:b/>
        <w:color w:val="d99695" w:themeColor="accent2" w:themeTint="97" w:themeShade="95"/>
      </w:r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firstRow">
      <w:rPr>
        <w:b/>
        <w:color w:val="9abb59" w:themeColor="accent3" w:themeTint="FE" w:themeShade="95"/>
      </w:r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firstRow">
      <w:rPr>
        <w:b/>
        <w:color w:val="b2a1c6" w:themeColor="accent4" w:themeTint="9A" w:themeShade="95"/>
      </w:r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8" w:themeColor="accent6" w:themeTint="34" w:fill="fde9d8" w:themeFill="accent6" w:themeFillTint="34"/>
      </w:tcPr>
    </w:tblStyle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firstRow">
      <w:rPr>
        <w:rFonts w:ascii="Arial" w:hAnsi="Arial"/>
        <w:b/>
        <w:color w:val="7f7f7f" w:themeColor="text1" w:themeTint="80" w:themeShade="95"/>
        <w:sz w:val="22"/>
      </w:r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b/>
        <w:color w:val="7f7f7f" w:themeColor="text1" w:themeTint="80" w:themeShade="95"/>
        <w:sz w:val="22"/>
      </w:r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cPr>
        <w:shd w:val="clear" w:color="f2f2f2" w:themeColor="text1" w:themeTint="0D" w:fill="f2f2f2" w:themeFill="text1" w:themeFillTint="0D"/>
      </w:tcPr>
    </w:tblStyle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firstRow">
      <w:rPr>
        <w:rFonts w:ascii="Arial" w:hAnsi="Arial"/>
        <w:b/>
        <w:color w:val="a6bfdd" w:themeColor="accent1" w:themeTint="80" w:themeShade="95"/>
        <w:sz w:val="22"/>
      </w:rPr>
      <w:tcPr>
        <w:tcBorders>
          <w:top w:val="none" w:color="000000" w:sz="4" w:space="0"/>
          <w:left w:val="none" w:color="000000" w:sz="4" w:space="0"/>
          <w:bottom w:val="single" w:color="A6BFDD" w:themeColor="accent1" w:themeTint="80" w:sz="4" w:space="0"/>
          <w:right w:val="none" w:color="000000" w:sz="4" w:space="0"/>
        </w:tcBorders>
        <w:shd w:val="clear" w:color="ffffff" w:themeColor="light1" w:fill="ffffff" w:themeFill="light1"/>
      </w:tcPr>
    </w:tblStylePr>
    <w:tblStylePr w:type="lastRow">
      <w:rPr>
        <w:rFonts w:ascii="Arial" w:hAnsi="Arial"/>
        <w:b/>
        <w:color w:val="a6bfdd" w:themeColor="accent1" w:themeTint="80" w:themeShade="95"/>
        <w:sz w:val="22"/>
      </w:rPr>
      <w:tcPr>
        <w:tcBorders>
          <w:top w:val="single" w:color="A6BFDD" w:themeColor="accen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a6bfdd" w:themeColor="accent1" w:themeTint="80" w:themeShade="95"/>
        <w:sz w:val="22"/>
      </w:rPr>
      <w:pPr>
        <w:jc w:val="right"/>
      </w:pPr>
      <w:tcPr>
        <w:tcBorders>
          <w:top w:val="none" w:color="000000" w:sz="4" w:space="0"/>
          <w:left w:val="none" w:color="000000" w:sz="4" w:space="0"/>
          <w:bottom w:val="none" w:color="000000" w:sz="4"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cPr>
        <w:tcBorders>
          <w:top w:val="none" w:color="000000" w:sz="4" w:space="0"/>
          <w:left w:val="single" w:color="A6BFDD" w:themeColor="accent1" w:themeTint="80" w:sz="4" w:space="0"/>
          <w:bottom w:val="none" w:color="000000" w:sz="4" w:space="0"/>
          <w:right w:val="none" w:color="000000" w:sz="4" w:space="0"/>
        </w:tcBorders>
        <w:shd w:val="clear" w:color="ffffff" w:fill="auto"/>
      </w:tc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firstRow">
      <w:rPr>
        <w:rFonts w:ascii="Arial" w:hAnsi="Arial"/>
        <w:b/>
        <w:color w:val="d99695" w:themeColor="accent2" w:themeTint="97" w:themeShade="95"/>
        <w:sz w:val="22"/>
      </w:r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Row">
      <w:rPr>
        <w:rFonts w:ascii="Arial" w:hAnsi="Arial"/>
        <w:b/>
        <w:color w:val="d99695" w:themeColor="accent2" w:themeTint="97" w:themeShade="95"/>
        <w:sz w:val="22"/>
      </w:r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firstRow">
      <w:rPr>
        <w:rFonts w:ascii="Arial" w:hAnsi="Arial"/>
        <w:b/>
        <w:color w:val="9abb59" w:themeColor="accent3" w:themeTint="FE" w:themeShade="95"/>
        <w:sz w:val="22"/>
      </w:rPr>
      <w:tcPr>
        <w:tcBorders>
          <w:top w:val="none" w:color="000000" w:sz="4" w:space="0"/>
          <w:left w:val="none" w:color="000000" w:sz="4" w:space="0"/>
          <w:bottom w:val="single" w:color="9ABB59" w:themeColor="accent3" w:themeTint="FE" w:sz="4" w:space="0"/>
          <w:right w:val="none" w:color="000000" w:sz="4" w:space="0"/>
        </w:tcBorders>
        <w:shd w:val="clear" w:color="ffffff" w:themeColor="light1" w:fill="ffffff" w:themeFill="light1"/>
      </w:tcPr>
    </w:tblStylePr>
    <w:tblStylePr w:type="lastRow">
      <w:rPr>
        <w:rFonts w:ascii="Arial" w:hAnsi="Arial"/>
        <w:b/>
        <w:color w:val="9abb59" w:themeColor="accent3" w:themeTint="FE" w:themeShade="95"/>
        <w:sz w:val="22"/>
      </w:rPr>
      <w:tcPr>
        <w:tcBorders>
          <w:top w:val="single" w:color="9ABB59" w:themeColor="accent3" w:themeTint="FE"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9abb59" w:themeColor="accent3" w:themeTint="FE" w:themeShade="95"/>
        <w:sz w:val="22"/>
      </w:rPr>
      <w:pPr>
        <w:jc w:val="right"/>
      </w:pPr>
      <w:tcPr>
        <w:tcBorders>
          <w:top w:val="none" w:color="000000" w:sz="4" w:space="0"/>
          <w:left w:val="none" w:color="000000" w:sz="4" w:space="0"/>
          <w:bottom w:val="none" w:color="000000" w:sz="4"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cPr>
        <w:tcBorders>
          <w:top w:val="none" w:color="000000" w:sz="4" w:space="0"/>
          <w:left w:val="single" w:color="9ABB59" w:themeColor="accent3" w:themeTint="FE" w:sz="4" w:space="0"/>
          <w:bottom w:val="none" w:color="000000" w:sz="4" w:space="0"/>
          <w:right w:val="none" w:color="000000" w:sz="4" w:space="0"/>
        </w:tcBorders>
        <w:shd w:val="clear" w:color="ffffff" w:fill="auto"/>
      </w:tc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firstRow">
      <w:rPr>
        <w:rFonts w:ascii="Arial" w:hAnsi="Arial"/>
        <w:b/>
        <w:color w:val="b2a1c6" w:themeColor="accent4" w:themeTint="9A" w:themeShade="95"/>
        <w:sz w:val="22"/>
      </w:r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Row">
      <w:rPr>
        <w:rFonts w:ascii="Arial" w:hAnsi="Arial"/>
        <w:b/>
        <w:color w:val="b2a1c6" w:themeColor="accent4" w:themeTint="9A" w:themeShade="95"/>
        <w:sz w:val="22"/>
      </w:r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firstRow">
      <w:rPr>
        <w:rFonts w:ascii="Arial" w:hAnsi="Arial"/>
        <w:b/>
        <w:color w:val="266779" w:themeColor="accent5" w:themeShade="95"/>
        <w:sz w:val="22"/>
      </w:rPr>
      <w:tcPr>
        <w:tcBorders>
          <w:top w:val="none" w:color="000000" w:sz="4" w:space="0"/>
          <w:left w:val="none" w:color="000000" w:sz="4" w:space="0"/>
          <w:bottom w:val="single" w:color="99D0DE" w:themeColor="accent5" w:themeTint="90" w:sz="4" w:space="0"/>
          <w:right w:val="none" w:color="000000" w:sz="4" w:space="0"/>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266779" w:themeColor="accent5" w:themeShade="95"/>
        <w:sz w:val="22"/>
      </w:rPr>
      <w:pPr>
        <w:jc w:val="right"/>
      </w:pPr>
      <w:tcPr>
        <w:tcBorders>
          <w:top w:val="none" w:color="000000" w:sz="4" w:space="0"/>
          <w:left w:val="none" w:color="000000" w:sz="4" w:space="0"/>
          <w:bottom w:val="none" w:color="000000" w:sz="4"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one" w:color="000000" w:sz="4" w:space="0"/>
          <w:left w:val="single" w:color="99D0DE" w:themeColor="accent5" w:themeTint="90" w:sz="4" w:space="0"/>
          <w:bottom w:val="none" w:color="000000" w:sz="4" w:space="0"/>
          <w:right w:val="none" w:color="000000" w:sz="4" w:space="0"/>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firstRow">
      <w:rPr>
        <w:rFonts w:ascii="Arial" w:hAnsi="Arial"/>
        <w:b/>
        <w:color w:val="b15407" w:themeColor="accent6" w:themeShade="95"/>
        <w:sz w:val="22"/>
      </w:rPr>
      <w:tcPr>
        <w:tcBorders>
          <w:top w:val="none" w:color="000000" w:sz="4" w:space="0"/>
          <w:left w:val="none" w:color="000000" w:sz="4" w:space="0"/>
          <w:bottom w:val="single" w:color="FAC396" w:themeColor="accent6" w:themeTint="90" w:sz="4" w:space="0"/>
          <w:right w:val="none" w:color="000000" w:sz="4" w:space="0"/>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b15407" w:themeColor="accent6" w:themeShade="95"/>
        <w:sz w:val="22"/>
      </w:rPr>
      <w:pPr>
        <w:jc w:val="right"/>
      </w:pPr>
      <w:tcPr>
        <w:tcBorders>
          <w:top w:val="none" w:color="000000" w:sz="4" w:space="0"/>
          <w:left w:val="none" w:color="000000" w:sz="4" w:space="0"/>
          <w:bottom w:val="none" w:color="000000" w:sz="4"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one" w:color="000000" w:sz="4" w:space="0"/>
          <w:left w:val="single" w:color="FAC396" w:themeColor="accent6" w:themeTint="90" w:sz="4" w:space="0"/>
          <w:bottom w:val="none" w:color="000000" w:sz="4" w:space="0"/>
          <w:right w:val="none" w:color="000000" w:sz="4" w:space="0"/>
        </w:tcBorders>
        <w:shd w:val="clear" w:color="ffffff" w:fill="auto"/>
      </w:tcPr>
    </w:tblStylePr>
    <w:tblStylePr w:type="band1Vert">
      <w:tcPr>
        <w:shd w:val="clear" w:color="fde9d8" w:themeColor="accent6" w:themeTint="34" w:fill="fde9d8" w:themeFill="accent6" w:themeFillTint="34"/>
      </w:tcPr>
    </w:tblStyle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bfbfbf" w:themeColor="text1" w:themeTint="40" w:fill="bfbfbf" w:themeFill="text1" w:themeFillTint="40"/>
      </w:tcPr>
    </w:tblStylePr>
    <w:tblStylePr w:type="band1Horz">
      <w:tcPr>
        <w:shd w:val="clear" w:color="bfbfbf" w:themeColor="text1" w:themeTint="40" w:fill="bfbfbf" w:themeFill="text1" w:themeFillTint="40"/>
      </w:tcPr>
    </w:tblStylePr>
  </w:style>
  <w:style w:type="table" w:styleId="ListTable1Light-Accent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styleId="ListTable1Light-Accent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fd2d2" w:themeColor="accent2" w:themeTint="40" w:fill="efd2d2" w:themeFill="accent2" w:themeFillTint="40"/>
      </w:tcPr>
    </w:tblStylePr>
    <w:tblStylePr w:type="band1Horz">
      <w:tcPr>
        <w:shd w:val="clear" w:color="efd2d2" w:themeColor="accent2" w:themeTint="40" w:fill="efd2d2" w:themeFill="accent2" w:themeFillTint="40"/>
      </w:tcPr>
    </w:tblStylePr>
  </w:style>
  <w:style w:type="table" w:styleId="ListTable1Light-Accent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5eed5" w:themeColor="accent3" w:themeTint="40" w:fill="e5eed5" w:themeFill="accent3" w:themeFillTint="40"/>
      </w:tcPr>
    </w:tblStylePr>
    <w:tblStylePr w:type="band1Horz">
      <w:tcPr>
        <w:shd w:val="clear" w:color="e5eed5" w:themeColor="accent3" w:themeTint="40" w:fill="e5eed5" w:themeFill="accent3" w:themeFillTint="40"/>
      </w:tcPr>
    </w:tblStylePr>
  </w:style>
  <w:style w:type="table" w:styleId="ListTable1Light-Accent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styleId="ListTable1Light-Accent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styleId="ListTable1Light-Accent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fde4d0" w:themeColor="accent6" w:themeTint="40" w:fill="fde4d0" w:themeFill="accent6" w:themeFillTint="40"/>
      </w:tcPr>
    </w:tblStylePr>
    <w:tblStylePr w:type="band1Horz">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2-Accent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2-Accent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2-Accent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2-Accent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2-Accent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2-Accent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styleId="ListTable3-Accent1"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styleId="ListTable3-Accent2"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firstRow">
      <w:rPr>
        <w:rFonts w:ascii="Arial" w:hAnsi="Arial"/>
        <w:b/>
        <w:color w:val="ffffff"/>
        <w:sz w:val="22"/>
      </w:r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style>
  <w:style w:type="table" w:styleId="ListTable3-Accent3"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firstRow">
      <w:rPr>
        <w:rFonts w:ascii="Arial" w:hAnsi="Arial"/>
        <w:b/>
        <w:color w:val="ffffff"/>
        <w:sz w:val="22"/>
      </w:r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style>
  <w:style w:type="table" w:styleId="ListTable3-Accent4"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styleId="ListTable3-Accent5"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styleId="ListTable3-Accent6"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styleId="-40">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4-Accent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4-Accent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4-Accent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4-Accent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4-Accent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4-Accent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firstRow">
      <w:rPr>
        <w:rFonts w:ascii="Arial" w:hAnsi="Arial"/>
        <w:b/>
        <w:color w:val="ffffff" w:themeColor="light1"/>
        <w:sz w:val="22"/>
      </w:r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lastCol">
      <w:tcPr>
        <w:tcBorders>
          <w:left w:val="single" w:color="FFFFFF" w:themeColor="light1" w:sz="4" w:space="0"/>
          <w:right w:val="single" w:color="7F7F7F" w:themeColor="text1" w:themeTint="80" w:sz="32" w:space="0"/>
        </w:tcBorders>
      </w:tcPr>
    </w:tblStylePr>
    <w:tblStylePr w:type="band1Vert">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firstRow">
      <w:rPr>
        <w:rFonts w:ascii="Arial" w:hAnsi="Arial"/>
        <w:b/>
        <w:color w:val="ffffff" w:themeColor="light1"/>
        <w:sz w:val="22"/>
      </w:r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lastCol">
      <w:tcPr>
        <w:tcBorders>
          <w:left w:val="single" w:color="FFFFFF" w:themeColor="light1" w:sz="4" w:space="0"/>
          <w:right w:val="single" w:color="D996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firstRow">
      <w:rPr>
        <w:rFonts w:ascii="Arial" w:hAnsi="Arial"/>
        <w:b/>
        <w:color w:val="ffffff" w:themeColor="light1"/>
        <w:sz w:val="22"/>
      </w:r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lastCol">
      <w:tcPr>
        <w:tcBorders>
          <w:left w:val="single" w:color="FFFFFF" w:themeColor="light1" w:sz="4" w:space="0"/>
          <w:right w:val="single" w:color="C3D69B"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firstRow">
      <w:rPr>
        <w:b/>
        <w:color w:val="000000" w:themeColor="text1"/>
      </w:rPr>
      <w:tcPr>
        <w:tcBorders>
          <w:bottom w:val="single" w:color="7F7F7F" w:themeColor="text1" w:themeTint="80" w:sz="4" w:space="0"/>
        </w:tcBorders>
      </w:tcPr>
    </w:tblStylePr>
    <w:tblStylePr w:type="lastRow">
      <w:rPr>
        <w:b/>
        <w:color w:val="000000" w:themeColor="text1"/>
      </w:r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fbfbf" w:themeColor="text1" w:themeTint="40" w:fill="bfbfbf" w:themeFill="text1" w:themeFillTint="40"/>
      </w:tcPr>
    </w:tblStylePr>
    <w:tblStylePr w:type="band1Horz">
      <w:rPr>
        <w:rFonts w:ascii="Arial" w:hAnsi="Arial"/>
        <w:color w:val="000000" w:themeColor="text1"/>
        <w:sz w:val="22"/>
      </w:r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firstRow">
      <w:rPr>
        <w:b/>
        <w:color w:val="2a4a71" w:themeColor="accent1" w:themeShade="95"/>
      </w:rPr>
      <w:tcPr>
        <w:tcBorders>
          <w:bottom w:val="single" w:color="4F81BD" w:themeColor="accent1" w:sz="4" w:space="0"/>
        </w:tcBorders>
      </w:tcPr>
    </w:tblStylePr>
    <w:tblStylePr w:type="lastRow">
      <w:rPr>
        <w:b/>
        <w:color w:val="2a4a71" w:themeColor="accent1" w:themeShade="95"/>
      </w:r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firstRow">
      <w:rPr>
        <w:b/>
        <w:color w:val="d99695" w:themeColor="accent2" w:themeTint="97" w:themeShade="95"/>
      </w:rPr>
      <w:tcPr>
        <w:tcBorders>
          <w:bottom w:val="single" w:color="D99695" w:themeColor="accent2" w:themeTint="97" w:sz="4" w:space="0"/>
        </w:tcBorders>
      </w:tcPr>
    </w:tblStylePr>
    <w:tblStylePr w:type="lastRow">
      <w:rPr>
        <w:b/>
        <w:color w:val="d99695" w:themeColor="accent2" w:themeTint="97" w:themeShade="95"/>
      </w:r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firstRow">
      <w:rPr>
        <w:b/>
        <w:color w:val="c3d69b" w:themeColor="accent3" w:themeTint="98" w:themeShade="95"/>
      </w:rPr>
      <w:tcPr>
        <w:tcBorders>
          <w:bottom w:val="single" w:color="C3D69B" w:themeColor="accent3" w:themeTint="98" w:sz="4" w:space="0"/>
        </w:tcBorders>
      </w:tcPr>
    </w:tblStylePr>
    <w:tblStylePr w:type="lastRow">
      <w:rPr>
        <w:b/>
        <w:color w:val="c3d69b" w:themeColor="accent3" w:themeTint="98" w:themeShade="95"/>
      </w:r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firstRow">
      <w:rPr>
        <w:b/>
        <w:color w:val="b2a1c6" w:themeColor="accent4" w:themeTint="9A" w:themeShade="95"/>
      </w:rPr>
      <w:tcPr>
        <w:tcBorders>
          <w:bottom w:val="single" w:color="B2A1C6" w:themeColor="accent4" w:themeTint="9A" w:sz="4" w:space="0"/>
        </w:tcBorders>
      </w:tcPr>
    </w:tblStylePr>
    <w:tblStylePr w:type="lastRow">
      <w:rPr>
        <w:b/>
        <w:color w:val="b2a1c6" w:themeColor="accent4" w:themeTint="9A" w:themeShade="95"/>
      </w:r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firstRow">
      <w:rPr>
        <w:b/>
        <w:color w:val="92ccdc" w:themeColor="accent5" w:themeTint="9A" w:themeShade="95"/>
      </w:rPr>
      <w:tcPr>
        <w:tcBorders>
          <w:bottom w:val="single" w:color="92CCDC" w:themeColor="accent5" w:themeTint="9A" w:sz="4" w:space="0"/>
        </w:tcBorders>
      </w:tcPr>
    </w:tblStylePr>
    <w:tblStylePr w:type="lastRow">
      <w:rPr>
        <w:b/>
        <w:color w:val="92ccdc" w:themeColor="accent5" w:themeTint="9A" w:themeShade="95"/>
      </w:r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firstRow">
      <w:rPr>
        <w:b/>
        <w:color w:val="fac090" w:themeColor="accent6" w:themeTint="98" w:themeShade="95"/>
      </w:rPr>
      <w:tcPr>
        <w:tcBorders>
          <w:bottom w:val="single" w:color="FAC090" w:themeColor="accent6" w:themeTint="98" w:sz="4" w:space="0"/>
        </w:tcBorders>
      </w:tcPr>
    </w:tblStylePr>
    <w:tblStylePr w:type="lastRow">
      <w:rPr>
        <w:b/>
        <w:color w:val="fac090" w:themeColor="accent6" w:themeTint="98" w:themeShade="95"/>
      </w:r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firstRow">
      <w:rPr>
        <w:rFonts w:ascii="Arial" w:hAnsi="Arial"/>
        <w:i/>
        <w:color w:val="7f7f7f" w:themeColor="text1" w:themeTint="80" w:themeShade="95"/>
        <w:sz w:val="22"/>
      </w:r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i/>
        <w:color w:val="7f7f7f" w:themeColor="text1" w:themeTint="80" w:themeShade="95"/>
        <w:sz w:val="22"/>
      </w:r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cPr>
        <w:shd w:val="clear" w:color="bfbfbf" w:themeColor="text1" w:themeTint="40" w:fill="bfbfbf" w:themeFill="text1" w:themeFillTint="40"/>
      </w:tcPr>
    </w:tblStyle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firstRow">
      <w:rPr>
        <w:rFonts w:ascii="Arial" w:hAnsi="Arial"/>
        <w:i/>
        <w:color w:val="2a4a71" w:themeColor="accent1" w:themeShade="95"/>
        <w:sz w:val="22"/>
      </w:rPr>
      <w:tcPr>
        <w:tcBorders>
          <w:top w:val="none" w:color="000000" w:sz="4" w:space="0"/>
          <w:left w:val="none" w:color="000000" w:sz="4" w:space="0"/>
          <w:bottom w:val="single" w:color="4F81BD" w:themeColor="accent1" w:sz="4" w:space="0"/>
          <w:right w:val="none" w:color="000000" w:sz="4" w:space="0"/>
        </w:tcBorders>
        <w:shd w:val="clear" w:color="ffffff" w:themeColor="light1" w:fill="ffffff" w:themeFill="light1"/>
      </w:tcPr>
    </w:tblStylePr>
    <w:tblStylePr w:type="lastRow">
      <w:rPr>
        <w:rFonts w:ascii="Arial" w:hAnsi="Arial"/>
        <w:i/>
        <w:color w:val="2a4a71" w:themeColor="accent1" w:themeShade="95"/>
        <w:sz w:val="22"/>
      </w:rPr>
      <w:tcPr>
        <w:tcBorders>
          <w:top w:val="single" w:color="4F81BD"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2a4a71" w:themeColor="accent1" w:themeShade="95"/>
        <w:sz w:val="22"/>
      </w:rPr>
      <w:pPr>
        <w:jc w:val="right"/>
      </w:p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rFonts w:ascii="Arial" w:hAnsi="Arial"/>
        <w:i/>
        <w:color w:val="2a4a71" w:themeColor="accent1" w:themeShade="95"/>
        <w:sz w:val="22"/>
      </w:r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firstRow">
      <w:rPr>
        <w:rFonts w:ascii="Arial" w:hAnsi="Arial"/>
        <w:i/>
        <w:color w:val="d99695" w:themeColor="accent2" w:themeTint="97" w:themeShade="95"/>
        <w:sz w:val="22"/>
      </w:r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Row">
      <w:rPr>
        <w:rFonts w:ascii="Arial" w:hAnsi="Arial"/>
        <w:i/>
        <w:color w:val="d99695" w:themeColor="accent2" w:themeTint="97" w:themeShade="95"/>
        <w:sz w:val="22"/>
      </w:r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firstRow">
      <w:rPr>
        <w:rFonts w:ascii="Arial" w:hAnsi="Arial"/>
        <w:i/>
        <w:color w:val="c3d69b" w:themeColor="accent3" w:themeTint="98" w:themeShade="95"/>
        <w:sz w:val="22"/>
      </w:rPr>
      <w:tcPr>
        <w:tcBorders>
          <w:top w:val="none" w:color="000000" w:sz="4" w:space="0"/>
          <w:left w:val="none" w:color="000000" w:sz="4" w:space="0"/>
          <w:bottom w:val="single" w:color="C3D69B" w:themeColor="accent3" w:themeTint="98" w:sz="4" w:space="0"/>
          <w:right w:val="none" w:color="000000" w:sz="4" w:space="0"/>
        </w:tcBorders>
        <w:shd w:val="clear" w:color="ffffff" w:themeColor="light1" w:fill="ffffff" w:themeFill="light1"/>
      </w:tcPr>
    </w:tblStylePr>
    <w:tblStylePr w:type="lastRow">
      <w:rPr>
        <w:rFonts w:ascii="Arial" w:hAnsi="Arial"/>
        <w:i/>
        <w:color w:val="c3d69b" w:themeColor="accent3" w:themeTint="98" w:themeShade="95"/>
        <w:sz w:val="22"/>
      </w:rPr>
      <w:tcPr>
        <w:tcBorders>
          <w:top w:val="single" w:color="C3D69B"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c3d69b" w:themeColor="accent3" w:themeTint="98" w:themeShade="95"/>
        <w:sz w:val="22"/>
      </w:rPr>
      <w:pPr>
        <w:jc w:val="right"/>
      </w:pPr>
      <w:tcPr>
        <w:tcBorders>
          <w:top w:val="none" w:color="000000" w:sz="4" w:space="0"/>
          <w:left w:val="none" w:color="000000" w:sz="4" w:space="0"/>
          <w:bottom w:val="none" w:color="000000" w:sz="4"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cPr>
        <w:tcBorders>
          <w:top w:val="none" w:color="000000" w:sz="4" w:space="0"/>
          <w:left w:val="single" w:color="C3D69B" w:themeColor="accent3" w:themeTint="98" w:sz="4" w:space="0"/>
          <w:bottom w:val="none" w:color="000000" w:sz="4" w:space="0"/>
          <w:right w:val="none" w:color="000000" w:sz="4" w:space="0"/>
        </w:tcBorders>
        <w:shd w:val="clear" w:color="ffffff" w:fill="auto"/>
      </w:tc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firstRow">
      <w:rPr>
        <w:rFonts w:ascii="Arial" w:hAnsi="Arial"/>
        <w:i/>
        <w:color w:val="b2a1c6" w:themeColor="accent4" w:themeTint="9A" w:themeShade="95"/>
        <w:sz w:val="22"/>
      </w:r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Row">
      <w:rPr>
        <w:rFonts w:ascii="Arial" w:hAnsi="Arial"/>
        <w:i/>
        <w:color w:val="b2a1c6" w:themeColor="accent4" w:themeTint="9A" w:themeShade="95"/>
        <w:sz w:val="22"/>
      </w:r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firstRow">
      <w:rPr>
        <w:rFonts w:ascii="Arial" w:hAnsi="Arial"/>
        <w:i/>
        <w:color w:val="92ccdc" w:themeColor="accent5" w:themeTint="9A" w:themeShade="95"/>
        <w:sz w:val="22"/>
      </w:rPr>
      <w:tcPr>
        <w:tcBorders>
          <w:top w:val="none" w:color="000000" w:sz="4" w:space="0"/>
          <w:left w:val="none" w:color="000000" w:sz="4" w:space="0"/>
          <w:bottom w:val="single" w:color="92CCDC" w:themeColor="accent5" w:themeTint="9A" w:sz="4" w:space="0"/>
          <w:right w:val="none" w:color="000000" w:sz="4" w:space="0"/>
        </w:tcBorders>
        <w:shd w:val="clear" w:color="ffffff" w:themeColor="light1" w:fill="ffffff" w:themeFill="light1"/>
      </w:tcPr>
    </w:tblStylePr>
    <w:tblStylePr w:type="lastRow">
      <w:rPr>
        <w:rFonts w:ascii="Arial" w:hAnsi="Arial"/>
        <w:i/>
        <w:color w:val="92ccdc" w:themeColor="accent5" w:themeTint="9A" w:themeShade="95"/>
        <w:sz w:val="22"/>
      </w:rPr>
      <w:tcPr>
        <w:tcBorders>
          <w:top w:val="single" w:color="92CCDC"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92ccdc" w:themeColor="accent5" w:themeTint="9A" w:themeShade="95"/>
        <w:sz w:val="22"/>
      </w:rPr>
      <w:pPr>
        <w:jc w:val="right"/>
      </w:pPr>
      <w:tcPr>
        <w:tcBorders>
          <w:top w:val="none" w:color="000000" w:sz="4" w:space="0"/>
          <w:left w:val="none" w:color="000000" w:sz="4" w:space="0"/>
          <w:bottom w:val="none" w:color="000000" w:sz="4"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cPr>
        <w:tcBorders>
          <w:top w:val="none" w:color="000000" w:sz="4" w:space="0"/>
          <w:left w:val="single" w:color="92CCDC" w:themeColor="accent5" w:themeTint="9A" w:sz="4" w:space="0"/>
          <w:bottom w:val="none" w:color="000000" w:sz="4" w:space="0"/>
          <w:right w:val="none" w:color="000000" w:sz="4" w:space="0"/>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firstRow">
      <w:rPr>
        <w:rFonts w:ascii="Arial" w:hAnsi="Arial"/>
        <w:i/>
        <w:color w:val="fac090" w:themeColor="accent6" w:themeTint="98" w:themeShade="95"/>
        <w:sz w:val="22"/>
      </w:rPr>
      <w:tcPr>
        <w:tcBorders>
          <w:top w:val="none" w:color="000000" w:sz="4" w:space="0"/>
          <w:left w:val="none" w:color="000000" w:sz="4" w:space="0"/>
          <w:bottom w:val="single" w:color="FAC090" w:themeColor="accent6" w:themeTint="98" w:sz="4" w:space="0"/>
          <w:right w:val="none" w:color="000000" w:sz="4" w:space="0"/>
        </w:tcBorders>
        <w:shd w:val="clear" w:color="ffffff" w:themeColor="light1" w:fill="ffffff" w:themeFill="light1"/>
      </w:tcPr>
    </w:tblStylePr>
    <w:tblStylePr w:type="lastRow">
      <w:rPr>
        <w:rFonts w:ascii="Arial" w:hAnsi="Arial"/>
        <w:i/>
        <w:color w:val="fac090" w:themeColor="accent6" w:themeTint="98" w:themeShade="95"/>
        <w:sz w:val="22"/>
      </w:rPr>
      <w:tcPr>
        <w:tcBorders>
          <w:top w:val="single" w:color="FAC090"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fac090" w:themeColor="accent6" w:themeTint="98" w:themeShade="95"/>
        <w:sz w:val="22"/>
      </w:rPr>
      <w:pPr>
        <w:jc w:val="right"/>
      </w:pPr>
      <w:tcPr>
        <w:tcBorders>
          <w:top w:val="none" w:color="000000" w:sz="4" w:space="0"/>
          <w:left w:val="none" w:color="000000" w:sz="4" w:space="0"/>
          <w:bottom w:val="none" w:color="000000" w:sz="4"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cPr>
        <w:tcBorders>
          <w:top w:val="none" w:color="000000" w:sz="4" w:space="0"/>
          <w:left w:val="single" w:color="FAC090" w:themeColor="accent6" w:themeTint="98" w:sz="4" w:space="0"/>
          <w:bottom w:val="none" w:color="000000" w:sz="4" w:space="0"/>
          <w:right w:val="none" w:color="000000" w:sz="4" w:space="0"/>
        </w:tcBorders>
        <w:shd w:val="clear" w:color="ffffff" w:fill="auto"/>
      </w:tc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Lined-Accent1"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Lined-Accent2"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Lined-Accent3"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Lined-Accent4"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Lined-Accent5"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Lined-Accent6"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Lined-Accent"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BorderedLined-Accent1"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BorderedLined-Accent2"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BorderedLined-Accent3"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BorderedLined-Accent4"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BorderedLined-Accent5"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BorderedLined-Accent6"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firstRow">
      <w:rPr>
        <w:rFonts w:ascii="Arial" w:hAnsi="Arial"/>
        <w:color w:val="404040"/>
        <w:sz w:val="22"/>
      </w:rPr>
      <w:tcPr>
        <w:tcBorders>
          <w:bottom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themeColor="text1" w:themeTint="80" w:sz="12" w:space="0"/>
        </w:tcBorders>
      </w:tcPr>
    </w:tblStyle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firstRow">
      <w:rPr>
        <w:rFonts w:ascii="Arial" w:hAnsi="Arial"/>
        <w:color w:val="404040"/>
        <w:sz w:val="22"/>
      </w:rPr>
      <w:tcPr>
        <w:tcBorders>
          <w:bottom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themeColor="accent2" w:themeTint="97" w:sz="12" w:space="0"/>
        </w:tcBorders>
      </w:tc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firstRow">
      <w:rPr>
        <w:rFonts w:ascii="Arial" w:hAnsi="Arial"/>
        <w:color w:val="404040"/>
        <w:sz w:val="22"/>
      </w:rPr>
      <w:tcPr>
        <w:tcBorders>
          <w:bottom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rPr>
      <w:sz w:val="20"/>
      <w:szCs w:val="20"/>
    </w:rPr>
  </w:style>
  <w:style w:type="character" w:styleId="FootnoteTextChar" w:customStyle="1">
    <w:name w:val="Footnote Text Char"/>
    <w:uiPriority w:val="99"/>
    <w:rPr>
      <w:sz w:val="18"/>
    </w:rPr>
  </w:style>
  <w:style w:type="character" w:styleId="af4">
    <w:name w:val="footnote reference"/>
    <w:rPr>
      <w:rFonts w:ascii="Times New Roman" w:hAnsi="Times New Roman"/>
      <w:vertAlign w:val="superscript"/>
    </w:rPr>
  </w:style>
  <w:style w:type="paragraph" w:styleId="af5">
    <w:name w:val="endnote text"/>
    <w:basedOn w:val="a"/>
    <w:link w:val="af6"/>
    <w:uiPriority w:val="99"/>
    <w:semiHidden/>
    <w:unhideWhenUsed/>
    <w:rPr>
      <w:sz w:val="20"/>
    </w:rPr>
  </w:style>
  <w:style w:type="character" w:styleId="af6" w:customStyle="1">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character" w:styleId="20" w:customStyle="1">
    <w:name w:val="Заголовок 2 Знак"/>
    <w:link w:val="2"/>
    <w:rPr>
      <w:rFonts w:ascii="Cambria" w:hAnsi="Cambria" w:eastAsia="Times New Roman" w:cs="Times New Roman"/>
      <w:b/>
      <w:bCs/>
      <w:i/>
      <w:iCs/>
      <w:sz w:val="28"/>
      <w:szCs w:val="28"/>
      <w:lang w:val="en-US" w:eastAsia="en-US"/>
    </w:rPr>
  </w:style>
  <w:style w:type="character" w:styleId="70" w:customStyle="1">
    <w:name w:val="Заголовок 7 Знак"/>
    <w:link w:val="7"/>
    <w:rPr>
      <w:rFonts w:ascii="Times New Roman" w:hAnsi="Times New Roman" w:eastAsia="Times New Roman" w:cs="Times New Roman"/>
      <w:sz w:val="24"/>
      <w:szCs w:val="24"/>
      <w:lang w:val="en-US" w:eastAsia="en-US"/>
    </w:rPr>
  </w:style>
  <w:style w:type="character" w:styleId="3211221212111121"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21221212112131"/>
    <w:uiPriority w:val="99"/>
    <w:rPr>
      <w:rFonts w:ascii="Courier New" w:hAnsi="Courier New"/>
      <w:sz w:val="24"/>
    </w:rPr>
  </w:style>
  <w:style w:type="paragraph" w:styleId="21221212112131"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211221212111121"/>
    <w:uiPriority w:val="99"/>
    <w:rPr>
      <w:rFonts w:ascii="Courier New" w:hAnsi="Courier New"/>
      <w:szCs w:val="22"/>
      <w:lang w:eastAsia="en-US"/>
    </w:rPr>
  </w:style>
  <w:style w:type="character" w:styleId="afa" w:customStyle="1">
    <w:name w:val="Текст Знак"/>
    <w:uiPriority w:val="99"/>
    <w:semiHidden/>
    <w:rPr>
      <w:rFonts w:ascii="Consolas" w:hAnsi="Consolas" w:eastAsia="Calibri" w:cs="Consolas"/>
      <w:sz w:val="21"/>
      <w:szCs w:val="21"/>
      <w:lang w:eastAsia="ru-RU"/>
    </w:rPr>
  </w:style>
  <w:style w:type="character" w:styleId="ConsPlusNormal" w:customStyle="1">
    <w:name w:val="ConsPlusNormal Знак"/>
    <w:link w:val="ConsPlusNormal0"/>
    <w:rPr>
      <w:rFonts w:ascii="Arial" w:hAnsi="Arial"/>
    </w:rPr>
  </w:style>
  <w:style w:type="paragraph" w:styleId="ConsPlusNormal0" w:customStyle="1">
    <w:name w:val="ConsPlusNormal"/>
    <w:link w:val="ConsPlusNormal"/>
    <w:pPr>
      <w:ind w:firstLine="720"/>
    </w:pPr>
    <w:rPr>
      <w:rFonts w:ascii="Arial" w:hAnsi="Arial"/>
      <w:sz w:val="22"/>
      <w:szCs w:val="22"/>
      <w:lang w:eastAsia="en-US"/>
    </w:rPr>
  </w:style>
  <w:style w:type="character" w:styleId="ConsNormal" w:customStyle="1">
    <w:name w:val="ConsNormal Знак"/>
    <w:link w:val="ConsNormal0"/>
    <w:rPr>
      <w:rFonts w:ascii="Arial" w:hAnsi="Arial"/>
    </w:rPr>
  </w:style>
  <w:style w:type="paragraph" w:styleId="ConsNormal0" w:customStyle="1">
    <w:name w:val="ConsNormal"/>
    <w:link w:val="ConsNormal"/>
    <w:pPr>
      <w:widowControl w:val="off"/>
      <w:ind w:right="19772" w:firstLine="720"/>
    </w:pPr>
    <w:rPr>
      <w:rFonts w:ascii="Arial" w:hAnsi="Arial"/>
      <w:sz w:val="22"/>
      <w:szCs w:val="22"/>
      <w:lang w:eastAsia="en-US"/>
    </w:rPr>
  </w:style>
  <w:style w:type="character" w:styleId="af3" w:customStyle="1">
    <w:name w:val="Текст сноски Знак"/>
    <w:link w:val="af2"/>
    <w:rPr>
      <w:rFonts w:ascii="Times New Roman" w:hAnsi="Times New Roman" w:eastAsia="Calibri" w:cs="Times New Roman"/>
      <w:sz w:val="20"/>
      <w:szCs w:val="20"/>
      <w:lang w:eastAsia="ru-RU"/>
    </w:rPr>
  </w:style>
  <w:style w:type="paragraph" w:styleId="afb" w:customStyle="1">
    <w:name w:val="обычный"/>
    <w:basedOn w:val="a"/>
    <w:rPr>
      <w:rFonts w:eastAsia="Times New Roman"/>
      <w:color w:val="000000"/>
      <w:sz w:val="20"/>
      <w:szCs w:val="20"/>
    </w:rPr>
  </w:style>
  <w:style w:type="paragraph" w:styleId="consplusnormal1" w:customStyle="1">
    <w:name w:val="consplusnormal"/>
    <w:basedOn w:val="a"/>
    <w:rPr>
      <w:rFonts w:ascii="Arial" w:hAnsi="Arial" w:eastAsia="Times New Roman" w:cs="Arial"/>
      <w:color w:val="000000"/>
      <w:sz w:val="20"/>
      <w:szCs w:val="20"/>
    </w:rPr>
  </w:style>
  <w:style w:type="character" w:styleId="ac" w:customStyle="1">
    <w:name w:val="Верхний колонтитул Знак"/>
    <w:link w:val="ab"/>
    <w:uiPriority w:val="99"/>
    <w:rPr>
      <w:rFonts w:ascii="Times New Roman" w:hAnsi="Times New Roman" w:eastAsia="Calibri" w:cs="Times New Roman"/>
      <w:sz w:val="24"/>
      <w:szCs w:val="24"/>
      <w:lang w:eastAsia="ru-RU"/>
    </w:rPr>
  </w:style>
  <w:style w:type="character" w:styleId="ae" w:customStyle="1">
    <w:name w:val="Нижний колонтитул Знак"/>
    <w:link w:val="ad"/>
    <w:uiPriority w:val="99"/>
    <w:rPr>
      <w:rFonts w:ascii="Times New Roman" w:hAnsi="Times New Roman" w:eastAsia="Calibri" w:cs="Times New Roman"/>
      <w:sz w:val="24"/>
      <w:szCs w:val="24"/>
      <w:lang w:eastAsia="ru-RU"/>
    </w:rPr>
  </w:style>
  <w:style w:type="paragraph" w:styleId="afc">
    <w:name w:val="Balloon Text"/>
    <w:basedOn w:val="a"/>
    <w:link w:val="afd"/>
    <w:uiPriority w:val="99"/>
    <w:semiHidden/>
    <w:unhideWhenUsed/>
    <w:rPr>
      <w:rFonts w:ascii="Tahoma" w:hAnsi="Tahoma" w:cs="Tahoma"/>
      <w:sz w:val="16"/>
      <w:szCs w:val="16"/>
    </w:rPr>
  </w:style>
  <w:style w:type="character" w:styleId="afd" w:customStyle="1">
    <w:name w:val="Текст выноски Знак"/>
    <w:link w:val="afc"/>
    <w:uiPriority w:val="99"/>
    <w:semiHidden/>
    <w:rPr>
      <w:rFonts w:ascii="Tahoma" w:hAnsi="Tahoma" w:eastAsia="Calibri" w:cs="Tahoma"/>
      <w:sz w:val="16"/>
      <w:szCs w:val="16"/>
      <w:lang w:eastAsia="ru-RU"/>
    </w:rPr>
  </w:style>
  <w:style w:type="paragraph" w:styleId="afe" w:customStyle="1">
    <w:name w:val="Название"/>
    <w:basedOn w:val="a"/>
    <w:next w:val="a"/>
    <w:link w:val="aff"/>
    <w:uiPriority w:val="10"/>
    <w:qFormat/>
    <w:pPr>
      <w:widowControl w:val="off"/>
      <w:contextualSpacing/>
    </w:pPr>
    <w:rPr>
      <w:rFonts w:ascii="Cambria" w:hAnsi="Cambria" w:eastAsia="Times New Roman"/>
      <w:spacing w:val="-10"/>
      <w:sz w:val="56"/>
      <w:szCs w:val="56"/>
      <w:lang w:val="en-US" w:eastAsia="en-US"/>
    </w:rPr>
  </w:style>
  <w:style w:type="character" w:styleId="aff" w:customStyle="1">
    <w:name w:val="Название Знак"/>
    <w:link w:val="afe"/>
    <w:uiPriority w:val="10"/>
    <w:rPr>
      <w:rFonts w:ascii="Cambria" w:hAnsi="Cambria" w:eastAsia="Times New Roman"/>
      <w:spacing w:val="-10"/>
      <w:sz w:val="56"/>
      <w:szCs w:val="56"/>
      <w:lang w:val="en-US" w:eastAsia="en-US"/>
    </w:rPr>
  </w:style>
  <w:style w:type="paragraph" w:styleId="LBBodyText2" w:customStyle="1">
    <w:name w:val="LB Body Text 2"/>
    <w:basedOn w:val="a"/>
    <w:pPr>
      <w:spacing w:before="120" w:after="120"/>
      <w:ind w:left="720"/>
      <w:jc w:val="both"/>
    </w:pPr>
    <w:rPr>
      <w:rFonts w:eastAsia="Times New Roman"/>
      <w:sz w:val="22"/>
      <w:szCs w:val="20"/>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hyperlink" Target="http://www.consultant.ru/document/cons_doc_LAW_155057/?dst=10001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82BE5-3676-450C-90E8-61C35CA55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Р7-Офис/2024.4.1.630</Application>
  <Characters>24195</Characters>
  <CharactersWithSpaces>28383</CharactersWithSpaces>
  <Company/>
  <DocSecurity>0</DocSecurity>
  <HyperlinksChanged>false</HyperlinksChanged>
  <Lines>201</Lines>
  <LinksUpToDate>false</LinksUpToDate>
  <Pages>1</Pages>
  <Paragraphs>56</Paragraphs>
  <ScaleCrop>false</ScaleCrop>
  <SharedDoc>false</SharedDoc>
  <Template>Normal</Template>
  <TotalTime>25</TotalTime>
  <Words>4244</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cp:revision>
  <dcterms:created xsi:type="dcterms:W3CDTF">2026-09-04T12:05:00Z</dcterms:created>
  <dcterms:modified xsi:type="dcterms:W3CDTF">2026-09-08T13:11:00Z</dcterms:modified>
  <cp:version>917504</cp:version>
</cp:coreProperties>
</file>