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keepLines/>
        <w:widowControl w:val="false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</w:t>
      </w:r>
      <w:r>
        <w:rPr>
          <w:color w:val="000000" w:themeColor="text1"/>
        </w:rPr>
        <w:t>Приложение 1 к контракту</w:t>
      </w:r>
    </w:p>
    <w:p>
      <w:pPr>
        <w:pStyle w:val="Normal"/>
        <w:keepNext w:val="true"/>
        <w:keepLines/>
        <w:widowControl w:val="false"/>
        <w:jc w:val="right"/>
        <w:rPr/>
      </w:pPr>
      <w:r>
        <w:rPr>
          <w:color w:val="000000" w:themeColor="text1"/>
        </w:rPr>
        <w:t>№</w:t>
      </w:r>
      <w:r>
        <w:rPr>
          <w:color w:val="000000" w:themeColor="text1"/>
          <w:szCs w:val="24"/>
        </w:rPr>
        <w:t>0145300010326000311</w:t>
      </w:r>
      <w:r>
        <w:rPr>
          <w:color w:val="000000" w:themeColor="text1"/>
        </w:rPr>
        <w:t xml:space="preserve"> от «___» </w:t>
      </w:r>
      <w:r>
        <w:rPr>
          <w:color w:val="000000" w:themeColor="text1"/>
        </w:rPr>
        <w:t xml:space="preserve">июля </w:t>
      </w:r>
      <w:r>
        <w:rPr>
          <w:color w:val="000000" w:themeColor="text1"/>
        </w:rPr>
        <w:t>2026 г.</w:t>
      </w:r>
    </w:p>
    <w:p>
      <w:pPr>
        <w:pStyle w:val="Normal"/>
        <w:keepNext w:val="true"/>
        <w:keepLines/>
        <w:ind w:firstLine="567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</w:p>
    <w:p>
      <w:pPr>
        <w:pStyle w:val="Normal"/>
        <w:keepNext w:val="true"/>
        <w:keepLines/>
        <w:ind w:firstLine="567"/>
        <w:jc w:val="center"/>
        <w:rPr>
          <w:b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ОПИСАНИЕ ОБЪЕКТА ЗАКУПКИ</w:t>
      </w:r>
    </w:p>
    <w:p>
      <w:pPr>
        <w:pStyle w:val="Normal"/>
        <w:keepNext w:val="true"/>
        <w:keepLines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>Замена ограждения территории</w:t>
      </w:r>
    </w:p>
    <w:p>
      <w:pPr>
        <w:pStyle w:val="Normal"/>
        <w:keepNext w:val="true"/>
        <w:keepLines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keepNext w:val="true"/>
        <w:keepLines/>
        <w:jc w:val="center"/>
        <w:rPr>
          <w:color w:val="000000" w:themeColor="text1"/>
        </w:rPr>
      </w:pPr>
      <w:r>
        <w:rPr>
          <w:b/>
          <w:color w:val="000000" w:themeColor="text1"/>
        </w:rPr>
        <w:t xml:space="preserve">Раздел 1. Общие требования. </w:t>
      </w:r>
      <w:r>
        <w:rPr>
          <w:color w:val="000000" w:themeColor="text1"/>
        </w:rPr>
        <w:t xml:space="preserve">  </w:t>
      </w:r>
    </w:p>
    <w:p>
      <w:pPr>
        <w:pStyle w:val="Normal"/>
        <w:keepNext w:val="true"/>
        <w:keepLines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1.1. Предмет Контракта: Замена ограждения территории.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1.2. Виды и объем выполняемых работ: выполнить работы по замене ограждения территории МБДОУ «Детский сад» д. Б. Куземкино» в соответствии с настоящим описанием объекта закупки и Локальным сметным расчетом (смета) №2.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1.3. Код по Общероссийскому классификатору продукции по видам экономической деятельности (ОКПД 2) ОК 034-2014 (КПЕС 2008),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 xml:space="preserve">43.29.12.110 – Работы по установке оград, заборов, защитных перильных и аналогичных ограждений. </w:t>
      </w:r>
    </w:p>
    <w:p>
      <w:pPr>
        <w:pStyle w:val="Normal"/>
        <w:keepNext w:val="true"/>
        <w:keepLines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  <w:t>ИНФОРМАЦИЯ О ПРЕДМЕТЕ ЗАКУПКИ</w:t>
      </w:r>
    </w:p>
    <w:tbl>
      <w:tblPr>
        <w:tblW w:w="9345" w:type="dxa"/>
        <w:jc w:val="center"/>
        <w:tblInd w:w="0" w:type="dxa"/>
        <w:tblCellMar>
          <w:top w:w="0" w:type="dxa"/>
          <w:left w:w="28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898"/>
        <w:gridCol w:w="1822"/>
        <w:gridCol w:w="4602"/>
        <w:gridCol w:w="670"/>
        <w:gridCol w:w="1353"/>
      </w:tblGrid>
      <w:tr>
        <w:trPr>
          <w:trHeight w:val="1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rFonts w:eastAsia="Segoe UI Symbol"/>
                <w:b/>
                <w:color w:val="000000" w:themeColor="text1"/>
              </w:rPr>
              <w:t>№</w:t>
            </w:r>
            <w:r>
              <w:rPr>
                <w:b/>
                <w:color w:val="000000" w:themeColor="text1"/>
              </w:rPr>
              <w:t xml:space="preserve"> </w:t>
            </w:r>
            <w:r>
              <w:rPr>
                <w:b/>
                <w:color w:val="000000" w:themeColor="text1"/>
              </w:rPr>
              <w:t>п/п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spacing w:before="75" w:after="150"/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  <w:shd w:fill="FFFFFF" w:val="clear"/>
              </w:rPr>
              <w:t>Код позиции ОКПД 2</w:t>
            </w: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Наименование работ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Ед. изм.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Количество</w:t>
            </w:r>
          </w:p>
        </w:tc>
      </w:tr>
      <w:tr>
        <w:trPr/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rFonts w:eastAsia="Cambria"/>
                <w:color w:val="000000" w:themeColor="text1"/>
              </w:rPr>
              <w:t>1.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43.29.12.110</w:t>
            </w:r>
          </w:p>
        </w:tc>
        <w:tc>
          <w:tcPr>
            <w:tcW w:w="4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Замена ограждения территории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rFonts w:eastAsia="Cambria"/>
                <w:color w:val="000000" w:themeColor="text1"/>
              </w:rPr>
            </w:pPr>
            <w:r>
              <w:rPr>
                <w:rFonts w:eastAsia="Cambria"/>
                <w:color w:val="000000" w:themeColor="text1"/>
              </w:rPr>
              <w:t>усл.</w:t>
            </w:r>
          </w:p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rFonts w:eastAsia="Cambria"/>
                <w:color w:val="000000" w:themeColor="text1"/>
              </w:rPr>
              <w:t>ед.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color w:val="000000" w:themeColor="text1"/>
              </w:rPr>
            </w:pPr>
            <w:r>
              <w:rPr>
                <w:rFonts w:eastAsia="Cambria"/>
                <w:color w:val="000000" w:themeColor="text1"/>
              </w:rPr>
              <w:t>1</w:t>
            </w:r>
          </w:p>
        </w:tc>
      </w:tr>
    </w:tbl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</w:r>
    </w:p>
    <w:p>
      <w:pPr>
        <w:pStyle w:val="Normal"/>
        <w:rPr>
          <w:color w:val="000000" w:themeColor="text1"/>
        </w:rPr>
      </w:pPr>
      <w:r>
        <w:rPr>
          <w:bCs/>
          <w:color w:val="000000" w:themeColor="text1"/>
        </w:rPr>
        <w:t xml:space="preserve">1.4. Состав, объем и содержание работ определяются: Описанием объекта закупки, Локальным сметным расчетом (смета) №2(Приложение №2 к Контракту). 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Работы включают в себя, в том числе: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демонтаж существующего металлического ограждения;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демонтаж бетонных оснований и опор ограждения;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погрузку и вывоз строительного мусора;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утилизацию строительных отходов;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поставка ворот и калитки;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устройство металлического ограждения территории;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установку металлических столбов ограждения;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монтаж металлических решетчатых панелей ограждения;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устройство ворот, калитки;</w:t>
      </w:r>
    </w:p>
    <w:p>
      <w:pPr>
        <w:pStyle w:val="Normal"/>
        <w:rPr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бетонирование оснований опор ограждения;</w:t>
      </w:r>
    </w:p>
    <w:p>
      <w:pPr>
        <w:pStyle w:val="Normal"/>
        <w:numPr>
          <w:ilvl w:val="0"/>
          <w:numId w:val="1"/>
        </w:numPr>
        <w:ind w:left="0" w:hanging="0"/>
        <w:rPr>
          <w:color w:val="000000" w:themeColor="text1"/>
        </w:rPr>
      </w:pPr>
      <w:r>
        <w:rPr>
          <w:bCs/>
          <w:color w:val="000000" w:themeColor="text1"/>
        </w:rPr>
        <w:t>окраска металлических огрунтованных поверхностей эмалью;</w:t>
      </w:r>
    </w:p>
    <w:p>
      <w:pPr>
        <w:pStyle w:val="Normal"/>
        <w:numPr>
          <w:ilvl w:val="0"/>
          <w:numId w:val="1"/>
        </w:numPr>
        <w:ind w:left="0" w:hanging="0"/>
        <w:rPr>
          <w:color w:val="000000" w:themeColor="text1"/>
        </w:rPr>
      </w:pPr>
      <w:r>
        <w:rPr>
          <w:bCs/>
          <w:color w:val="000000" w:themeColor="text1"/>
        </w:rPr>
        <w:t>озеленение;</w:t>
      </w:r>
    </w:p>
    <w:p>
      <w:pPr>
        <w:pStyle w:val="Normal"/>
        <w:rPr>
          <w:bCs/>
          <w:color w:val="000000" w:themeColor="text1"/>
        </w:rPr>
      </w:pPr>
      <w:r>
        <w:rPr>
          <w:bCs/>
          <w:color w:val="000000" w:themeColor="text1"/>
        </w:rPr>
        <w:t>•</w:t>
      </w:r>
      <w:r>
        <w:rPr>
          <w:bCs/>
          <w:color w:val="000000" w:themeColor="text1"/>
        </w:rPr>
        <w:tab/>
        <w:t>иные сопутствующие работы.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2. Источник финансирования</w:t>
      </w:r>
    </w:p>
    <w:p>
      <w:pPr>
        <w:pStyle w:val="ListParagraph"/>
        <w:ind w:left="0" w:hanging="0"/>
        <w:jc w:val="both"/>
        <w:rPr>
          <w:color w:val="000000" w:themeColor="text1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2.1.  </w:t>
      </w:r>
      <w:r>
        <w:rPr>
          <w:rFonts w:ascii="Times New Roman" w:hAnsi="Times New Roman"/>
          <w:color w:val="000000" w:themeColor="text1"/>
          <w:sz w:val="24"/>
        </w:rPr>
        <w:t>В</w:t>
      </w:r>
      <w:r>
        <w:rPr>
          <w:rFonts w:ascii="Times New Roman" w:hAnsi="Times New Roman"/>
          <w:color w:val="000000" w:themeColor="text1"/>
          <w:sz w:val="24"/>
          <w:szCs w:val="24"/>
        </w:rPr>
        <w:t>ыполнение мероприятий по предписаниям в учреждениях образования КС 524.</w:t>
      </w:r>
    </w:p>
    <w:p>
      <w:pPr>
        <w:pStyle w:val="Normal"/>
        <w:keepNext w:val="true"/>
        <w:keepLines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3. Форма, сроки и порядок оплаты выполнения работ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3.1. Оплата осуществляется в безналичной форме в соответствии с утвержденными бюджетными ассигнованиями.</w:t>
      </w:r>
    </w:p>
    <w:p>
      <w:pPr>
        <w:pStyle w:val="Normal"/>
        <w:jc w:val="both"/>
        <w:rPr>
          <w:b/>
          <w:b/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3.2. Сроки и порядок оплаты: </w:t>
      </w:r>
    </w:p>
    <w:p>
      <w:pPr>
        <w:pStyle w:val="Normal"/>
        <w:jc w:val="both"/>
        <w:rPr>
          <w:b/>
          <w:b/>
          <w:color w:val="000000" w:themeColor="text1"/>
        </w:rPr>
      </w:pPr>
      <w:r>
        <w:rPr>
          <w:color w:val="000000" w:themeColor="text1"/>
        </w:rPr>
        <w:t>Оплата за выполненные Работы производится в течение 7 (семи) рабочих дней с даты подписания Заказчиком сформированного в единой информационной системе документа о приемке в электронном виде, на основании предоставленных справки о стоимости выполненных работ, счета (счет-фактуры при необходимости) и иной необходимой документации, путем перечисления денежных средств на расчетный счет Подрядчика.</w:t>
      </w:r>
    </w:p>
    <w:p>
      <w:pPr>
        <w:pStyle w:val="Normal"/>
        <w:jc w:val="both"/>
        <w:rPr>
          <w:b/>
          <w:b/>
          <w:color w:val="000000" w:themeColor="text1"/>
        </w:rPr>
      </w:pPr>
      <w:r>
        <w:rPr>
          <w:color w:val="000000" w:themeColor="text1"/>
        </w:rPr>
        <w:t>3.3. Работы, выполненные Подрядчиком с отклонениями от требований нормативно-правовых актов и иных исходных данных или иными недостатками, не подлежат оплате до устранения Подрядчиком обнаруженных недостатков.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3.4. Авансирование подлежащих выполнению Подрядчиком работ не предусматривается.</w:t>
      </w:r>
    </w:p>
    <w:p>
      <w:pPr>
        <w:pStyle w:val="Normal"/>
        <w:ind w:left="-284" w:right="-1" w:firstLine="426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4. Место, условия и сроки выполнения работ</w:t>
      </w:r>
    </w:p>
    <w:p>
      <w:pPr>
        <w:pStyle w:val="NoSpacing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4.1. Место выполнения работ: 188475, Ленинградская область, Кингисеппский район, Куземкинское сельское поселение, д. Б. Куземкино, мкр. Центральный, д.6 (далее - объект)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 Условия и сроки выполнения работ: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4.2.1. Перед началом выполнения работ Подрядчик должен назначить приказом ответственного производителя работ, ответственного представителя за соблюдение правил пожарной безопасности, соблюдение правил техники безопасности на объекте и представить данные представителю Заказчика.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4.2.2. Работы разрешается выполнять с 8.00 до 20.00 час – будние дни. Работы выполняются с учетом режима тихого часа в детском саду. В остальное время нахождение на объекте работников Подрядчика запрещается.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4.2.3. Срок выполнения работ: с момента подписания Контракта по 15 сентября 2026 года.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4.2.4. Ответственный представитель Заказчика осуществляет контроль за сроками выполнения работ.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4.2.5. Ответственный представитель Заказчика: исполняющий обязанности заведующего Тюкова Наталья Леонидовна.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keepNext w:val="true"/>
        <w:keepLines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5. Требования к количественным характеристикам (объему) работ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 xml:space="preserve">5.1. Выполнение всех видов работ должно осуществляться в объеме, установленном Локальным сметным расчетом (смета) №2. Используемые материалы также должны соответствовать государственным стандартам и Описанию объекта закупки. </w:t>
      </w:r>
    </w:p>
    <w:p>
      <w:pPr>
        <w:pStyle w:val="Normal"/>
        <w:keepNext w:val="true"/>
        <w:keepLines/>
        <w:jc w:val="both"/>
        <w:rPr>
          <w:b/>
          <w:b/>
          <w:color w:val="000000" w:themeColor="text1"/>
        </w:rPr>
      </w:pPr>
      <w:r>
        <w:rPr>
          <w:color w:val="000000" w:themeColor="text1"/>
        </w:rPr>
        <w:t>5.2. Все работы проводятся под наблюдением ответственного представителя Заказчика.</w:t>
      </w:r>
    </w:p>
    <w:p>
      <w:pPr>
        <w:pStyle w:val="Normal"/>
        <w:ind w:right="-1" w:hanging="0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ind w:right="-1" w:hanging="0"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  <w:t>6. Требования к выполняемым работам</w:t>
      </w:r>
    </w:p>
    <w:p>
      <w:pPr>
        <w:pStyle w:val="Normal"/>
        <w:ind w:right="-1" w:hanging="0"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color w:val="000000" w:themeColor="text1"/>
        </w:rPr>
        <w:t xml:space="preserve">6.1. Все применяемые Подрядчиком материалы, конструкции и детали должны иметь сертификат соответствия и быть разрешены к применению на территории РФ. Требование установлено в соответствии с пунктом 2 статьи 28 Федерального закона от 27.12.2002 № 184-ФЗ «О техническом регулировании» и Постановлением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 Все применяемые материалы должны соответствовать ГОСТ, стандартам, сертификатам и/или декларациям о соответствии на материалы, для которых предусмотрена обязательная сертификация и/или которые подлежат декларированию соответствия. </w:t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color w:val="000000" w:themeColor="text1"/>
        </w:rPr>
        <w:t>6.2.</w:t>
      </w:r>
      <w:r>
        <w:rPr>
          <w:b/>
          <w:bCs/>
          <w:color w:val="000000" w:themeColor="text1"/>
        </w:rPr>
        <w:t xml:space="preserve"> </w:t>
      </w:r>
      <w:r>
        <w:rPr>
          <w:color w:val="000000" w:themeColor="text1"/>
        </w:rPr>
        <w:t xml:space="preserve">Если при выполнении работ предполагается использовать материалы и изделия, в отношении которых в документации о закупке установлено указание на товарные знаки, то такое указание сопровождается словами «или эквивалент». </w:t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color w:val="000000" w:themeColor="text1"/>
        </w:rPr>
        <w:t>6.3.</w:t>
      </w:r>
      <w:r>
        <w:rPr>
          <w:b/>
          <w:bCs/>
          <w:color w:val="000000" w:themeColor="text1"/>
        </w:rPr>
        <w:t xml:space="preserve"> </w:t>
      </w:r>
      <w:r>
        <w:rPr>
          <w:color w:val="000000" w:themeColor="text1"/>
        </w:rPr>
        <w:t>Сертификаты на используемые при выполнении работ материалы и оборудование, должны быть представлены Подрядчиком Заказчику не менее чем за 5 (Пять) календарных дней до их использования в работах.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6.4.</w:t>
      </w:r>
      <w:r>
        <w:rPr>
          <w:b/>
          <w:bCs/>
          <w:color w:val="000000" w:themeColor="text1"/>
        </w:rPr>
        <w:t xml:space="preserve"> </w:t>
      </w:r>
      <w:r>
        <w:rPr>
          <w:color w:val="000000" w:themeColor="text1"/>
        </w:rPr>
        <w:t>Подрядчик обязан осуществлять фотофиксацию территории и конструкций, на которых выполняются работы по замене ограждения, до начала выполнения работ, в процессе выполнения работ и после их завершения. Фотофиксация должна отражать фактическое состояние объекта на каждом этапе выполнения работ. Материалы фотофиксации передаются Заказчику в электронном виде одновременно с документами, представляемыми для приемки выполненных работ.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6.5. Подрядчик обязан обеспечивать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представителя к любому конструктивному элементу объекта, представлять по его требованию отчеты о ходе выполнения работ, исполнительную документацию.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6.6. Подрядчик обязан постоянно вести журнал учета выполненных работ и своевременно оформлять исполнительную документацию и акты на скрытые работы, извещая Заказчика не менее чем за 48 часов о времени освидетельствования скрытых работ.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6.7. Подрядчик приступает к выполнению последующих работ только после письменного разрешения ответственного представителя Заказчика, внесенного в журнал учета выполненных работ. Если закрытие работ выполнено без подтверждения Заказчика и представителя технического надзора, либо они не были информированы об этом или информированы с опозданием, то по их требованию и указанию Подрядчик обязан за свой счет вскрыть любую часть скрытых работ, а затем восстановить ее.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6.8. Подрядчик обязан незамедлительно информировать Заказчика обо всех обстоятельствах, препятствующих исполнению контракта. Несвоевременное информирование о невозможности выполнить условия Контракта является нарушением условия Контракта.</w:t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ind w:right="-1" w:hanging="0"/>
        <w:jc w:val="center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  <w:t>7. Требования к качеству и безопасности выполнения работ.</w:t>
      </w:r>
    </w:p>
    <w:p>
      <w:pPr>
        <w:pStyle w:val="Normal"/>
        <w:ind w:right="-1" w:hanging="0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7.1. Качество и безопасность работ должны соответствовать требованиям, обычно предъявляемым к работам данного вида, установленным действующим законодательством в области обеспечения санитарно-эпидемиологического благополучия населения (санитарное законодательство) и иных нормативно-правовых актов Российской Федерации, в том числе: 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- СП 48.13330.2019. Свод правил. Организация строительства. СНиП 12-01-2004;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- СП 70.13330.2012. Свод правил. Несущие и ограждающие конструкции. Актуализированная редакция СНиП 3.03.01-87;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- СП 53.13330.2019. Свод правил. Планировка и застройка территории ведения гражданами садоводства. Здания и сооружения (СНиП 30-02-97* Планировка и застройка территорий садоводческих (дачных) объединений граждан, здания и сооружения);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- ГОСТ Р 58967</w:t>
      </w:r>
      <w:bookmarkStart w:id="0" w:name="_GoBack"/>
      <w:bookmarkEnd w:id="0"/>
      <w:r>
        <w:rPr>
          <w:color w:val="000000" w:themeColor="text1"/>
        </w:rPr>
        <w:t xml:space="preserve">-2020. Национальный стандарт Российской Федерации. Ограждения инвентарные строительных площадок и участков производства строительно-монтажных работ. Технические условия; 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- ГОСТ 23118-2019. Межгосударственный стандарт. Конструкции стальные строительные. Общие технические условия.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7.2. К выполнению работ должны привлекаться рабочие, имеющие соответствующие разряды и прошедшие медицинское освидетельствование в соответствии с Постановлением Госстроя от 23.07.2001 №80 «О принятии строительных норм и правил в Российской Федерации Безопасность труда в строительстве. Часть 1. Общие требования. СНиП 12-03-2001» (Зарегистрировано в Минюсте РФ 09.08.2001 №2862) и Постановлением Госстроя России от 17.09.2002 № 123 «О принятии строительных норм и правил Российской Федерации «Безопасность труда в строительстве. Часть 2. Строительное производство. СНиП 12-04-2002» (Зарегистрировано в Минюсте России и 18.10.2002 №3880).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7.3 Подрядчик обязан исполнять требования миграционного и трудового законодательства Российской Федерации, в том числе,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>
      <w:pPr>
        <w:pStyle w:val="Normal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7.4. Подрядчик несет полную ответственность за соблюдение требований по безопасности труда при проведении работ до полной сдачи объекта.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60" w:leader="none"/>
        </w:tabs>
        <w:jc w:val="both"/>
        <w:outlineLvl w:val="4"/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7.5. Подрядчик несет полную ответственность за соблюдение норм и правил по технике безопасности и пожарной безопасности, электробезопасности при выполнении работ на объекте.</w:t>
      </w:r>
    </w:p>
    <w:p>
      <w:pPr>
        <w:pStyle w:val="Normal"/>
        <w:jc w:val="both"/>
        <w:rPr>
          <w:color w:val="000000" w:themeColor="text1"/>
        </w:rPr>
      </w:pPr>
      <w:r>
        <w:rPr>
          <w:rFonts w:eastAsia="Calibri"/>
          <w:color w:val="000000" w:themeColor="text1"/>
        </w:rPr>
        <w:t>7.6. Подрядчик обязан своими силами и за свой счет возместить ущерб, причиненный при производстве работ по его вине Заказчику и/или третьим лицам, или возместить убытки Заказчика по возмещению ущерба, в том числе третьим лицам. В случае невыполнения указанного в настоящем пункте условия Заказчик имеет право уменьшить размер оплаты по контракту на сумму понесенных убытков.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 xml:space="preserve"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 Подрядчик обязуется обеспечить безопасность выполненных работ для жизни и здоровья сотрудников Заказчика и его воспитанников, третьих лиц, а также предотвращение причинения вреда имуществу указанных лиц, на протяжении установленного гарантийного срока. </w:t>
      </w:r>
    </w:p>
    <w:p>
      <w:pPr>
        <w:pStyle w:val="Normal"/>
        <w:jc w:val="both"/>
        <w:rPr>
          <w:i/>
          <w:i/>
          <w:color w:val="000000" w:themeColor="text1"/>
        </w:rPr>
      </w:pPr>
      <w:r>
        <w:rPr>
          <w:b/>
          <w:i/>
          <w:color w:val="000000" w:themeColor="text1"/>
        </w:rPr>
        <w:t xml:space="preserve">Примечание: </w:t>
      </w:r>
      <w:r>
        <w:rPr>
          <w:i/>
          <w:color w:val="000000" w:themeColor="text1"/>
        </w:rPr>
        <w:t>При отмене или внесении изменений в нормативные документы, на которые в настоящем Описании объекта закупки имеются ссылки, следует использовать актуализированные документы или введенные взамен отмененных.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7.7. Используемые материалы также должны соответствовать сметной документации, государственным стандартам и настоящему Описанию объекта закупки.</w:t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keepNext w:val="true"/>
        <w:keepLines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8. Требования к результатам работ и иные показатели,</w:t>
      </w:r>
    </w:p>
    <w:p>
      <w:pPr>
        <w:pStyle w:val="Normal"/>
        <w:keepNext w:val="true"/>
        <w:keepLines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связанные с определением соответствия выполняемых работ</w:t>
      </w:r>
    </w:p>
    <w:p>
      <w:pPr>
        <w:pStyle w:val="Normal"/>
        <w:keepNext w:val="true"/>
        <w:keepLines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потребностям Заказчика (приемка работ)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8.1. В день окончания выполнения Работ Подрядчик письменно уведомляет Заказчика о факте завершения Работ.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8.2. Заказчик, получивший уведомление от Заказчика, осуществляют приемку результата выполненных работ в соответствии с условиями Контракта.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8.3. При приемке работ в порядке, установленном действующим законодательством, проводится экспертиза результата выполненных работ на предмет соответствия такого результата условиям Контракта и требованиям Заказчика.</w:t>
      </w:r>
    </w:p>
    <w:p>
      <w:pPr>
        <w:pStyle w:val="Normal"/>
        <w:ind w:right="-1" w:firstLine="284"/>
        <w:jc w:val="both"/>
        <w:rPr>
          <w:color w:val="000000" w:themeColor="text1"/>
        </w:rPr>
      </w:pPr>
      <w:r>
        <w:rPr>
          <w:color w:val="000000" w:themeColor="text1"/>
        </w:rPr>
        <w:t>8.4. По итогам выполненных работ подрядчик предает Заказчику акты скрытых работ.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8.5. Отказ от приемки выполненной Работы оформляется документом об отказе в приемке с перечнем недостатков, условиями и сроками их устранения.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Подрядчик обязан устранить все обнаруженные недостатки своими силами и за свой счет в сроки, указанные в документе об отказе в приемке,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8.6. Заказчик вправе отказаться от приемки выполненных работ в случае обнаружения недостатков, которые исключают эксплуатацию Объекта и не могут быть устранены Подрядчиком. Причиной отказа в приемке выполненных работ может быть несоответствие выполненных работ условиям Контракта, некачественно выполненные работы, отступления от СНиП, технических условий и других нормативных документов, отсутствие паспортов и сертификатов на применяемые материалы, полуфабрикаты и изделия, отсутствие требуемой исполнительной документации, а также неправильное оформление документов.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 xml:space="preserve">8.7. Риски случайной гибели или случайного повреждения объекта, а также бремя его содержания переходят от Подрядчика к Заказчику с момента </w:t>
      </w:r>
      <w:r>
        <w:rPr>
          <w:rFonts w:eastAsia="Calibri"/>
          <w:color w:val="000000" w:themeColor="text1"/>
        </w:rPr>
        <w:t>размещения в единой информационной системе документа о приемке, подписанного Заказчиком</w:t>
      </w:r>
      <w:r>
        <w:rPr>
          <w:color w:val="000000" w:themeColor="text1"/>
        </w:rPr>
        <w:t>, а в случае обнаружения в ходе приемки выполненных работ недостатков - с момента устранения Подрядчиком всех выявленных недостатков (отступлений, отклонений).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8.8. Согласование с представителем Заказчика порядка ведения работ на объекте и его соблюдение осуществляет Подрядчик.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jc w:val="center"/>
        <w:rPr>
          <w:b/>
          <w:b/>
          <w:color w:val="000000" w:themeColor="text1"/>
        </w:rPr>
      </w:pPr>
      <w:r>
        <w:rPr>
          <w:b/>
          <w:color w:val="000000" w:themeColor="text1"/>
        </w:rPr>
        <w:t>9. Требования к сроку и (или) объему предоставления гарантии качества работ</w:t>
      </w:r>
    </w:p>
    <w:p>
      <w:pPr>
        <w:pStyle w:val="Normal"/>
        <w:jc w:val="both"/>
        <w:rPr>
          <w:color w:val="000000" w:themeColor="text1"/>
        </w:rPr>
      </w:pPr>
      <w:r>
        <w:rPr>
          <w:color w:val="000000" w:themeColor="text1"/>
        </w:rPr>
        <w:t>9.1. Качество выполняемых Подрядчиком работ должно удовлетворять требованиям действующих ГОСТов, ТУ, СНиПов, технической документации и других нормативных документов.</w:t>
      </w:r>
    </w:p>
    <w:p>
      <w:pPr>
        <w:pStyle w:val="Normal"/>
        <w:widowControl w:val="false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9.2. </w:t>
      </w:r>
      <w:r>
        <w:rPr>
          <w:rFonts w:eastAsia="Calibri"/>
          <w:color w:val="000000" w:themeColor="text1"/>
          <w:spacing w:val="4"/>
        </w:rPr>
        <w:t xml:space="preserve">Гарантийный срок по Контракту устанавливается с даты размещения в единой информационной системе документа о приёмке выполненных работ, подписанного Заказчиком. </w:t>
      </w:r>
      <w:r>
        <w:rPr>
          <w:color w:val="000000" w:themeColor="text1"/>
        </w:rPr>
        <w:t>Гарантии качества распространяются на все работы, выполненные Подрядчиком. Гарантийный срок составляет 36 (тридцать шесть) месяцев.</w:t>
      </w:r>
    </w:p>
    <w:p>
      <w:pPr>
        <w:pStyle w:val="Normal"/>
        <w:widowControl w:val="false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9.3. Подрядчик несёт ответственность за ненадлежащее выполнение Работ, смонтированное оборудование, включая недостатки, обнаруженные впоследствии в ходе выполнения Работ, а также в процессе эксплуатации объекта.</w:t>
      </w:r>
    </w:p>
    <w:p>
      <w:pPr>
        <w:pStyle w:val="Normal"/>
        <w:ind w:right="-1" w:hanging="0"/>
        <w:jc w:val="both"/>
        <w:rPr>
          <w:color w:val="000000" w:themeColor="text1"/>
        </w:rPr>
      </w:pPr>
      <w:r>
        <w:rPr>
          <w:color w:val="000000" w:themeColor="text1"/>
        </w:rPr>
        <w:t>9.4. Если в течение гарантийного срока будут выявлены дефекты работ, недоделки, скрытые дефекты, несоответствие каких-либо материалов заявленным, Подрядчик в течение срока, указанного в акте о выявленных дефектах, должен устранить замечания, недоделки, дефекты работ, произвести замену материалов за свой счёт. При этом гарантийный срок продлевается на время устранения замечаний, недоделок, дефектов работ, замены материалов.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 xml:space="preserve">9.5. Подрядчик принимает на себя обязательства по устранению возникших нарушений и недоделок в течение всего срока действия Контракта на весь объём произведённых Работ. Если в период гарантийного срока обнаружатся недостатки или дефекты, то Подрядчик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 </w:t>
      </w:r>
    </w:p>
    <w:p>
      <w:pPr>
        <w:pStyle w:val="Normal"/>
        <w:keepNext w:val="true"/>
        <w:keepLines/>
        <w:jc w:val="both"/>
        <w:rPr>
          <w:color w:val="000000" w:themeColor="text1"/>
        </w:rPr>
      </w:pPr>
      <w:r>
        <w:rPr>
          <w:color w:val="000000" w:themeColor="text1"/>
        </w:rPr>
        <w:t>Работы выполняются Подрядчиком самостоятельно, без привлечения субподрядной организации.</w:t>
      </w:r>
    </w:p>
    <w:p>
      <w:pPr>
        <w:pStyle w:val="Normal"/>
        <w:ind w:right="-1" w:hanging="0"/>
        <w:jc w:val="both"/>
        <w:rPr>
          <w:b/>
          <w:b/>
          <w:bCs/>
          <w:color w:val="000000" w:themeColor="text1"/>
        </w:rPr>
      </w:pPr>
      <w:r>
        <w:rPr>
          <w:b/>
          <w:bCs/>
          <w:color w:val="000000" w:themeColor="text1"/>
        </w:rPr>
      </w:r>
    </w:p>
    <w:p>
      <w:pPr>
        <w:pStyle w:val="Normal"/>
        <w:keepNext w:val="true"/>
        <w:keepLines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keepNext w:val="true"/>
        <w:keepLines/>
        <w:ind w:firstLine="284"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p>
      <w:pPr>
        <w:pStyle w:val="Normal"/>
        <w:keepNext w:val="true"/>
        <w:keepLines/>
        <w:ind w:firstLine="284"/>
        <w:jc w:val="both"/>
        <w:rPr>
          <w:b/>
          <w:b/>
          <w:color w:val="000000" w:themeColor="text1"/>
        </w:rPr>
      </w:pPr>
      <w:r>
        <w:rPr>
          <w:b/>
          <w:color w:val="000000" w:themeColor="text1"/>
        </w:rPr>
      </w:r>
    </w:p>
    <w:tbl>
      <w:tblPr>
        <w:tblW w:w="95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40"/>
        <w:gridCol w:w="1042"/>
        <w:gridCol w:w="3910"/>
      </w:tblGrid>
      <w:tr>
        <w:trPr>
          <w:trHeight w:val="584" w:hRule="atLeast"/>
        </w:trPr>
        <w:tc>
          <w:tcPr>
            <w:tcW w:w="4640" w:type="dxa"/>
            <w:tcBorders/>
            <w:shd w:color="auto" w:fill="auto" w:val="clear"/>
          </w:tcPr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От ЗАКАЗЧИКА</w:t>
            </w:r>
          </w:p>
        </w:tc>
        <w:tc>
          <w:tcPr>
            <w:tcW w:w="1042" w:type="dxa"/>
            <w:tcBorders/>
            <w:shd w:color="auto" w:fill="auto" w:val="clear"/>
          </w:tcPr>
          <w:p>
            <w:pPr>
              <w:pStyle w:val="Normal"/>
              <w:keepNext w:val="true"/>
              <w:keepLines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</w:r>
          </w:p>
        </w:tc>
        <w:tc>
          <w:tcPr>
            <w:tcW w:w="3910" w:type="dxa"/>
            <w:tcBorders/>
            <w:shd w:color="auto" w:fill="auto" w:val="clear"/>
          </w:tcPr>
          <w:p>
            <w:pPr>
              <w:pStyle w:val="Normal"/>
              <w:keepNext w:val="true"/>
              <w:keepLines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От ПОДРЯДЧИКА</w:t>
            </w:r>
          </w:p>
        </w:tc>
      </w:tr>
      <w:tr>
        <w:trPr>
          <w:trHeight w:val="1803" w:hRule="atLeast"/>
        </w:trPr>
        <w:tc>
          <w:tcPr>
            <w:tcW w:w="4640" w:type="dxa"/>
            <w:tcBorders/>
            <w:shd w:color="auto" w:fill="auto" w:val="clear"/>
          </w:tcPr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И.о.заведующего МБДОУ «Детский сад» д.Б.Куземкино</w:t>
            </w:r>
          </w:p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</w:r>
          </w:p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</w:r>
          </w:p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_______________ Н.Л.Тюкова</w:t>
            </w:r>
          </w:p>
        </w:tc>
        <w:tc>
          <w:tcPr>
            <w:tcW w:w="1042" w:type="dxa"/>
            <w:tcBorders/>
            <w:shd w:color="auto" w:fill="auto" w:val="clear"/>
          </w:tcPr>
          <w:p>
            <w:pPr>
              <w:pStyle w:val="Normal"/>
              <w:keepNext w:val="true"/>
              <w:keepLines/>
              <w:rPr>
                <w:b/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</w:r>
          </w:p>
        </w:tc>
        <w:tc>
          <w:tcPr>
            <w:tcW w:w="3910" w:type="dxa"/>
            <w:tcBorders/>
            <w:shd w:color="auto" w:fill="auto" w:val="clear"/>
          </w:tcPr>
          <w:p>
            <w:pPr>
              <w:pStyle w:val="NoSpacing"/>
              <w:keepNext w:val="true"/>
              <w:keepLines/>
              <w:jc w:val="left"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Генеральный директор</w:t>
            </w:r>
          </w:p>
          <w:p>
            <w:pPr>
              <w:pStyle w:val="NoSpacing"/>
              <w:jc w:val="left"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ООО «ТРАССА-сервис»</w:t>
            </w:r>
          </w:p>
          <w:p>
            <w:pPr>
              <w:pStyle w:val="NoSpacing"/>
              <w:keepNext w:val="true"/>
              <w:keepLines/>
              <w:jc w:val="right"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</w:r>
          </w:p>
          <w:p>
            <w:pPr>
              <w:pStyle w:val="NoSpacing"/>
              <w:keepNext w:val="true"/>
              <w:keepLines/>
              <w:rPr>
                <w:rFonts w:ascii="Times New Roman" w:hAnsi="Times New Roman"/>
                <w:b/>
                <w:b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</w:r>
          </w:p>
          <w:p>
            <w:pPr>
              <w:pStyle w:val="NoSpacing"/>
              <w:keepNext w:val="true"/>
              <w:keepLines/>
              <w:rPr/>
            </w:pP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 xml:space="preserve">_________________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</w:rPr>
              <w:t>А.В.Шугаев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Palatino Linotype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5242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rsid w:val="00b5242d"/>
    <w:rPr>
      <w:color w:val="0000FF"/>
      <w:u w:val="single"/>
    </w:rPr>
  </w:style>
  <w:style w:type="character" w:styleId="Style14" w:customStyle="1">
    <w:name w:val="Заголовок Знак"/>
    <w:basedOn w:val="DefaultParagraphFont"/>
    <w:qFormat/>
    <w:rsid w:val="00b5242d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2" w:customStyle="1">
    <w:name w:val="Основной текст 2 Знак"/>
    <w:basedOn w:val="DefaultParagraphFont"/>
    <w:qFormat/>
    <w:rsid w:val="00b5242d"/>
    <w:rPr>
      <w:rFonts w:ascii="Times New Roman" w:hAnsi="Times New Roman" w:eastAsia="Times New Roman" w:cs="Times New Roman"/>
      <w:sz w:val="28"/>
      <w:szCs w:val="24"/>
    </w:rPr>
  </w:style>
  <w:style w:type="character" w:styleId="ConsPlusNormal" w:customStyle="1">
    <w:name w:val="ConsPlusNormal Знак"/>
    <w:link w:val="ConsPlusNormal"/>
    <w:uiPriority w:val="99"/>
    <w:qFormat/>
    <w:locked/>
    <w:rsid w:val="00b5242d"/>
    <w:rPr>
      <w:rFonts w:ascii="Arial" w:hAnsi="Arial" w:eastAsia="Times New Roman" w:cs="Arial"/>
      <w:sz w:val="20"/>
      <w:szCs w:val="20"/>
      <w:lang w:eastAsia="ru-RU"/>
    </w:rPr>
  </w:style>
  <w:style w:type="character" w:styleId="FootnoteCharacters" w:customStyle="1">
    <w:name w:val="Footnote Characters"/>
    <w:uiPriority w:val="99"/>
    <w:qFormat/>
    <w:rsid w:val="00b5242d"/>
    <w:rPr>
      <w:vertAlign w:val="superscript"/>
    </w:rPr>
  </w:style>
  <w:style w:type="character" w:styleId="FootnoteAnchor" w:customStyle="1">
    <w:name w:val="Footnote Anchor"/>
    <w:rPr>
      <w:vertAlign w:val="superscript"/>
    </w:rPr>
  </w:style>
  <w:style w:type="character" w:styleId="Style15" w:customStyle="1">
    <w:name w:val="Текст сноски Знак"/>
    <w:basedOn w:val="DefaultParagraphFont"/>
    <w:uiPriority w:val="99"/>
    <w:qFormat/>
    <w:rsid w:val="00b5242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Без интервала Знак"/>
    <w:uiPriority w:val="1"/>
    <w:qFormat/>
    <w:rsid w:val="00b5242d"/>
    <w:rPr>
      <w:rFonts w:ascii="Calibri" w:hAnsi="Calibri" w:eastAsia="Calibri" w:cs="Times New Roman"/>
    </w:rPr>
  </w:style>
  <w:style w:type="character" w:styleId="Style17" w:customStyle="1">
    <w:name w:val="Абзац списка Знак"/>
    <w:uiPriority w:val="99"/>
    <w:qFormat/>
    <w:locked/>
    <w:rsid w:val="00b5242d"/>
    <w:rPr>
      <w:rFonts w:ascii="Calibri" w:hAnsi="Calibri" w:eastAsia="Times New Roman" w:cs="Times New Roman"/>
    </w:rPr>
  </w:style>
  <w:style w:type="character" w:styleId="Style18" w:customStyle="1">
    <w:name w:val="Текст Знак"/>
    <w:basedOn w:val="DefaultParagraphFont"/>
    <w:uiPriority w:val="99"/>
    <w:qFormat/>
    <w:rsid w:val="00b5242d"/>
    <w:rPr>
      <w:rFonts w:ascii="Courier New" w:hAnsi="Courier New" w:eastAsia="Times New Roman" w:cs="Times New Roman"/>
      <w:sz w:val="20"/>
      <w:szCs w:val="20"/>
    </w:rPr>
  </w:style>
  <w:style w:type="character" w:styleId="ListLabel1" w:customStyle="1">
    <w:name w:val="ListLabel 1"/>
    <w:qFormat/>
    <w:rPr>
      <w:b w:val="false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character" w:styleId="ListLabel5" w:customStyle="1">
    <w:name w:val="ListLabel 5"/>
    <w:qFormat/>
    <w:rPr>
      <w:rFonts w:cs="OpenSymbol"/>
    </w:rPr>
  </w:style>
  <w:style w:type="character" w:styleId="ListLabel6" w:customStyle="1">
    <w:name w:val="ListLabel 6"/>
    <w:qFormat/>
    <w:rPr>
      <w:rFonts w:cs="OpenSymbol"/>
    </w:rPr>
  </w:style>
  <w:style w:type="character" w:styleId="ListLabel7" w:customStyle="1">
    <w:name w:val="ListLabel 7"/>
    <w:qFormat/>
    <w:rPr>
      <w:rFonts w:cs="OpenSymbol"/>
    </w:rPr>
  </w:style>
  <w:style w:type="character" w:styleId="ListLabel8" w:customStyle="1">
    <w:name w:val="ListLabel 8"/>
    <w:qFormat/>
    <w:rPr>
      <w:rFonts w:cs="OpenSymbol"/>
    </w:rPr>
  </w:style>
  <w:style w:type="character" w:styleId="ListLabel9" w:customStyle="1">
    <w:name w:val="ListLabel 9"/>
    <w:qFormat/>
    <w:rPr>
      <w:rFonts w:cs="OpenSymbol"/>
    </w:rPr>
  </w:style>
  <w:style w:type="character" w:styleId="ListLabel10" w:customStyle="1">
    <w:name w:val="ListLabel 10"/>
    <w:qFormat/>
    <w:rPr>
      <w:rFonts w:cs="OpenSymbol"/>
    </w:rPr>
  </w:style>
  <w:style w:type="character" w:styleId="ListLabel11" w:customStyle="1">
    <w:name w:val="ListLabel 11"/>
    <w:qFormat/>
    <w:rPr>
      <w:rFonts w:cs="OpenSymbol"/>
    </w:rPr>
  </w:style>
  <w:style w:type="character" w:styleId="ListLabel12" w:customStyle="1">
    <w:name w:val="ListLabel 12"/>
    <w:qFormat/>
    <w:rPr>
      <w:rFonts w:cs="OpenSymbol"/>
    </w:rPr>
  </w:style>
  <w:style w:type="character" w:styleId="ListLabel13" w:customStyle="1">
    <w:name w:val="ListLabel 13"/>
    <w:qFormat/>
    <w:rPr>
      <w:rFonts w:cs="OpenSymbol"/>
    </w:rPr>
  </w:style>
  <w:style w:type="character" w:styleId="ListLabel14" w:customStyle="1">
    <w:name w:val="ListLabel 14"/>
    <w:qFormat/>
    <w:rPr>
      <w:rFonts w:cs="OpenSymbol"/>
    </w:rPr>
  </w:style>
  <w:style w:type="character" w:styleId="ListLabel15" w:customStyle="1">
    <w:name w:val="ListLabel 15"/>
    <w:qFormat/>
    <w:rPr>
      <w:rFonts w:cs="OpenSymbol"/>
    </w:rPr>
  </w:style>
  <w:style w:type="character" w:styleId="ListLabel16" w:customStyle="1">
    <w:name w:val="ListLabel 16"/>
    <w:qFormat/>
    <w:rPr>
      <w:rFonts w:cs="OpenSymbol"/>
    </w:rPr>
  </w:style>
  <w:style w:type="character" w:styleId="ListLabel17" w:customStyle="1">
    <w:name w:val="ListLabel 17"/>
    <w:qFormat/>
    <w:rPr>
      <w:rFonts w:cs="OpenSymbol"/>
    </w:rPr>
  </w:style>
  <w:style w:type="character" w:styleId="ListLabel18" w:customStyle="1">
    <w:name w:val="ListLabel 18"/>
    <w:qFormat/>
    <w:rPr>
      <w:rFonts w:cs="OpenSymbol"/>
    </w:rPr>
  </w:style>
  <w:style w:type="character" w:styleId="ListLabel19" w:customStyle="1">
    <w:name w:val="ListLabel 19"/>
    <w:qFormat/>
    <w:rPr>
      <w:rFonts w:cs="OpenSymbol"/>
    </w:rPr>
  </w:style>
  <w:style w:type="character" w:styleId="ListLabel20" w:customStyle="1">
    <w:name w:val="ListLabel 20"/>
    <w:qFormat/>
    <w:rPr>
      <w:rFonts w:cs="OpenSymbol"/>
    </w:rPr>
  </w:style>
  <w:style w:type="character" w:styleId="ListLabel21" w:customStyle="1">
    <w:name w:val="ListLabel 21"/>
    <w:qFormat/>
    <w:rPr>
      <w:rFonts w:cs="OpenSymbol"/>
    </w:rPr>
  </w:style>
  <w:style w:type="character" w:styleId="ListLabel22" w:customStyle="1">
    <w:name w:val="ListLabel 22"/>
    <w:qFormat/>
    <w:rPr>
      <w:rFonts w:cs="OpenSymbol"/>
    </w:rPr>
  </w:style>
  <w:style w:type="character" w:styleId="ListLabel23" w:customStyle="1">
    <w:name w:val="ListLabel 23"/>
    <w:qFormat/>
    <w:rPr>
      <w:rFonts w:cs="OpenSymbol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cs="OpenSymbol"/>
    </w:rPr>
  </w:style>
  <w:style w:type="character" w:styleId="ListLabel26" w:customStyle="1">
    <w:name w:val="ListLabel 26"/>
    <w:qFormat/>
    <w:rPr>
      <w:rFonts w:cs="OpenSymbol"/>
    </w:rPr>
  </w:style>
  <w:style w:type="character" w:styleId="ListLabel27" w:customStyle="1">
    <w:name w:val="ListLabel 27"/>
    <w:qFormat/>
    <w:rPr>
      <w:rFonts w:cs="OpenSymbol"/>
    </w:rPr>
  </w:style>
  <w:style w:type="character" w:styleId="ListLabel28" w:customStyle="1">
    <w:name w:val="ListLabel 28"/>
    <w:qFormat/>
    <w:rPr>
      <w:rFonts w:cs="OpenSymbol"/>
    </w:rPr>
  </w:style>
  <w:style w:type="character" w:styleId="ListLabel29" w:customStyle="1">
    <w:name w:val="ListLabel 29"/>
    <w:qFormat/>
    <w:rPr>
      <w:rFonts w:cs="OpenSymbol"/>
    </w:rPr>
  </w:style>
  <w:style w:type="character" w:styleId="ListLabel30" w:customStyle="1">
    <w:name w:val="ListLabel 30"/>
    <w:qFormat/>
    <w:rPr>
      <w:rFonts w:cs="OpenSymbol"/>
    </w:rPr>
  </w:style>
  <w:style w:type="character" w:styleId="ListLabel31" w:customStyle="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itle">
    <w:name w:val="Title"/>
    <w:basedOn w:val="Normal"/>
    <w:qFormat/>
    <w:rsid w:val="00b5242d"/>
    <w:pPr>
      <w:jc w:val="center"/>
    </w:pPr>
    <w:rPr>
      <w:b/>
      <w:bCs/>
    </w:rPr>
  </w:style>
  <w:style w:type="paragraph" w:styleId="BodyText2">
    <w:name w:val="Body Text 2"/>
    <w:basedOn w:val="Normal"/>
    <w:qFormat/>
    <w:rsid w:val="00b5242d"/>
    <w:pPr>
      <w:jc w:val="both"/>
    </w:pPr>
    <w:rPr>
      <w:sz w:val="28"/>
    </w:rPr>
  </w:style>
  <w:style w:type="paragraph" w:styleId="ConsPlusNormal1" w:customStyle="1">
    <w:name w:val="ConsPlusNormal"/>
    <w:uiPriority w:val="99"/>
    <w:qFormat/>
    <w:rsid w:val="00b5242d"/>
    <w:pPr>
      <w:widowControl w:val="false"/>
      <w:bidi w:val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eastAsia="ru-RU" w:val="ru-RU" w:bidi="ar-SA"/>
    </w:rPr>
  </w:style>
  <w:style w:type="paragraph" w:styleId="NormalWeb">
    <w:name w:val="Normal (Web)"/>
    <w:basedOn w:val="Normal"/>
    <w:qFormat/>
    <w:rsid w:val="00b5242d"/>
    <w:pPr>
      <w:spacing w:beforeAutospacing="1" w:afterAutospacing="1"/>
    </w:pPr>
    <w:rPr/>
  </w:style>
  <w:style w:type="paragraph" w:styleId="Footnote">
    <w:name w:val="Footnote Text"/>
    <w:basedOn w:val="Normal"/>
    <w:uiPriority w:val="99"/>
    <w:rsid w:val="00b5242d"/>
    <w:pPr/>
    <w:rPr>
      <w:sz w:val="20"/>
      <w:szCs w:val="20"/>
    </w:rPr>
  </w:style>
  <w:style w:type="paragraph" w:styleId="NoSpacing">
    <w:name w:val="No Spacing"/>
    <w:uiPriority w:val="1"/>
    <w:qFormat/>
    <w:rsid w:val="00b5242d"/>
    <w:pPr>
      <w:widowControl/>
      <w:bidi w:val="0"/>
      <w:jc w:val="both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b5242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</w:rPr>
  </w:style>
  <w:style w:type="paragraph" w:styleId="PlainText">
    <w:name w:val="Plain Text"/>
    <w:basedOn w:val="Normal"/>
    <w:uiPriority w:val="99"/>
    <w:qFormat/>
    <w:rsid w:val="00b5242d"/>
    <w:pPr/>
    <w:rPr>
      <w:rFonts w:ascii="Courier New" w:hAnsi="Courier New"/>
      <w:sz w:val="20"/>
      <w:szCs w:val="20"/>
    </w:rPr>
  </w:style>
  <w:style w:type="paragraph" w:styleId="Style19" w:customStyle="1">
    <w:name w:val="Статья"/>
    <w:basedOn w:val="Normal"/>
    <w:qFormat/>
    <w:rsid w:val="00b5242d"/>
    <w:pPr>
      <w:keepNext w:val="true"/>
      <w:keepLines/>
      <w:widowControl w:val="false"/>
      <w:suppressLineNumbers/>
      <w:tabs>
        <w:tab w:val="clear" w:pos="708"/>
        <w:tab w:val="left" w:pos="432" w:leader="none"/>
      </w:tabs>
      <w:suppressAutoHyphens w:val="true"/>
      <w:spacing w:before="0" w:after="60"/>
      <w:ind w:left="432" w:hanging="432"/>
      <w:jc w:val="center"/>
    </w:pPr>
    <w:rPr>
      <w:b/>
      <w:bCs/>
      <w:caps/>
      <w:sz w:val="28"/>
      <w:szCs w:val="28"/>
    </w:rPr>
  </w:style>
  <w:style w:type="paragraph" w:styleId="Style20" w:customStyle="1">
    <w:name w:val="Пункт"/>
    <w:basedOn w:val="ListNumber2"/>
    <w:qFormat/>
    <w:rsid w:val="00b5242d"/>
    <w:pPr>
      <w:suppressLineNumbers/>
      <w:tabs>
        <w:tab w:val="clear" w:pos="708"/>
        <w:tab w:val="left" w:pos="432" w:leader="none"/>
        <w:tab w:val="left" w:pos="860" w:leader="none"/>
        <w:tab w:val="left" w:pos="1492" w:leader="none"/>
      </w:tabs>
      <w:spacing w:before="0" w:after="60"/>
      <w:ind w:left="860" w:hanging="432"/>
      <w:jc w:val="both"/>
    </w:pPr>
    <w:rPr>
      <w:rFonts w:ascii="Palatino Linotype" w:hAnsi="Palatino Linotype"/>
    </w:rPr>
  </w:style>
  <w:style w:type="paragraph" w:styleId="Consplusnormal2" w:customStyle="1">
    <w:name w:val="consplusnormal"/>
    <w:basedOn w:val="Normal"/>
    <w:qFormat/>
    <w:rsid w:val="00b5242d"/>
    <w:pPr>
      <w:spacing w:before="187" w:after="187"/>
      <w:ind w:left="187" w:right="187" w:hanging="0"/>
    </w:pPr>
    <w:rPr/>
  </w:style>
  <w:style w:type="paragraph" w:styleId="ListNumber2">
    <w:name w:val="List Number 2"/>
    <w:basedOn w:val="Normal"/>
    <w:uiPriority w:val="99"/>
    <w:semiHidden/>
    <w:unhideWhenUsed/>
    <w:qFormat/>
    <w:rsid w:val="00b5242d"/>
    <w:pPr>
      <w:spacing w:before="0" w:after="0"/>
      <w:contextualSpacing/>
    </w:pPr>
    <w:rPr/>
  </w:style>
  <w:style w:type="paragraph" w:styleId="Normalunindented" w:customStyle="1">
    <w:name w:val="Normal unindented"/>
    <w:qFormat/>
    <w:rsid w:val="00c12d28"/>
    <w:pPr>
      <w:widowControl/>
      <w:bidi w:val="0"/>
      <w:spacing w:lineRule="auto" w:line="276" w:before="120" w:after="12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2"/>
      <w:lang w:eastAsia="ru-RU" w:val="ru-RU" w:bidi="ar-SA"/>
    </w:rPr>
  </w:style>
  <w:style w:type="paragraph" w:styleId="ConsPlusNonformat" w:customStyle="1">
    <w:name w:val="ConsPlusNonformat"/>
    <w:qFormat/>
    <w:rsid w:val="00c55eb1"/>
    <w:pPr>
      <w:widowControl w:val="false"/>
      <w:bidi w:val="0"/>
      <w:jc w:val="left"/>
    </w:pPr>
    <w:rPr>
      <w:rFonts w:ascii="Courier New" w:hAnsi="Courier New" w:eastAsia="Times New Roman" w:cs="Courier New"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1905B-0793-4CA8-8623-E6416527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Neat_Office/6.2.8.2$Windows_x86 LibreOffice_project/</Application>
  <Pages>5</Pages>
  <Words>1817</Words>
  <Characters>12991</Characters>
  <CharactersWithSpaces>14828</CharactersWithSpaces>
  <Paragraphs>105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2026-06-13T12:23:00Z</dcterms:created>
  <dc:creator>Бухгалтер</dc:creator>
  <dc:description/>
  <dc:language>ru-RU</dc:language>
  <cp:lastModifiedBy/>
  <dcterms:modified xsi:type="dcterms:W3CDTF">2026-07-21T11:17:26Z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