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45"/>
        <w:numPr>
          <w:ilvl w:val="0"/>
          <w:numId w:val="0"/>
        </w:numPr>
        <w:outlineLvl w:val="0"/>
      </w:pPr>
      <w:r>
        <w:t xml:space="preserve">ДОГОВОР №</w:t>
      </w:r>
      <w:r>
        <w:rPr>
          <w:lang w:val="ru-RU"/>
        </w:rPr>
        <w:t xml:space="preserve">  _____________-26</w:t>
      </w:r>
      <w:r>
        <w:rPr>
          <w:lang w:val="en-US"/>
        </w:rPr>
        <w:t xml:space="preserve">LO</w:t>
      </w:r>
      <w:r/>
    </w:p>
    <w:p>
      <w:pPr>
        <w:pStyle w:val="784"/>
        <w:numPr>
          <w:ilvl w:val="0"/>
          <w:numId w:val="0"/>
        </w:numPr>
        <w:jc w:val="right"/>
        <w:tabs>
          <w:tab w:val="clear" w:pos="708" w:leader="none"/>
          <w:tab w:val="right" w:pos="9355" w:leader="none"/>
        </w:tabs>
        <w:outlineLvl w:val="0"/>
      </w:pPr>
      <w:r>
        <w:tab/>
        <w:t xml:space="preserve">           «____» _________ 2026г.</w:t>
      </w:r>
      <w:r/>
    </w:p>
    <w:p>
      <w:pPr>
        <w:pStyle w:val="784"/>
        <w:jc w:val="both"/>
        <w:tabs>
          <w:tab w:val="clear" w:pos="708" w:leader="none"/>
          <w:tab w:val="left" w:pos="1380" w:leader="none"/>
        </w:tabs>
      </w:pPr>
      <w:r/>
      <w:r/>
    </w:p>
    <w:p>
      <w:pPr>
        <w:pStyle w:val="784"/>
        <w:ind w:firstLine="708"/>
        <w:jc w:val="both"/>
      </w:pPr>
      <w:r>
        <w:rPr>
          <w:b/>
        </w:rPr>
        <w:t xml:space="preserve">Государственное казенное учреждение Ленинградской области  «Ленинградская областная противопожарно-спасательная служба» (ГКУ «Леноблпожспас»)</w:t>
      </w:r>
      <w:r>
        <w:t xml:space="preserve">, именуемое в дальнейшем </w:t>
      </w:r>
      <w:r>
        <w:rPr>
          <w:b/>
        </w:rPr>
        <w:t xml:space="preserve">«Заказчик»</w:t>
      </w:r>
      <w:r>
        <w:t xml:space="preserve">, в лице заместителя начальника учреждения Васильченко Дмитрия Анатольевича, действующего на основании Доверенности от 18.10.2022 г. (Бланк 47 БА 3509546, зарегистрирована в реестре за № 47/35-н/47-2022-5-303), с одной стороны и </w:t>
      </w:r>
      <w:r/>
    </w:p>
    <w:p>
      <w:pPr>
        <w:pStyle w:val="784"/>
        <w:ind w:firstLine="708"/>
        <w:jc w:val="both"/>
      </w:pPr>
      <w:r>
        <w:rPr>
          <w:b/>
          <w:sz w:val="24"/>
          <w:szCs w:val="24"/>
        </w:rPr>
        <w:t xml:space="preserve">___________________,</w:t>
      </w:r>
      <w:r>
        <w:rPr>
          <w:b/>
        </w:rPr>
        <w:t xml:space="preserve"> </w:t>
      </w:r>
      <w:r>
        <w:t xml:space="preserve">действующий на основании </w:t>
      </w:r>
      <w:r>
        <w:rPr>
          <w:b w:val="0"/>
          <w:bCs w:val="0"/>
          <w:sz w:val="24"/>
          <w:szCs w:val="20"/>
        </w:rPr>
        <w:t xml:space="preserve">____________________</w:t>
      </w:r>
      <w:r>
        <w:rPr>
          <w:color w:val="000000"/>
        </w:rPr>
        <w:t xml:space="preserve">, именуемое в дальнейшем </w:t>
      </w:r>
      <w:r>
        <w:rPr>
          <w:b/>
          <w:color w:val="000000"/>
        </w:rPr>
        <w:t xml:space="preserve">«Поставщик»</w:t>
      </w:r>
      <w:r>
        <w:rPr>
          <w:color w:val="000000"/>
        </w:rPr>
        <w:t xml:space="preserve">, </w:t>
      </w:r>
      <w:r>
        <w:t xml:space="preserve"> с другой стороны, в дальнейшем совместно именуемые «Стороны», на основании  п.4 ч.1 ст.93 Федерального закона № 44-ФЗ от 05.04.2013 года, заключили настоящий Договор о нижеследующем:</w:t>
      </w:r>
      <w:r/>
    </w:p>
    <w:p>
      <w:pPr>
        <w:pStyle w:val="784"/>
        <w:numPr>
          <w:ilvl w:val="0"/>
          <w:numId w:val="1"/>
        </w:numPr>
        <w:jc w:val="center"/>
        <w:rPr>
          <w:b/>
          <w:bCs/>
        </w:rPr>
        <w:outlineLvl w:val="0"/>
      </w:pPr>
      <w:r>
        <w:rPr>
          <w:b/>
          <w:bCs/>
        </w:rPr>
        <w:t xml:space="preserve">Предмет Договора.</w:t>
      </w:r>
      <w:r>
        <w:rPr>
          <w:b/>
          <w:bCs/>
        </w:rPr>
      </w:r>
      <w:r>
        <w:rPr>
          <w:b/>
          <w:bCs/>
        </w:rPr>
      </w:r>
    </w:p>
    <w:p>
      <w:pPr>
        <w:pStyle w:val="843"/>
        <w:ind w:firstLine="360"/>
        <w:rPr>
          <w:color w:val="000000"/>
        </w:rPr>
      </w:pPr>
      <w:r>
        <w:t xml:space="preserve">1.1. Поставщик обязуется поставить Товар, согласно Спецификации (Приложение № 1 к Договору), являющейся неотъемлемой частью настоящего Договора, а Заказчик принять и оплатить Товар в порядке и сроки, предусмотренные настоящим Договором.</w:t>
      </w:r>
      <w:r>
        <w:rPr>
          <w:color w:val="000000"/>
        </w:rPr>
        <w:t xml:space="preserve"> </w:t>
      </w:r>
      <w:r>
        <w:rPr>
          <w:color w:val="000000"/>
        </w:rPr>
      </w:r>
      <w:r>
        <w:rPr>
          <w:color w:val="000000"/>
        </w:rPr>
      </w:r>
    </w:p>
    <w:p>
      <w:pPr>
        <w:pStyle w:val="843"/>
        <w:ind w:firstLine="360"/>
        <w:rPr>
          <w:color w:val="000000"/>
        </w:rPr>
      </w:pPr>
      <w:r>
        <w:rPr>
          <w:color w:val="000000"/>
        </w:rPr>
        <w:t xml:space="preserve">1.2. Товар на момент поставки является свободным от прав на него третьих лиц и других обременений.</w:t>
      </w:r>
      <w:r>
        <w:rPr>
          <w:color w:val="000000"/>
        </w:rPr>
      </w:r>
      <w:r>
        <w:rPr>
          <w:color w:val="000000"/>
        </w:rPr>
      </w:r>
    </w:p>
    <w:p>
      <w:pPr>
        <w:pStyle w:val="843"/>
        <w:ind w:firstLine="360"/>
        <w:rPr>
          <w:b/>
          <w:bCs/>
        </w:rPr>
      </w:pPr>
      <w:r>
        <w:rPr>
          <w:color w:val="000000"/>
        </w:rPr>
        <w:t xml:space="preserve">1.3. </w:t>
      </w:r>
      <w:r>
        <w:rPr>
          <w:color w:val="000000"/>
          <w:lang w:val="ru-RU"/>
        </w:rPr>
        <w:t xml:space="preserve">ИКЗ:</w:t>
      </w:r>
      <w:r>
        <w:t xml:space="preserve"> </w:t>
      </w:r>
      <w:r>
        <w:rPr>
          <w:b/>
          <w:bCs/>
        </w:rPr>
      </w:r>
      <w:r>
        <w:rPr>
          <w:b/>
          <w:bCs/>
        </w:rPr>
      </w:r>
    </w:p>
    <w:p>
      <w:pPr>
        <w:pStyle w:val="784"/>
        <w:numPr>
          <w:ilvl w:val="0"/>
          <w:numId w:val="0"/>
        </w:numPr>
        <w:ind w:firstLine="360"/>
        <w:jc w:val="center"/>
        <w:rPr>
          <w:b/>
          <w:bCs/>
        </w:rPr>
        <w:outlineLvl w:val="0"/>
      </w:pPr>
      <w:r>
        <w:rPr>
          <w:b/>
          <w:bCs/>
        </w:rPr>
        <w:t xml:space="preserve">2. Стоимость Договора и порядок расчетов.</w:t>
      </w:r>
      <w:r>
        <w:rPr>
          <w:b/>
          <w:bCs/>
        </w:rPr>
      </w:r>
      <w:r>
        <w:rPr>
          <w:b/>
          <w:bCs/>
        </w:rPr>
      </w:r>
    </w:p>
    <w:p>
      <w:pPr>
        <w:pStyle w:val="843"/>
        <w:rPr>
          <w:b/>
          <w:lang w:val="ru-RU"/>
        </w:rPr>
      </w:pPr>
      <w:r>
        <w:t xml:space="preserve">     </w:t>
      </w:r>
      <w:r>
        <w:t xml:space="preserve">2.1. Общая стоимость поставки Товара по настоящему Договору, составляет: ___________________</w:t>
      </w:r>
      <w:r>
        <w:rPr>
          <w:b/>
          <w:lang w:val="ru-RU"/>
        </w:rPr>
        <w:t xml:space="preserve"> рублей. </w:t>
      </w:r>
      <w:r>
        <w:rPr>
          <w:b/>
          <w:lang w:val="ru-RU"/>
        </w:rPr>
      </w:r>
      <w:r>
        <w:rPr>
          <w:b/>
          <w:lang w:val="ru-RU"/>
        </w:rPr>
      </w:r>
    </w:p>
    <w:p>
      <w:pPr>
        <w:pStyle w:val="843"/>
      </w:pPr>
      <w:r>
        <w:rPr>
          <w:color w:val="ff0000"/>
          <w:lang w:val="ru-RU"/>
        </w:rPr>
        <w:t xml:space="preserve">    </w:t>
      </w:r>
      <w:r>
        <w:rPr>
          <w:lang w:val="ru-RU"/>
        </w:rPr>
        <w:t xml:space="preserve">2.1.1. </w:t>
      </w:r>
      <w:r>
        <w:t xml:space="preserve">Принятие денежных обязательств в рамках настоящего Договора осуществляется за счет средств  областного бюджета Ленинградской области на 2026 год. </w:t>
      </w:r>
      <w:r/>
    </w:p>
    <w:p>
      <w:pPr>
        <w:pStyle w:val="843"/>
      </w:pPr>
      <w:r>
        <w:t xml:space="preserve">     </w:t>
      </w:r>
      <w:r>
        <w:t xml:space="preserve">2.2. В цену настоящего Договора входит: стоимость Товара и сопутствующих услуг, оплачиваемую Заказчиком Поставщику за полное выполнение Поставщиком своих обязательств по настоящему Договору.</w:t>
      </w:r>
      <w:r/>
    </w:p>
    <w:p>
      <w:pPr>
        <w:pStyle w:val="872"/>
        <w:jc w:val="both"/>
      </w:pPr>
      <w:r>
        <w:t xml:space="preserve">     </w:t>
      </w:r>
      <w:r>
        <w:t xml:space="preserve">2.3.  Цена настоящего Договора является твердой и не может изменяться в ходе его исполнения.</w:t>
      </w:r>
      <w:r/>
    </w:p>
    <w:p>
      <w:pPr>
        <w:pStyle w:val="843"/>
      </w:pPr>
      <w:r>
        <w:t xml:space="preserve">     </w:t>
      </w:r>
      <w:r>
        <w:t xml:space="preserve">2.4. Оплата поставки Товара производится по безналичному расчету по факту приемки Товара Заказчиком, на основании представленных платежных документов (счет, товарная накладная) в течение </w:t>
      </w:r>
      <w:r>
        <w:rPr>
          <w:lang w:val="ru-RU"/>
        </w:rPr>
        <w:t xml:space="preserve">7 рабочих дней с момента подписания Заказчиком документов о приемке Товара.</w:t>
      </w:r>
      <w:r/>
    </w:p>
    <w:p>
      <w:pPr>
        <w:pStyle w:val="843"/>
        <w:ind w:firstLine="360"/>
        <w:rPr>
          <w:color w:val="ff0000"/>
        </w:rPr>
      </w:pPr>
      <w:r>
        <w:t xml:space="preserve"> </w:t>
      </w:r>
      <w:r>
        <w:t xml:space="preserve">2.5. Товар, поставленный не в полном объеме, либо с выявленными недостатками оплате не подлежит до устранения данных недостатков.</w:t>
      </w:r>
      <w:r>
        <w:rPr>
          <w:color w:val="ff0000"/>
        </w:rPr>
      </w:r>
      <w:r>
        <w:rPr>
          <w:color w:val="ff0000"/>
        </w:rPr>
      </w:r>
    </w:p>
    <w:p>
      <w:pPr>
        <w:pStyle w:val="843"/>
        <w:jc w:val="center"/>
        <w:rPr>
          <w:b/>
          <w:bCs/>
        </w:rPr>
      </w:pPr>
      <w:r>
        <w:rPr>
          <w:b/>
          <w:bCs/>
        </w:rPr>
        <w:t xml:space="preserve">3. Срок поставки и порядок сдачи-приемки Товара.</w:t>
      </w:r>
      <w:r>
        <w:rPr>
          <w:b/>
          <w:bCs/>
        </w:rPr>
      </w:r>
      <w:r>
        <w:rPr>
          <w:b/>
          <w:bCs/>
        </w:rPr>
      </w:r>
    </w:p>
    <w:p>
      <w:pPr>
        <w:pStyle w:val="784"/>
        <w:ind w:firstLine="360"/>
        <w:jc w:val="both"/>
      </w:pPr>
      <w:r>
        <w:t xml:space="preserve">   </w:t>
      </w:r>
      <w:r>
        <w:t xml:space="preserve">3.1. Поставщик обязуется поставить Заказчику Товар в полном объеме в течение 5 рабочих  дней с момента </w:t>
      </w:r>
      <w:r>
        <w:t xml:space="preserve">получения заявки от Заказчика</w:t>
      </w:r>
      <w:r>
        <w:t xml:space="preserve">.</w:t>
      </w:r>
      <w:r/>
    </w:p>
    <w:p>
      <w:pPr>
        <w:pStyle w:val="784"/>
        <w:jc w:val="both"/>
      </w:pPr>
      <w:r>
        <w:t xml:space="preserve">     </w:t>
      </w:r>
      <w:r>
        <w:t xml:space="preserve">3.2. Доставка, разгрузка Товара на объект Заказчика осуществляется силами и за счет Поставщика по адресам, согласно Приложению №1 к Договору (Спецификация)..</w:t>
      </w:r>
      <w:r/>
    </w:p>
    <w:p>
      <w:pPr>
        <w:pStyle w:val="784"/>
        <w:jc w:val="both"/>
        <w:rPr>
          <w:color w:val="000000"/>
        </w:rPr>
      </w:pPr>
      <w:r>
        <w:t xml:space="preserve">         </w:t>
      </w:r>
      <w:r>
        <w:t xml:space="preserve">3.3. Сдача-приемка Товара осуществляется по номенклатуре, количеству и ассортименту, согласно спецификации (Приложение № 1).</w:t>
      </w:r>
      <w:r>
        <w:rPr>
          <w:color w:val="000000"/>
        </w:rPr>
        <w:t xml:space="preserve"> </w:t>
      </w:r>
      <w:r>
        <w:rPr>
          <w:color w:val="000000"/>
        </w:rPr>
      </w:r>
      <w:r>
        <w:rPr>
          <w:color w:val="000000"/>
        </w:rPr>
      </w:r>
    </w:p>
    <w:p>
      <w:pPr>
        <w:pStyle w:val="784"/>
        <w:jc w:val="both"/>
      </w:pPr>
      <w:r>
        <w:rPr>
          <w:color w:val="000000"/>
        </w:rPr>
        <w:t xml:space="preserve">        </w:t>
      </w:r>
      <w:r>
        <w:rPr>
          <w:color w:val="000000"/>
        </w:rPr>
        <w:t xml:space="preserve">3.4. П</w:t>
      </w:r>
      <w:r>
        <w:t xml:space="preserve">риёмка Товара осуществляется Заказчиком с оформлением необходимых документов.</w:t>
      </w:r>
      <w:r/>
    </w:p>
    <w:p>
      <w:pPr>
        <w:pStyle w:val="784"/>
        <w:jc w:val="both"/>
      </w:pPr>
      <w:r>
        <w:t xml:space="preserve">        </w:t>
      </w:r>
      <w:r>
        <w:t xml:space="preserve">3.5. Моментом поставки Товара считается дата, указанная в документе, подтверждающем приемку товара (товарная накладная, либо акт приема-передачи товара).</w:t>
      </w:r>
      <w:r/>
    </w:p>
    <w:p>
      <w:pPr>
        <w:pStyle w:val="784"/>
        <w:ind w:firstLine="360"/>
        <w:jc w:val="both"/>
      </w:pPr>
      <w:r>
        <w:t xml:space="preserve">  </w:t>
      </w:r>
      <w:r>
        <w:t xml:space="preserve">3.6.</w:t>
      </w:r>
      <w:r>
        <w:t xml:space="preserve"> Для проверки поставленного Товара, предусмотренного Договором, в части соответствия его условиям Договора, Заказчик  не позднее 20 (двадцати) рабочих дней с момента поставки, проводит экспертизу. Экспертиза может проводиться Заказчиком своими силами или к</w:t>
      </w:r>
      <w:r>
        <w:t xml:space="preserve"> ее проведению могут привлекаться эксперты, экспертные организации, результат которой оформляется заключением. В случае если по результатам проведенной экспертизы установлено, что Товар соответствует условиям Договора, Заказчик осуществляет приемку Товара.</w:t>
      </w:r>
      <w:r/>
    </w:p>
    <w:p>
      <w:pPr>
        <w:pStyle w:val="784"/>
        <w:ind w:firstLine="360"/>
        <w:jc w:val="both"/>
      </w:pPr>
      <w:r>
        <w:t xml:space="preserve">  </w:t>
      </w:r>
      <w:r>
        <w:t xml:space="preserve">3.7. При обнаружении Заказчиком в ходе проведения эксп</w:t>
      </w:r>
      <w:r>
        <w:t xml:space="preserve">ертизы недостатков по поставке Товара, Заказчик в заключении фиксирует перечень недостатков и сроки их устранения. При этом Заказчиком составляется мотивированный отказ от подписания товарной накладной, в этом случае Товар не считается принятым Заказчиком.</w:t>
      </w:r>
      <w:r/>
    </w:p>
    <w:p>
      <w:pPr>
        <w:pStyle w:val="784"/>
        <w:ind w:firstLine="360"/>
        <w:jc w:val="both"/>
      </w:pPr>
      <w:r>
        <w:t xml:space="preserve">3.8. Поставщик устраняет все обнаруженные недостатки своими силами, за свой счет в сроки, установленные в заключении.</w:t>
      </w:r>
      <w:r/>
    </w:p>
    <w:p>
      <w:pPr>
        <w:pStyle w:val="784"/>
        <w:ind w:firstLine="360"/>
        <w:jc w:val="both"/>
        <w:rPr>
          <w:color w:val="ff0000"/>
          <w:highlight w:val="none"/>
        </w:rPr>
      </w:pPr>
      <w:r>
        <w:t xml:space="preserve">3.9. После устранения Поставщиком недостатков указанных в акте, Заказчик осуществляет приемку Товара, в соответствии с условиями Договора.</w:t>
      </w:r>
      <w:r>
        <w:rPr>
          <w:color w:val="ff0000"/>
          <w:highlight w:val="none"/>
        </w:rPr>
      </w:r>
      <w:r>
        <w:rPr>
          <w:color w:val="ff0000"/>
          <w:highlight w:val="none"/>
        </w:rPr>
      </w:r>
    </w:p>
    <w:p>
      <w:pPr>
        <w:pStyle w:val="784"/>
        <w:ind w:firstLine="360"/>
        <w:jc w:val="center"/>
        <w:rPr>
          <w:b/>
        </w:rPr>
      </w:pPr>
      <w:r>
        <w:rPr>
          <w:b/>
        </w:rPr>
        <w:t xml:space="preserve">4. Обязанности сторон.</w:t>
      </w:r>
      <w:r>
        <w:rPr>
          <w:b/>
        </w:rPr>
      </w:r>
      <w:r>
        <w:rPr>
          <w:b/>
        </w:rPr>
      </w:r>
    </w:p>
    <w:p>
      <w:pPr>
        <w:pStyle w:val="784"/>
        <w:ind w:firstLine="360"/>
        <w:jc w:val="both"/>
        <w:rPr>
          <w:b/>
        </w:rPr>
      </w:pPr>
      <w:r>
        <w:t xml:space="preserve">4.1. </w:t>
      </w:r>
      <w:r>
        <w:rPr>
          <w:b/>
        </w:rPr>
        <w:t xml:space="preserve">Поставщик обязан:</w:t>
      </w:r>
      <w:r>
        <w:rPr>
          <w:b/>
        </w:rPr>
      </w:r>
      <w:r>
        <w:rPr>
          <w:b/>
        </w:rPr>
      </w:r>
    </w:p>
    <w:p>
      <w:pPr>
        <w:pStyle w:val="784"/>
        <w:ind w:firstLine="360"/>
        <w:jc w:val="both"/>
      </w:pPr>
      <w:r>
        <w:t xml:space="preserve">4.1.1. Поставить Заказчику Товар надлежащего качества, в количестве, указанном в Спецификации (Приложение № 1), а также в обусловленные настоящим Договором сроки и адрес.</w:t>
      </w:r>
      <w:r/>
    </w:p>
    <w:p>
      <w:pPr>
        <w:pStyle w:val="784"/>
        <w:ind w:firstLine="360"/>
        <w:jc w:val="both"/>
      </w:pPr>
      <w:r>
        <w:t xml:space="preserve">4.1.2. Передать Заказчику документацию на Товар, предусмотренную действующим законодательством РФ для данного вида Товара. </w:t>
      </w:r>
      <w:r/>
    </w:p>
    <w:p>
      <w:pPr>
        <w:pStyle w:val="784"/>
        <w:ind w:right="-1"/>
        <w:jc w:val="both"/>
        <w:widowControl w:val="off"/>
        <w:tabs>
          <w:tab w:val="clear" w:pos="708" w:leader="none"/>
          <w:tab w:val="left" w:pos="709" w:leader="none"/>
          <w:tab w:val="left" w:pos="1176" w:leader="none"/>
        </w:tabs>
        <w:rPr>
          <w:color w:val="000000"/>
        </w:rPr>
      </w:pPr>
      <w:r>
        <w:rPr>
          <w:color w:val="000000"/>
        </w:rPr>
        <w:t xml:space="preserve">      </w:t>
      </w:r>
      <w:r>
        <w:rPr>
          <w:color w:val="000000"/>
        </w:rPr>
        <w:t xml:space="preserve">4.1.3. Устранить за свой счет все выявленные недостатки, в том числе скрытые, поставленного Товара (в случае невозможности устранить недостатки – заменить на аналогичный товар).</w:t>
      </w:r>
      <w:r>
        <w:rPr>
          <w:color w:val="000000"/>
        </w:rPr>
      </w:r>
      <w:r>
        <w:rPr>
          <w:color w:val="000000"/>
        </w:rPr>
      </w:r>
    </w:p>
    <w:p>
      <w:pPr>
        <w:pStyle w:val="784"/>
        <w:ind w:right="-1"/>
        <w:jc w:val="both"/>
        <w:widowControl w:val="off"/>
        <w:tabs>
          <w:tab w:val="clear" w:pos="708" w:leader="none"/>
          <w:tab w:val="left" w:pos="709" w:leader="none"/>
          <w:tab w:val="left" w:pos="1176" w:leader="none"/>
        </w:tabs>
      </w:pPr>
      <w:r>
        <w:rPr>
          <w:color w:val="000000"/>
        </w:rPr>
        <w:t xml:space="preserve">     </w:t>
      </w:r>
      <w:r>
        <w:rPr>
          <w:color w:val="000000"/>
        </w:rPr>
        <w:t xml:space="preserve">4.1.4. </w:t>
      </w:r>
      <w:r>
        <w:t xml:space="preserve">Выплатить Заказчику неустойку (штраф, пени) за неисполнение или ненадлежащее исполнение обязательств по Договору, в соответствии с его условиями на основании полученного требования от Заказчика.</w:t>
      </w:r>
      <w:r/>
    </w:p>
    <w:p>
      <w:pPr>
        <w:pStyle w:val="784"/>
        <w:ind w:right="-1"/>
        <w:jc w:val="both"/>
        <w:widowControl w:val="off"/>
        <w:tabs>
          <w:tab w:val="clear" w:pos="708" w:leader="none"/>
          <w:tab w:val="left" w:pos="709" w:leader="none"/>
          <w:tab w:val="left" w:pos="1176" w:leader="none"/>
        </w:tabs>
      </w:pPr>
      <w:r>
        <w:t xml:space="preserve">     </w:t>
      </w:r>
      <w:r>
        <w:t xml:space="preserve">4.1.5. До заключения Договора (при подаче заявки на закупку (оферты)) предоставить информацию (декларацию) о соответствии требованиям, установленным  разделом 7 настоящего Договора.</w:t>
      </w:r>
      <w:r/>
    </w:p>
    <w:p>
      <w:pPr>
        <w:pStyle w:val="784"/>
        <w:ind w:firstLine="360"/>
        <w:jc w:val="both"/>
      </w:pPr>
      <w:r>
        <w:t xml:space="preserve">4.2. </w:t>
      </w:r>
      <w:r>
        <w:rPr>
          <w:b/>
        </w:rPr>
        <w:t xml:space="preserve">Заказчик обязан</w:t>
      </w:r>
      <w:r>
        <w:t xml:space="preserve">:</w:t>
      </w:r>
      <w:r/>
    </w:p>
    <w:p>
      <w:pPr>
        <w:pStyle w:val="784"/>
        <w:ind w:firstLine="360"/>
        <w:jc w:val="both"/>
      </w:pPr>
      <w:r>
        <w:t xml:space="preserve">4.2.1. Принять Товар по наименованию, количеству, указанному в Спецификации (Приложение № 1), в порядке и сроки, установленные настоящим Договором, оформив при этом необходимые документы.</w:t>
      </w:r>
      <w:r/>
    </w:p>
    <w:p>
      <w:pPr>
        <w:pStyle w:val="784"/>
        <w:jc w:val="both"/>
      </w:pPr>
      <w:r>
        <w:t xml:space="preserve">       </w:t>
      </w:r>
      <w:r>
        <w:t xml:space="preserve">4.2.2. Провести экспертизу поставленного Товара в соответствии с действующим законодательством РФ.</w:t>
      </w:r>
      <w:r/>
    </w:p>
    <w:p>
      <w:pPr>
        <w:pStyle w:val="784"/>
        <w:ind w:firstLine="360"/>
        <w:jc w:val="both"/>
      </w:pPr>
      <w:r>
        <w:t xml:space="preserve">4.2.3. Оплатить поставку Товара, в соответствии с условиями настоящего Договора.</w:t>
      </w:r>
      <w:r/>
    </w:p>
    <w:p>
      <w:pPr>
        <w:pStyle w:val="784"/>
        <w:jc w:val="both"/>
      </w:pPr>
      <w:r>
        <w:t xml:space="preserve">      </w:t>
      </w:r>
      <w:r>
        <w:t xml:space="preserve">4.2.4. Направить Поставщику требование об уплате неустойки (штрафа, пени) за неисполнение или ненадлежащее исполнение им обязательств по настоящему Договору.</w:t>
      </w:r>
      <w:r/>
    </w:p>
    <w:p>
      <w:pPr>
        <w:pStyle w:val="784"/>
        <w:ind w:firstLine="709"/>
        <w:jc w:val="center"/>
        <w:rPr>
          <w:b/>
          <w:color w:val="000000"/>
        </w:rPr>
      </w:pPr>
      <w:r>
        <w:rPr>
          <w:b/>
          <w:color w:val="000000"/>
        </w:rPr>
        <w:t xml:space="preserve">5. Ответственность сторон.</w:t>
      </w:r>
      <w:r>
        <w:rPr>
          <w:b/>
          <w:color w:val="000000"/>
        </w:rPr>
      </w:r>
      <w:r>
        <w:rPr>
          <w:b/>
          <w:color w:val="000000"/>
        </w:rPr>
      </w:r>
    </w:p>
    <w:p>
      <w:pPr>
        <w:pStyle w:val="784"/>
        <w:ind w:firstLine="540"/>
        <w:jc w:val="both"/>
        <w:widowControl w:val="off"/>
      </w:pPr>
      <w:r>
        <w:t xml:space="preserve">5.1. За неисполнение или ненадлежащее исполнение  обязательств, предусмотренных Договором, Стороны несут ответственность в соответствии с Федеральным законом от 05.04.2013 г. № 44-ФЗ.</w:t>
      </w:r>
      <w:r/>
    </w:p>
    <w:p>
      <w:pPr>
        <w:pStyle w:val="784"/>
        <w:ind w:firstLine="540"/>
        <w:jc w:val="both"/>
      </w:pPr>
      <w:r>
        <w:t xml:space="preserve">5.1.1. В случае просрочки исполнения Заказчиком обязательств, предусмотренных Договором, а также в иных случаях неисполнения или ненадлежащ</w:t>
      </w:r>
      <w:r>
        <w:t xml:space="preserve">его исполнения Заказчиком обязательств, предусмотренных Договором, Поставщик вправе потребовать уплаты неустоек (штрафов, пеней). Пеня начисляется за каждый день просрочки исполнения обязательства, предусмотренного Договором, начиная со дня, следующего пос</w:t>
      </w:r>
      <w:r>
        <w:t xml:space="preserve">ле дня истечения установленного Договором срока исполнения обязательства. Такая пеня устанавливается Договором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r/>
    </w:p>
    <w:p>
      <w:pPr>
        <w:pStyle w:val="784"/>
        <w:ind w:firstLine="540"/>
        <w:jc w:val="both"/>
      </w:pPr>
      <w:r>
        <w:t xml:space="preserve">5.1.2. За каждый факт неисполнения Заказчиком обязательств, предусмотренных Договором, за исключением просрочки исполнения обязательств, предусмотренных Договором, размер штрафа устанавливается </w:t>
      </w:r>
      <w:r>
        <w:rPr>
          <w:bCs/>
        </w:rPr>
        <w:t xml:space="preserve">в соответствии с  Постановлением Правительства РФ от 30.08.2017   № 1042 и составляет </w:t>
      </w:r>
      <w:r>
        <w:t xml:space="preserve">1000 рублей.</w:t>
      </w:r>
      <w:r/>
    </w:p>
    <w:p>
      <w:pPr>
        <w:pStyle w:val="784"/>
        <w:jc w:val="both"/>
        <w:spacing w:before="0" w:after="60"/>
        <w:widowControl w:val="off"/>
        <w:rPr>
          <w:bCs/>
        </w:rPr>
      </w:pPr>
      <w:r>
        <w:rPr>
          <w:bCs/>
        </w:rPr>
        <w:t xml:space="preserve">        </w:t>
      </w:r>
      <w:r>
        <w:rPr>
          <w:bCs/>
        </w:rPr>
        <w:t xml:space="preserve">5.1.3. В случае просрочки исполнения Поставщиком обязательств (в том чи</w:t>
      </w:r>
      <w:r>
        <w:rPr>
          <w:bCs/>
        </w:rPr>
        <w:t xml:space="preserve">сле гарантийного обязательства), предусмотренных Договором, а также в иных случаях неисполнения или ненадлежащего исполнения Поставщиком обязательств, предусмотренных Договором, Заказчик направляет Поставщику требование об уплате неустоек (штрафов, пеней).</w:t>
      </w:r>
      <w:r>
        <w:rPr>
          <w:bCs/>
        </w:rPr>
      </w:r>
      <w:r>
        <w:rPr>
          <w:bCs/>
        </w:rPr>
      </w:r>
    </w:p>
    <w:p>
      <w:pPr>
        <w:pStyle w:val="784"/>
        <w:ind w:firstLine="540"/>
        <w:jc w:val="both"/>
        <w:spacing w:before="0" w:after="60"/>
        <w:widowControl w:val="off"/>
        <w:rPr>
          <w:bCs/>
        </w:rPr>
      </w:pPr>
      <w:r>
        <w:rPr>
          <w:bCs/>
        </w:rPr>
        <w:t xml:space="preserve">5.1.4. Пеня начисляется за каждый день просрочки исполнения Поставщиком обязательства, предусмотренн</w:t>
      </w:r>
      <w:r>
        <w:rPr>
          <w:bCs/>
        </w:rPr>
        <w:t xml:space="preserve">ого Договором, начиная со дня, следующего после дня истечения установленного Договором срока исполнения обязательства, и устанавливается  Договором в размере одной трехсотой действующей на дату уплаты пени ключевой ставки Центрального банка Российской Феде</w:t>
      </w:r>
      <w:r>
        <w:rPr>
          <w:bCs/>
        </w:rPr>
        <w:t xml:space="preserve">рации от цены Договора, уменьшенной на сумму, пропорциональную объему обязательств, предусмотренных Договором и фактически исполненных Поставщиком, за исключением случаев, если законодательством Российской Федерации установлен иной порядок начисления пени.</w:t>
      </w:r>
      <w:r>
        <w:rPr>
          <w:bCs/>
        </w:rPr>
      </w:r>
      <w:r>
        <w:rPr>
          <w:bCs/>
        </w:rPr>
      </w:r>
    </w:p>
    <w:p>
      <w:pPr>
        <w:pStyle w:val="784"/>
        <w:ind w:firstLine="540"/>
        <w:jc w:val="both"/>
        <w:spacing w:before="0" w:after="60"/>
        <w:widowControl w:val="off"/>
      </w:pPr>
      <w:r>
        <w:rPr>
          <w:bCs/>
        </w:rPr>
        <w:t xml:space="preserve">5.1.5. За каждый факт неисполнения или ненадлежащего исполнения Поставщи</w:t>
      </w:r>
      <w:r>
        <w:rPr>
          <w:bCs/>
        </w:rPr>
        <w:t xml:space="preserve">ком обязательств, предусмотренных Договором, за исключением просрочки исполнения  обязательств, предусмотренных Договором, размер штрафа устанавливается в соответствии с  Постановлением Правительства РФ от 30.08.2017 № 1042 и составляет 10% цены Договора. </w:t>
      </w:r>
      <w:r/>
    </w:p>
    <w:p>
      <w:pPr>
        <w:pStyle w:val="784"/>
        <w:ind w:firstLine="540"/>
        <w:jc w:val="both"/>
        <w:widowControl w:val="off"/>
      </w:pPr>
      <w:r>
        <w:t xml:space="preserve">5.2. Сторона освобождается от уплаты неустойки (штрафа, пени), если докажет, что неисполнение или ненадлежащее исполнение обязательства, предусмотренного Договором, произошло вследствие непреодолимой силы или по вине другой стороны.</w:t>
      </w:r>
      <w:r/>
    </w:p>
    <w:p>
      <w:pPr>
        <w:pStyle w:val="870"/>
        <w:ind w:left="0"/>
        <w:jc w:val="both"/>
        <w:spacing w:before="0" w:after="0"/>
        <w:tabs>
          <w:tab w:val="clear" w:pos="708" w:leader="none"/>
          <w:tab w:val="left" w:pos="1276" w:leader="none"/>
        </w:tabs>
      </w:pPr>
      <w:r>
        <w:t xml:space="preserve">        </w:t>
      </w:r>
      <w:r>
        <w:t xml:space="preserve">5.3. Применение указанных выше санкций не освобождает Стороны от выполнения принятых обязательств по настоящему Договору.</w:t>
      </w:r>
      <w:r/>
    </w:p>
    <w:p>
      <w:pPr>
        <w:pStyle w:val="784"/>
        <w:ind w:firstLine="709"/>
        <w:jc w:val="center"/>
        <w:rPr>
          <w:b/>
          <w:color w:val="000000"/>
        </w:rPr>
      </w:pPr>
      <w:r>
        <w:rPr>
          <w:b/>
          <w:color w:val="000000"/>
        </w:rPr>
        <w:t xml:space="preserve">6. Качество и гарантия на Товар.</w:t>
      </w:r>
      <w:r>
        <w:rPr>
          <w:b/>
          <w:color w:val="000000"/>
        </w:rPr>
      </w:r>
      <w:r>
        <w:rPr>
          <w:b/>
          <w:color w:val="000000"/>
        </w:rPr>
      </w:r>
    </w:p>
    <w:p>
      <w:pPr>
        <w:pStyle w:val="784"/>
        <w:jc w:val="both"/>
        <w:tabs>
          <w:tab w:val="clear" w:pos="708" w:leader="none"/>
          <w:tab w:val="left" w:pos="1276" w:leader="none"/>
        </w:tabs>
      </w:pPr>
      <w:r>
        <w:t xml:space="preserve">            </w:t>
      </w:r>
      <w:r>
        <w:t xml:space="preserve">6.1.Поставщик гарантирует, что поставляемые по настоящему Договору товары, соответствуют стандартам и техническим условиям производителя и требованиям технического регламента, заявленных в сертификатах соответствия ГОСТ.</w:t>
        <w:tab/>
      </w:r>
      <w:r/>
    </w:p>
    <w:p>
      <w:pPr>
        <w:pStyle w:val="784"/>
        <w:jc w:val="both"/>
        <w:tabs>
          <w:tab w:val="clear" w:pos="708" w:leader="none"/>
          <w:tab w:val="left" w:pos="1276" w:leader="none"/>
        </w:tabs>
      </w:pPr>
      <w:r>
        <w:t xml:space="preserve">            </w:t>
      </w:r>
      <w:r>
        <w:t xml:space="preserve">6.2. Поставщик предоставляет Заказчику вместе с Товаром имеющуюся документацию на Товар. Вся указанная документация на Товар предоставляется на русском языке. </w:t>
      </w:r>
      <w:r/>
    </w:p>
    <w:p>
      <w:pPr>
        <w:pStyle w:val="784"/>
        <w:ind w:firstLine="709"/>
        <w:jc w:val="both"/>
        <w:tabs>
          <w:tab w:val="clear" w:pos="708" w:leader="none"/>
          <w:tab w:val="left" w:pos="1440" w:leader="none"/>
        </w:tabs>
      </w:pPr>
      <w:r>
        <w:t xml:space="preserve">6.3. Товар поставляется в тар</w:t>
      </w:r>
      <w:r>
        <w:t xml:space="preserve">е (упаковке), соответствующей государственным стандартам, техническим условиям, другой нормативно–технической документации, применяемой для данного вида Товара. Товар должен быть упакован таким образом, чтобы обеспечить его сохранность при транспортировке.</w:t>
      </w:r>
      <w:r/>
    </w:p>
    <w:p>
      <w:pPr>
        <w:pStyle w:val="784"/>
        <w:ind w:firstLine="709"/>
        <w:jc w:val="center"/>
        <w:tabs>
          <w:tab w:val="clear" w:pos="708" w:leader="none"/>
          <w:tab w:val="left" w:pos="1440" w:leader="none"/>
        </w:tabs>
        <w:rPr>
          <w:b/>
          <w:bCs/>
        </w:rPr>
      </w:pPr>
      <w:r>
        <w:rPr>
          <w:b/>
          <w:bCs/>
        </w:rPr>
        <w:t xml:space="preserve">7. Единые требования</w:t>
      </w:r>
      <w:r>
        <w:rPr>
          <w:b/>
          <w:bCs/>
        </w:rPr>
      </w:r>
      <w:r>
        <w:rPr>
          <w:b/>
          <w:bCs/>
        </w:rPr>
      </w:r>
    </w:p>
    <w:p>
      <w:pPr>
        <w:pStyle w:val="784"/>
        <w:jc w:val="both"/>
        <w:tabs>
          <w:tab w:val="clear" w:pos="708" w:leader="none"/>
          <w:tab w:val="left" w:pos="1440" w:leader="none"/>
        </w:tabs>
      </w:pPr>
      <w:r>
        <w:t xml:space="preserve">           </w:t>
      </w:r>
      <w:r>
        <w:t xml:space="preserve">7.1. В соответствии с частью 1 статьи 31 Федерального закона № 44-ФЗ от 05.04.2013 года,  Заказчик устанавливает следующие единые требования к Поставщику:</w:t>
      </w:r>
      <w:r/>
    </w:p>
    <w:p>
      <w:pPr>
        <w:pStyle w:val="784"/>
        <w:jc w:val="both"/>
        <w:tabs>
          <w:tab w:val="clear" w:pos="708" w:leader="none"/>
          <w:tab w:val="left" w:pos="1440" w:leader="none"/>
        </w:tabs>
      </w:pPr>
      <w:r>
        <w:t xml:space="preserve">           </w:t>
      </w:r>
      <w:r>
        <w:t xml:space="preserve">7.1.1. соответствие Поставщика требованиям, установленным в соответствии с законодательством Российской Федерации к лицам, осуществляющим поставку товара, являющимся объектом закупки;</w:t>
      </w:r>
      <w:r/>
    </w:p>
    <w:p>
      <w:pPr>
        <w:pStyle w:val="784"/>
        <w:ind w:firstLine="709"/>
        <w:jc w:val="both"/>
        <w:tabs>
          <w:tab w:val="clear" w:pos="708" w:leader="none"/>
          <w:tab w:val="left" w:pos="1440" w:leader="none"/>
        </w:tabs>
      </w:pPr>
      <w:r>
        <w:t xml:space="preserve">7.1.2. непроведение ликвидации Поставщика - юридического лица и отсутствие решения арбитражного суда о признании Поставщика - юридического лица или индивидуального предпринимателя несостоятельным (банкротом) и об открытии конкурсного производства;</w:t>
      </w:r>
      <w:r/>
    </w:p>
    <w:p>
      <w:pPr>
        <w:pStyle w:val="784"/>
        <w:ind w:firstLine="709"/>
        <w:jc w:val="both"/>
        <w:tabs>
          <w:tab w:val="clear" w:pos="708" w:leader="none"/>
          <w:tab w:val="left" w:pos="1440" w:leader="none"/>
        </w:tabs>
      </w:pPr>
      <w:r>
        <w:t xml:space="preserve">7.1.3. неприостановление деятельности Поставщика в порядке, установленном </w:t>
      </w:r>
      <w:hyperlink r:id="rId9" w:tooltip="consultantplus://offline/ref=BD50EEEBBF1F695F04B7DB19CD97EC0B41B5A50A9448E26E36F2F36C264A505CF277E25EF0200B122A30983B75097FCA2212D70FD5h9g1M" w:history="1">
        <w:r>
          <w:rPr>
            <w:rStyle w:val="840"/>
          </w:rPr>
          <w:t xml:space="preserve">Кодексом</w:t>
        </w:r>
      </w:hyperlink>
      <w:r>
        <w:t xml:space="preserve"> Российской Федерации об административных правонарушениях;</w:t>
      </w:r>
      <w:r/>
    </w:p>
    <w:p>
      <w:pPr>
        <w:pStyle w:val="784"/>
        <w:ind w:firstLine="709"/>
        <w:jc w:val="both"/>
        <w:tabs>
          <w:tab w:val="clear" w:pos="708" w:leader="none"/>
          <w:tab w:val="left" w:pos="1440" w:leader="none"/>
        </w:tabs>
      </w:pPr>
      <w:r>
        <w:t xml:space="preserve">7.1.4. отсутст</w:t>
      </w:r>
      <w:r>
        <w:t xml:space="preserve">вие у Поставщика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w:t>
      </w:r>
      <w:hyperlink r:id="rId10" w:tooltip="consultantplus://offline/ref=BD50EEEBBF1F695F04B7DB19CD97EC0B41B5AB0E9243E26E36F2F36C264A505CF277E25AF020034D2F258963790960D4230DCB0DD791h4g3M" w:history="1">
        <w:r>
          <w:rPr>
            <w:rStyle w:val="840"/>
          </w:rPr>
          <w:t xml:space="preserve">законодательством</w:t>
        </w:r>
      </w:hyperlink>
      <w:r>
        <w:t xml:space="preserve"> Российской Федерации о налогах и сборах, которые реструк</w:t>
      </w:r>
      <w:r>
        <w:t xml:space="preserve">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w:t>
      </w:r>
      <w:hyperlink r:id="rId11" w:tooltip="consultantplus://offline/ref=BD50EEEBBF1F695F04B7DB19CD97EC0B41B5AB0E9243E26E36F2F36C264A505CF277E25AF022044D2F258963790960D4230DCB0DD791h4g3M" w:history="1">
        <w:r>
          <w:rPr>
            <w:rStyle w:val="840"/>
          </w:rPr>
          <w:t xml:space="preserve">законодательством</w:t>
        </w:r>
      </w:hyperlink>
      <w:r>
        <w:t xml:space="preserve"> Российской Федерации о налогах </w:t>
      </w:r>
      <w:r>
        <w:t xml:space="preserve">и сборах) за прошедший календарный год, размер которых превышает двадцать пять процентов балансовой стоимости активов участника закупки, по данным бухгалтерской отчетности за последний отчетный период. Поставщик считается соответствующим установленному тре</w:t>
      </w:r>
      <w:r>
        <w:t xml:space="preserve">бованию в случае, если им в установленном порядке подано заявление об обжаловании указанных недоимки, задолженности и решение по такому заявлению на дату рассмотрения заявки (оферты) на участие в определении поставщика (подрядчика, исполнителя) не принято;</w:t>
      </w:r>
      <w:r/>
    </w:p>
    <w:p>
      <w:pPr>
        <w:pStyle w:val="784"/>
        <w:ind w:firstLine="709"/>
        <w:jc w:val="both"/>
        <w:tabs>
          <w:tab w:val="clear" w:pos="708" w:leader="none"/>
          <w:tab w:val="left" w:pos="1440" w:leader="none"/>
        </w:tabs>
      </w:pPr>
      <w:r>
        <w:t xml:space="preserve">7.1.5. отсутствие у Поставщика - физического лица либо у руков</w:t>
      </w:r>
      <w:r>
        <w:t xml:space="preserve">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Поставщика судимости за преступления в сфере экономики и (или) преступления, предусмотренные </w:t>
      </w:r>
      <w:hyperlink r:id="rId12" w:tooltip="consultantplus://offline/ref=BD50EEEBBF1F695F04B7DB19CD97EC0B41B5AB089B49E26E36F2F36C264A505CF277E25AF123084F7C7F9967305D6CCB2212D50EC99141B9hCg1M" w:history="1">
        <w:r>
          <w:rPr>
            <w:rStyle w:val="840"/>
          </w:rPr>
          <w:t xml:space="preserve">статьями 289</w:t>
        </w:r>
      </w:hyperlink>
      <w:r>
        <w:t xml:space="preserve">, </w:t>
      </w:r>
      <w:hyperlink r:id="rId13" w:tooltip="consultantplus://offline/ref=BD50EEEBBF1F695F04B7DB19CD97EC0B41B5AB089B49E26E36F2F36C264A505CF277E259F127044D2F258963790960D4230DCB0DD791h4g3M" w:history="1">
        <w:r>
          <w:rPr>
            <w:rStyle w:val="840"/>
          </w:rPr>
          <w:t xml:space="preserve">290</w:t>
        </w:r>
      </w:hyperlink>
      <w:r>
        <w:t xml:space="preserve">, </w:t>
      </w:r>
      <w:hyperlink r:id="rId14" w:tooltip="consultantplus://offline/ref=BD50EEEBBF1F695F04B7DB19CD97EC0B41B5AB089B49E26E36F2F36C264A505CF277E259F125024D2F258963790960D4230DCB0DD791h4g3M" w:history="1">
        <w:r>
          <w:rPr>
            <w:rStyle w:val="840"/>
          </w:rPr>
          <w:t xml:space="preserve">291</w:t>
        </w:r>
      </w:hyperlink>
      <w:r>
        <w:t xml:space="preserve">, </w:t>
      </w:r>
      <w:hyperlink r:id="rId15" w:tooltip="consultantplus://offline/ref=BD50EEEBBF1F695F04B7DB19CD97EC0B41B5AB089B49E26E36F2F36C264A505CF277E259F12A064D2F258963790960D4230DCB0DD791h4g3M" w:history="1">
        <w:r>
          <w:rPr>
            <w:rStyle w:val="840"/>
          </w:rPr>
          <w:t xml:space="preserve">291.1</w:t>
        </w:r>
      </w:hyperlink>
      <w:r>
        <w:t xml:space="preserve"> Уголовного кодекса Российской Федерации (за исключением лиц, у которых такая судимость погашена или снята), а также неприменение в отношении указанных физических лиц наказания в виде лише</w:t>
      </w:r>
      <w:r>
        <w:t xml:space="preserve">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w:t>
      </w:r>
      <w:r/>
    </w:p>
    <w:p>
      <w:pPr>
        <w:pStyle w:val="784"/>
        <w:ind w:firstLine="709"/>
        <w:jc w:val="both"/>
        <w:tabs>
          <w:tab w:val="clear" w:pos="708" w:leader="none"/>
          <w:tab w:val="left" w:pos="1440" w:leader="none"/>
        </w:tabs>
      </w:pPr>
      <w:r>
        <w:t xml:space="preserve">7.1.6. Поставщик - юридическое лицо, которое в течение двух лет до момента подачи заявки (оферты) на участие в закупке не было привлечено к административной ответственности за совершение административного правонарушения, предусмотренного </w:t>
      </w:r>
      <w:hyperlink r:id="rId16" w:tooltip="consultantplus://offline/ref=BD50EEEBBF1F695F04B7DB19CD97EC0B41B5A50A9448E26E36F2F36C264A505CF277E259F720004D2F258963790960D4230DCB0DD791h4g3M" w:history="1">
        <w:r>
          <w:rPr>
            <w:rStyle w:val="840"/>
          </w:rPr>
          <w:t xml:space="preserve">статьей 19.28</w:t>
        </w:r>
      </w:hyperlink>
      <w:r>
        <w:t xml:space="preserve"> Кодекса Российской Федерации об административных правонарушениях;</w:t>
      </w:r>
      <w:r/>
    </w:p>
    <w:p>
      <w:pPr>
        <w:pStyle w:val="784"/>
        <w:ind w:firstLine="709"/>
        <w:jc w:val="both"/>
        <w:tabs>
          <w:tab w:val="clear" w:pos="708" w:leader="none"/>
          <w:tab w:val="left" w:pos="1440" w:leader="none"/>
        </w:tabs>
      </w:pPr>
      <w:r>
        <w:t xml:space="preserve">7.1.7. обладание Поставщика исключительными правами на результаты интеллектуальной деятельно</w:t>
      </w:r>
      <w:r>
        <w:t xml:space="preserve">сти, если в связи с исполнением контракта заказчик приобретает права на такие результаты, за исключением случаев заключения контрактов на создание произведений литературы или искусства, исполнения, на финансирование проката или показа национального фильма;</w:t>
      </w:r>
      <w:r/>
    </w:p>
    <w:p>
      <w:pPr>
        <w:pStyle w:val="784"/>
        <w:ind w:firstLine="709"/>
        <w:jc w:val="both"/>
        <w:tabs>
          <w:tab w:val="clear" w:pos="708" w:leader="none"/>
          <w:tab w:val="left" w:pos="1440" w:leader="none"/>
        </w:tabs>
      </w:pPr>
      <w:r>
        <w:t xml:space="preserve">7.1.8. отсутствие между поставщиком и заказчиком конфликта интересов, под которым понимаются случаи, при которых руководитель заказчика,</w:t>
      </w:r>
      <w:r>
        <w:t xml:space="preserve"> член комиссии по осуществлению закупок, руководитель контрактной службы заказчика, контрактный управляющий состоят в браке с физическими лицами, являющимися выгодоприобретателями, единоличным исполнительным органом хозяйственного общества (директором, ген</w:t>
      </w:r>
      <w:r>
        <w:t xml:space="preserve">еральным директором, управляющим, президентом и другими), членами коллегиального исполнительного органа хозяйственного общества, руководителем (директором, генеральным директором) учреждения или унитарного предприятия либо иными органами управления юридиче</w:t>
      </w:r>
      <w:r>
        <w:t xml:space="preserve">ских лиц - участников закупки, с физическими лицами, в том числе зарегистрированными в качестве индивидуального предпринимателя, - участниками закупки либо являются близкими родственниками (родственниками по прямой восходящей и нисходящей линии (родителями</w:t>
      </w:r>
      <w:r>
        <w:t xml:space="preserve"> и детьми, дедушкой, бабушкой и внуками), полнородными и неполнородными (имеющими общих отца или мать) братьями и сестрами), усыновителями или усыновленными указанных физических лиц. Под выгодоприобретателями для целей настоящей статьи понимаются физически</w:t>
      </w:r>
      <w:r>
        <w:t xml:space="preserve">е лица, владеющие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капитале хозяйственного общества;</w:t>
      </w:r>
      <w:r/>
    </w:p>
    <w:p>
      <w:pPr>
        <w:pStyle w:val="784"/>
        <w:ind w:firstLine="709"/>
        <w:jc w:val="both"/>
        <w:tabs>
          <w:tab w:val="clear" w:pos="708" w:leader="none"/>
          <w:tab w:val="left" w:pos="1440" w:leader="none"/>
        </w:tabs>
      </w:pPr>
      <w:r>
        <w:t xml:space="preserve">7.1.9. По</w:t>
      </w:r>
      <w:r>
        <w:t xml:space="preserve">ставщик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w:t>
      </w:r>
      <w:r>
        <w:t xml:space="preserve">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r/>
    </w:p>
    <w:p>
      <w:pPr>
        <w:pStyle w:val="784"/>
        <w:ind w:firstLine="709"/>
        <w:jc w:val="both"/>
        <w:tabs>
          <w:tab w:val="clear" w:pos="708" w:leader="none"/>
          <w:tab w:val="left" w:pos="1440" w:leader="none"/>
        </w:tabs>
      </w:pPr>
      <w:r>
        <w:t xml:space="preserve">7.1.10. Поставщик не является иностранным агентом;</w:t>
      </w:r>
      <w:r/>
    </w:p>
    <w:p>
      <w:pPr>
        <w:pStyle w:val="784"/>
        <w:jc w:val="both"/>
        <w:tabs>
          <w:tab w:val="clear" w:pos="708" w:leader="none"/>
          <w:tab w:val="left" w:pos="1440" w:leader="none"/>
        </w:tabs>
      </w:pPr>
      <w:r>
        <w:t xml:space="preserve">            </w:t>
      </w:r>
      <w:r>
        <w:t xml:space="preserve">7.1.11. Отсутствие у Поставщика ограничений для участия в закупках, установленных законодательством Российской Федерации.</w:t>
      </w:r>
      <w:r/>
    </w:p>
    <w:p>
      <w:pPr>
        <w:pStyle w:val="784"/>
        <w:jc w:val="both"/>
        <w:tabs>
          <w:tab w:val="clear" w:pos="708" w:leader="none"/>
          <w:tab w:val="left" w:pos="1440" w:leader="none"/>
        </w:tabs>
      </w:pPr>
      <w:r>
        <w:t xml:space="preserve">             </w:t>
      </w:r>
      <w:r>
        <w:t xml:space="preserve">7.2. В соответствии с частью 9 </w:t>
      </w:r>
      <w:r>
        <w:t xml:space="preserve">статьи 31 Федерального закона № 44-ФЗ от 05.04.2013 года, отстранение участника закупки (Поставщика) от участия в определении  поставщика (подрядчика, исполнителя) или отказ от заключения договора с победителем закупки (Поставщиком) осуществляется в любой </w:t>
      </w:r>
      <w:r>
        <w:t xml:space="preserve">момент до  заключения Договора, если Заказчик обнаружит, что  участник закупки (Поставщик) не соответствует  указанным в п.7.1. настоящего Договора требованиям, или предоставил недостоверную информацию в отношении своего соответствия указанным требованиям.</w:t>
      </w:r>
      <w:r/>
    </w:p>
    <w:p>
      <w:pPr>
        <w:pStyle w:val="784"/>
        <w:ind w:firstLine="360"/>
        <w:jc w:val="center"/>
        <w:rPr>
          <w:b/>
          <w:bCs/>
        </w:rPr>
      </w:pPr>
      <w:r>
        <w:rPr>
          <w:b/>
          <w:bCs/>
        </w:rPr>
        <w:t xml:space="preserve">8. Обстоятельства непреодолимой силы (форс-мажор)</w:t>
      </w:r>
      <w:r>
        <w:rPr>
          <w:b/>
          <w:bCs/>
        </w:rPr>
      </w:r>
      <w:r>
        <w:rPr>
          <w:b/>
          <w:bCs/>
        </w:rPr>
      </w:r>
    </w:p>
    <w:p>
      <w:pPr>
        <w:pStyle w:val="784"/>
        <w:ind w:firstLine="360"/>
        <w:jc w:val="both"/>
        <w:rPr>
          <w:bCs/>
        </w:rPr>
      </w:pPr>
      <w:r>
        <w:rPr>
          <w:bCs/>
        </w:rPr>
        <w:t xml:space="preserve">      </w:t>
      </w:r>
      <w:r>
        <w:rPr>
          <w:bCs/>
        </w:rPr>
        <w:t xml:space="preserve">8.1. Стороны освобождаются от ответственности за частичное или полное неисполнение, а также за ненадлежащее исполнение своих обязате</w:t>
      </w:r>
      <w:r>
        <w:rPr>
          <w:bCs/>
        </w:rPr>
        <w:t xml:space="preserve">льств по настоящему Договору в случае наступления обстоятельств непреодолимой силы (форс-мажор), прямо или косвенно препятствующих исполнению настоящего Договора, то есть таких обстоятельств, которые независимо от воли сторон, не могли быть ими предвидены.</w:t>
      </w:r>
      <w:r>
        <w:rPr>
          <w:bCs/>
        </w:rPr>
      </w:r>
      <w:r>
        <w:rPr>
          <w:bCs/>
        </w:rPr>
      </w:r>
    </w:p>
    <w:p>
      <w:pPr>
        <w:pStyle w:val="784"/>
        <w:ind w:firstLine="360"/>
        <w:jc w:val="both"/>
        <w:rPr>
          <w:bCs/>
        </w:rPr>
      </w:pPr>
      <w:r>
        <w:rPr>
          <w:bCs/>
        </w:rPr>
        <w:t xml:space="preserve">    </w:t>
      </w:r>
      <w:r>
        <w:rPr>
          <w:bCs/>
        </w:rPr>
        <w:t xml:space="preserve">8.2. Сторона, оказавшаяся не в состоянии выполнить свои обязательства по настоящему Договору, обязана в течение 3-х д</w:t>
      </w:r>
      <w:r>
        <w:rPr>
          <w:bCs/>
        </w:rPr>
        <w:t xml:space="preserve">ней с момента наступления обстоятельств непреодолимой силы, письменно известить об этом другую сторону, а в дальнейшем представить доказательства, подтверждающие наличие и продолжительность обстоятельств непреодолимой силы, выданные компетентными органами.</w:t>
      </w:r>
      <w:r>
        <w:rPr>
          <w:bCs/>
        </w:rPr>
      </w:r>
      <w:r>
        <w:rPr>
          <w:bCs/>
        </w:rPr>
      </w:r>
    </w:p>
    <w:p>
      <w:pPr>
        <w:pStyle w:val="784"/>
        <w:ind w:firstLine="360"/>
        <w:jc w:val="center"/>
        <w:rPr>
          <w:b/>
          <w:bCs/>
        </w:rPr>
      </w:pPr>
      <w:r>
        <w:rPr>
          <w:b/>
          <w:bCs/>
        </w:rPr>
        <w:t xml:space="preserve">9. Порядок разрешения споров</w:t>
      </w:r>
      <w:r>
        <w:rPr>
          <w:b/>
          <w:bCs/>
        </w:rPr>
      </w:r>
      <w:r>
        <w:rPr>
          <w:b/>
          <w:bCs/>
        </w:rPr>
      </w:r>
    </w:p>
    <w:p>
      <w:pPr>
        <w:pStyle w:val="784"/>
        <w:ind w:firstLine="360"/>
        <w:jc w:val="both"/>
        <w:rPr>
          <w:bCs/>
        </w:rPr>
      </w:pPr>
      <w:r>
        <w:rPr>
          <w:bCs/>
        </w:rPr>
        <w:t xml:space="preserve">  </w:t>
      </w:r>
      <w:r>
        <w:rPr>
          <w:bCs/>
        </w:rPr>
        <w:t xml:space="preserve">9.1. Все споры и разногласия, которые могут возникнуть между Сторонами по настоящему Договору или в связи с ним, разрешаются путем переговоров. </w:t>
      </w:r>
      <w:r>
        <w:rPr>
          <w:bCs/>
        </w:rPr>
      </w:r>
      <w:r>
        <w:rPr>
          <w:bCs/>
        </w:rPr>
      </w:r>
    </w:p>
    <w:p>
      <w:pPr>
        <w:pStyle w:val="784"/>
        <w:ind w:firstLine="360"/>
        <w:jc w:val="both"/>
        <w:rPr>
          <w:bCs/>
        </w:rPr>
      </w:pPr>
      <w:r>
        <w:rPr>
          <w:bCs/>
        </w:rPr>
        <w:t xml:space="preserve">  </w:t>
      </w:r>
      <w:r>
        <w:rPr>
          <w:bCs/>
        </w:rPr>
        <w:t xml:space="preserve">9.2. В случае невозможности разрешения споров и разногласий путем перего</w:t>
      </w:r>
      <w:r>
        <w:rPr>
          <w:bCs/>
        </w:rPr>
        <w:t xml:space="preserve">воров, споры  решаются в претензионном порядке. Претензия оформляется в письменной форме и направляется Стороне, допустившей нарушения условий настоящего Договора. Срок рассмотрения писем, уведомлений или претензий – 5 рабочих дней с момента их получения. </w:t>
      </w:r>
      <w:r>
        <w:rPr>
          <w:bCs/>
        </w:rPr>
      </w:r>
      <w:r>
        <w:rPr>
          <w:bCs/>
        </w:rPr>
      </w:r>
    </w:p>
    <w:p>
      <w:pPr>
        <w:pStyle w:val="784"/>
        <w:ind w:firstLine="360"/>
        <w:jc w:val="both"/>
        <w:rPr>
          <w:b/>
          <w:bCs/>
        </w:rPr>
      </w:pPr>
      <w:r>
        <w:rPr>
          <w:bCs/>
        </w:rPr>
        <w:t xml:space="preserve">  </w:t>
      </w:r>
      <w:r>
        <w:rPr>
          <w:bCs/>
        </w:rPr>
        <w:t xml:space="preserve">9.3. Споры, по которым Стороны не достигли соглашений, передаются на рассмотрение в Арбитражный суд г. Санкт-Петербурга и Ленинградской области.</w:t>
      </w:r>
      <w:r>
        <w:rPr>
          <w:b/>
          <w:bCs/>
        </w:rPr>
      </w:r>
      <w:r>
        <w:rPr>
          <w:b/>
          <w:bCs/>
        </w:rPr>
      </w:r>
    </w:p>
    <w:p>
      <w:pPr>
        <w:pStyle w:val="784"/>
        <w:numPr>
          <w:ilvl w:val="0"/>
          <w:numId w:val="0"/>
        </w:numPr>
        <w:ind w:firstLine="360"/>
        <w:jc w:val="center"/>
        <w:rPr>
          <w:b/>
          <w:bCs/>
        </w:rPr>
        <w:outlineLvl w:val="0"/>
      </w:pPr>
      <w:r>
        <w:rPr>
          <w:b/>
          <w:bCs/>
        </w:rPr>
        <w:t xml:space="preserve">10. Срок действия Договора  порядок его изменения и расторжения.</w:t>
      </w:r>
      <w:r>
        <w:rPr>
          <w:b/>
          <w:bCs/>
        </w:rPr>
      </w:r>
      <w:r>
        <w:rPr>
          <w:b/>
          <w:bCs/>
        </w:rPr>
      </w:r>
    </w:p>
    <w:p>
      <w:pPr>
        <w:pStyle w:val="872"/>
        <w:ind w:firstLine="360"/>
        <w:jc w:val="both"/>
        <w:rPr>
          <w:rFonts w:eastAsia="MS Mincho"/>
        </w:rPr>
      </w:pPr>
      <w:r>
        <w:t xml:space="preserve">10.1. Настоящий Договор </w:t>
      </w:r>
      <w:r>
        <w:rPr>
          <w:rFonts w:eastAsia="MS Mincho"/>
        </w:rPr>
        <w:t xml:space="preserve">вступает в силу с момента его заключения,  действует до полного выполнения Сторонами обязательств по Договору, но не позднее 31.12.2026 года.</w:t>
      </w:r>
      <w:r>
        <w:rPr>
          <w:rFonts w:eastAsia="MS Mincho"/>
        </w:rPr>
      </w:r>
      <w:r>
        <w:rPr>
          <w:rFonts w:eastAsia="MS Mincho"/>
        </w:rPr>
      </w:r>
    </w:p>
    <w:p>
      <w:pPr>
        <w:pStyle w:val="784"/>
        <w:jc w:val="both"/>
      </w:pPr>
      <w:r>
        <w:rPr>
          <w:rFonts w:eastAsia="MS Mincho"/>
          <w:spacing w:val="-4"/>
        </w:rPr>
        <w:t xml:space="preserve">      </w:t>
      </w:r>
      <w:r>
        <w:rPr>
          <w:rFonts w:eastAsia="MS Mincho"/>
          <w:spacing w:val="-4"/>
        </w:rPr>
        <w:t xml:space="preserve">10.2. Изменение существенных условий Договора в ходе его исполнения не допускается.</w:t>
      </w:r>
      <w:r/>
    </w:p>
    <w:p>
      <w:pPr>
        <w:pStyle w:val="784"/>
        <w:jc w:val="both"/>
      </w:pPr>
      <w:r>
        <w:rPr>
          <w:rFonts w:eastAsia="MS Mincho"/>
          <w:spacing w:val="-4"/>
        </w:rPr>
        <w:t xml:space="preserve">      </w:t>
      </w:r>
      <w:r>
        <w:rPr>
          <w:rFonts w:eastAsia="MS Mincho"/>
          <w:spacing w:val="-4"/>
        </w:rPr>
        <w:t xml:space="preserve">10.3. </w:t>
      </w:r>
      <w:r>
        <w:t xml:space="preserve">Расторжение Договора допускается по соглашению сторон и в других случаях, предусмотренных  гражданским законодательством.</w:t>
      </w:r>
      <w:r/>
    </w:p>
    <w:p>
      <w:pPr>
        <w:pStyle w:val="784"/>
        <w:ind w:firstLine="360"/>
        <w:jc w:val="center"/>
        <w:rPr>
          <w:b/>
          <w:bCs/>
        </w:rPr>
      </w:pPr>
      <w:r>
        <w:rPr>
          <w:b/>
          <w:bCs/>
        </w:rPr>
        <w:t xml:space="preserve">11. Прочие условия</w:t>
      </w:r>
      <w:r>
        <w:rPr>
          <w:b/>
          <w:bCs/>
        </w:rPr>
      </w:r>
      <w:r>
        <w:rPr>
          <w:b/>
          <w:bCs/>
        </w:rPr>
      </w:r>
    </w:p>
    <w:p>
      <w:pPr>
        <w:pStyle w:val="784"/>
        <w:ind w:firstLine="360"/>
        <w:jc w:val="both"/>
      </w:pPr>
      <w:r>
        <w:t xml:space="preserve">11.1. Отношения, не урегулированные настоящим Договором, регулируются в соответствии с действующим законодательством РФ.</w:t>
      </w:r>
      <w:r/>
    </w:p>
    <w:p>
      <w:pPr>
        <w:pStyle w:val="784"/>
        <w:ind w:firstLine="360"/>
        <w:jc w:val="both"/>
      </w:pPr>
      <w:r>
        <w:t xml:space="preserve">11.2. Настоящий Договор составлен и подписан в соответствии с нормами действующего законодательства РФ.</w:t>
      </w:r>
      <w:r/>
    </w:p>
    <w:p>
      <w:pPr>
        <w:pStyle w:val="784"/>
        <w:ind w:firstLine="360"/>
        <w:jc w:val="both"/>
      </w:pPr>
      <w:r>
        <w:t xml:space="preserve">11.3. Все изменения и дополнения к настоящему Договору, не противоречащие действующему законодательству РФ, оформляются путем перерегистрации Договора на основании представленных документов (уведомлений, сообщений, писем и др.).</w:t>
      </w:r>
      <w:r/>
    </w:p>
    <w:p>
      <w:pPr>
        <w:pStyle w:val="784"/>
        <w:ind w:firstLine="360"/>
        <w:jc w:val="both"/>
      </w:pPr>
      <w:r>
        <w:t xml:space="preserve">11.4. Все приложения, указанные в тексте настоящего Договора, являются его неотъемлемыми частями. </w:t>
      </w:r>
      <w:r/>
    </w:p>
    <w:p>
      <w:pPr>
        <w:pStyle w:val="784"/>
        <w:ind w:firstLine="360"/>
        <w:jc w:val="both"/>
      </w:pPr>
      <w:r>
        <w:t xml:space="preserve">11.4.1. Приложение №1 – Спецификация.</w:t>
      </w:r>
      <w:r/>
    </w:p>
    <w:p>
      <w:pPr>
        <w:pStyle w:val="784"/>
        <w:jc w:val="center"/>
        <w:rPr>
          <w:b/>
          <w:bCs/>
        </w:rPr>
      </w:pPr>
      <w:r>
        <w:rPr>
          <w:b/>
          <w:bCs/>
        </w:rPr>
        <w:t xml:space="preserve">12. Адреса и реквизиты сторон</w:t>
      </w:r>
      <w:r>
        <w:rPr>
          <w:b/>
          <w:bCs/>
        </w:rPr>
      </w:r>
      <w:r>
        <w:rPr>
          <w:b/>
          <w:bCs/>
        </w:rPr>
      </w:r>
    </w:p>
    <w:tbl>
      <w:tblPr>
        <w:tblW w:w="10740" w:type="dxa"/>
        <w:tblInd w:w="108" w:type="dxa"/>
        <w:tblLayout w:type="fixed"/>
        <w:tblCellMar>
          <w:left w:w="108" w:type="dxa"/>
          <w:top w:w="0" w:type="dxa"/>
          <w:right w:w="108" w:type="dxa"/>
          <w:bottom w:w="0" w:type="dxa"/>
        </w:tblCellMar>
        <w:tblLook w:val="01E0" w:firstRow="1" w:lastRow="1" w:firstColumn="1" w:lastColumn="1" w:noHBand="0" w:noVBand="0"/>
      </w:tblPr>
      <w:tblGrid>
        <w:gridCol w:w="4068"/>
        <w:gridCol w:w="1260"/>
        <w:gridCol w:w="5412"/>
      </w:tblGrid>
      <w:tr>
        <w:tblPrEx/>
        <w:trPr/>
        <w:tc>
          <w:tcPr>
            <w:tcW w:w="4068" w:type="dxa"/>
            <w:textDirection w:val="lrTb"/>
            <w:noWrap w:val="false"/>
          </w:tcPr>
          <w:p>
            <w:pPr>
              <w:pStyle w:val="784"/>
              <w:jc w:val="both"/>
              <w:rPr>
                <w:b/>
                <w:bCs/>
              </w:rPr>
            </w:pPr>
            <w:r>
              <w:rPr>
                <w:b/>
                <w:bCs/>
              </w:rPr>
              <w:t xml:space="preserve">Заказчик:</w:t>
            </w:r>
            <w:r>
              <w:rPr>
                <w:b/>
                <w:bCs/>
              </w:rPr>
            </w:r>
            <w:r>
              <w:rPr>
                <w:b/>
                <w:bCs/>
              </w:rPr>
            </w:r>
          </w:p>
          <w:p>
            <w:pPr>
              <w:pStyle w:val="784"/>
              <w:jc w:val="both"/>
              <w:rPr>
                <w:b/>
                <w:bCs/>
              </w:rPr>
            </w:pPr>
            <w:r>
              <w:rPr>
                <w:b/>
                <w:bCs/>
              </w:rPr>
            </w:r>
            <w:r>
              <w:rPr>
                <w:b/>
                <w:bCs/>
              </w:rPr>
            </w:r>
            <w:r>
              <w:rPr>
                <w:b/>
                <w:bCs/>
              </w:rPr>
            </w:r>
          </w:p>
        </w:tc>
        <w:tc>
          <w:tcPr>
            <w:tcW w:w="1260" w:type="dxa"/>
            <w:textDirection w:val="lrTb"/>
            <w:noWrap w:val="false"/>
          </w:tcPr>
          <w:p>
            <w:pPr>
              <w:pStyle w:val="784"/>
              <w:jc w:val="both"/>
              <w:rPr>
                <w:b/>
                <w:bCs/>
              </w:rPr>
            </w:pPr>
            <w:r>
              <w:rPr>
                <w:b/>
                <w:bCs/>
              </w:rPr>
            </w:r>
            <w:r>
              <w:rPr>
                <w:b/>
                <w:bCs/>
              </w:rPr>
            </w:r>
            <w:r>
              <w:rPr>
                <w:b/>
                <w:bCs/>
              </w:rPr>
            </w:r>
          </w:p>
        </w:tc>
        <w:tc>
          <w:tcPr>
            <w:tcW w:w="5412" w:type="dxa"/>
            <w:textDirection w:val="lrTb"/>
            <w:noWrap w:val="false"/>
          </w:tcPr>
          <w:p>
            <w:pPr>
              <w:pStyle w:val="784"/>
              <w:jc w:val="both"/>
              <w:rPr>
                <w:b/>
                <w:bCs/>
              </w:rPr>
            </w:pPr>
            <w:r>
              <w:rPr>
                <w:b/>
              </w:rPr>
              <w:t xml:space="preserve">                  </w:t>
            </w:r>
            <w:r>
              <w:rPr>
                <w:b/>
              </w:rPr>
              <w:t xml:space="preserve">Поставщик:</w:t>
            </w:r>
            <w:r>
              <w:rPr>
                <w:b/>
                <w:bCs/>
              </w:rPr>
            </w:r>
            <w:r>
              <w:rPr>
                <w:b/>
                <w:bCs/>
              </w:rPr>
            </w:r>
          </w:p>
        </w:tc>
      </w:tr>
      <w:tr>
        <w:tblPrEx/>
        <w:trPr/>
        <w:tc>
          <w:tcPr>
            <w:tcW w:w="4068" w:type="dxa"/>
            <w:textDirection w:val="lrTb"/>
            <w:noWrap w:val="false"/>
          </w:tcPr>
          <w:p>
            <w:pPr>
              <w:pStyle w:val="784"/>
              <w:jc w:val="both"/>
              <w:rPr>
                <w:b/>
                <w:bCs/>
              </w:rPr>
            </w:pPr>
            <w:r>
              <w:rPr>
                <w:b/>
                <w:bCs/>
              </w:rPr>
              <w:t xml:space="preserve">ГКУ «Леноблпожспас»</w:t>
            </w:r>
            <w:r>
              <w:rPr>
                <w:b/>
                <w:bCs/>
              </w:rPr>
            </w:r>
            <w:r>
              <w:rPr>
                <w:b/>
                <w:bCs/>
              </w:rPr>
            </w:r>
          </w:p>
          <w:p>
            <w:pPr>
              <w:pStyle w:val="784"/>
              <w:jc w:val="both"/>
              <w:rPr>
                <w:bCs/>
              </w:rPr>
            </w:pPr>
            <w:r>
              <w:rPr>
                <w:bCs/>
              </w:rPr>
              <w:t xml:space="preserve">Адрес: 187340, Ленинградская обл.,</w:t>
            </w:r>
            <w:r>
              <w:rPr>
                <w:bCs/>
              </w:rPr>
            </w:r>
            <w:r>
              <w:rPr>
                <w:bCs/>
              </w:rPr>
            </w:r>
          </w:p>
          <w:p>
            <w:pPr>
              <w:pStyle w:val="784"/>
              <w:jc w:val="both"/>
              <w:rPr>
                <w:bCs/>
              </w:rPr>
            </w:pPr>
            <w:r>
              <w:rPr>
                <w:bCs/>
              </w:rPr>
              <w:t xml:space="preserve">г. Кировск, ул. Краснофлотская,          д. 28.</w:t>
            </w:r>
            <w:r>
              <w:rPr>
                <w:bCs/>
              </w:rPr>
            </w:r>
            <w:r>
              <w:rPr>
                <w:bCs/>
              </w:rPr>
            </w:r>
          </w:p>
          <w:p>
            <w:pPr>
              <w:pStyle w:val="784"/>
              <w:jc w:val="both"/>
              <w:rPr>
                <w:bCs/>
              </w:rPr>
            </w:pPr>
            <w:r>
              <w:rPr>
                <w:bCs/>
              </w:rPr>
              <w:t xml:space="preserve">ИНН 4706031103 КПП 470601001</w:t>
            </w:r>
            <w:r>
              <w:rPr>
                <w:bCs/>
              </w:rPr>
            </w:r>
            <w:r>
              <w:rPr>
                <w:bCs/>
              </w:rPr>
            </w:r>
          </w:p>
          <w:p>
            <w:pPr>
              <w:pStyle w:val="784"/>
              <w:jc w:val="both"/>
              <w:rPr>
                <w:bCs/>
              </w:rPr>
            </w:pPr>
            <w:r>
              <w:rPr>
                <w:bCs/>
              </w:rPr>
              <w:t xml:space="preserve">ОГРН 1104716001367</w:t>
            </w:r>
            <w:r>
              <w:rPr>
                <w:bCs/>
              </w:rPr>
            </w:r>
            <w:r>
              <w:rPr>
                <w:bCs/>
              </w:rPr>
            </w:r>
          </w:p>
          <w:p>
            <w:pPr>
              <w:pStyle w:val="784"/>
              <w:jc w:val="both"/>
              <w:rPr>
                <w:bCs/>
              </w:rPr>
            </w:pPr>
            <w:r>
              <w:rPr>
                <w:bCs/>
              </w:rPr>
              <w:t xml:space="preserve">л/с № 02369972003</w:t>
            </w:r>
            <w:r>
              <w:rPr>
                <w:bCs/>
              </w:rPr>
            </w:r>
            <w:r>
              <w:rPr>
                <w:bCs/>
              </w:rPr>
            </w:r>
          </w:p>
          <w:p>
            <w:pPr>
              <w:pStyle w:val="784"/>
              <w:jc w:val="both"/>
              <w:rPr>
                <w:bCs/>
              </w:rPr>
            </w:pPr>
            <w:r>
              <w:rPr>
                <w:bCs/>
              </w:rPr>
              <w:t xml:space="preserve">в Комитете Финансов Ленинградской области</w:t>
            </w:r>
            <w:r>
              <w:rPr>
                <w:bCs/>
              </w:rPr>
            </w:r>
            <w:r>
              <w:rPr>
                <w:bCs/>
              </w:rPr>
            </w:r>
          </w:p>
          <w:p>
            <w:pPr>
              <w:pStyle w:val="784"/>
              <w:jc w:val="both"/>
              <w:rPr>
                <w:b/>
                <w:bCs/>
              </w:rPr>
            </w:pPr>
            <w:r>
              <w:rPr>
                <w:b/>
                <w:bCs/>
              </w:rPr>
            </w:r>
            <w:r>
              <w:rPr>
                <w:b/>
                <w:bCs/>
              </w:rPr>
            </w:r>
            <w:r>
              <w:rPr>
                <w:b/>
                <w:bCs/>
              </w:rPr>
            </w:r>
          </w:p>
        </w:tc>
        <w:tc>
          <w:tcPr>
            <w:tcW w:w="1260" w:type="dxa"/>
            <w:textDirection w:val="lrTb"/>
            <w:noWrap w:val="false"/>
          </w:tcPr>
          <w:p>
            <w:pPr>
              <w:pStyle w:val="784"/>
              <w:jc w:val="both"/>
              <w:rPr>
                <w:b/>
                <w:bCs/>
              </w:rPr>
            </w:pPr>
            <w:r>
              <w:rPr>
                <w:b/>
                <w:bCs/>
              </w:rPr>
            </w:r>
            <w:r>
              <w:rPr>
                <w:b/>
                <w:bCs/>
              </w:rPr>
            </w:r>
            <w:r>
              <w:rPr>
                <w:b/>
                <w:bCs/>
              </w:rPr>
            </w:r>
          </w:p>
        </w:tc>
        <w:tc>
          <w:tcPr>
            <w:tcW w:w="5412" w:type="dxa"/>
            <w:textDirection w:val="lrTb"/>
            <w:noWrap w:val="false"/>
          </w:tcPr>
          <w:p>
            <w:r/>
            <w:r/>
          </w:p>
        </w:tc>
      </w:tr>
      <w:tr>
        <w:tblPrEx/>
        <w:trPr/>
        <w:tc>
          <w:tcPr>
            <w:tcW w:w="4068" w:type="dxa"/>
            <w:textDirection w:val="lrTb"/>
            <w:noWrap w:val="false"/>
          </w:tcPr>
          <w:p>
            <w:pPr>
              <w:pStyle w:val="784"/>
              <w:jc w:val="both"/>
              <w:rPr>
                <w:b/>
                <w:bCs/>
              </w:rPr>
            </w:pPr>
            <w:r>
              <w:rPr>
                <w:b/>
                <w:bCs/>
              </w:rPr>
            </w:r>
            <w:r>
              <w:rPr>
                <w:b/>
                <w:bCs/>
              </w:rPr>
            </w:r>
            <w:r>
              <w:rPr>
                <w:b/>
                <w:bCs/>
              </w:rPr>
            </w:r>
          </w:p>
        </w:tc>
        <w:tc>
          <w:tcPr>
            <w:tcW w:w="1260" w:type="dxa"/>
            <w:textDirection w:val="lrTb"/>
            <w:noWrap w:val="false"/>
          </w:tcPr>
          <w:p>
            <w:pPr>
              <w:pStyle w:val="784"/>
              <w:jc w:val="both"/>
              <w:rPr>
                <w:b/>
                <w:bCs/>
              </w:rPr>
            </w:pPr>
            <w:r>
              <w:rPr>
                <w:b/>
                <w:bCs/>
              </w:rPr>
            </w:r>
            <w:r>
              <w:rPr>
                <w:b/>
                <w:bCs/>
              </w:rPr>
            </w:r>
            <w:r>
              <w:rPr>
                <w:b/>
                <w:bCs/>
              </w:rPr>
            </w:r>
          </w:p>
        </w:tc>
        <w:tc>
          <w:tcPr>
            <w:tcW w:w="5412" w:type="dxa"/>
            <w:textDirection w:val="lrTb"/>
            <w:noWrap w:val="false"/>
          </w:tcPr>
          <w:p>
            <w:pPr>
              <w:pStyle w:val="784"/>
              <w:jc w:val="both"/>
            </w:pPr>
            <w:r/>
            <w:r/>
          </w:p>
        </w:tc>
      </w:tr>
      <w:tr>
        <w:tblPrEx/>
        <w:trPr>
          <w:trHeight w:val="60"/>
        </w:trPr>
        <w:tc>
          <w:tcPr>
            <w:tcW w:w="4068" w:type="dxa"/>
            <w:textDirection w:val="lrTb"/>
            <w:noWrap w:val="false"/>
          </w:tcPr>
          <w:p>
            <w:pPr>
              <w:pStyle w:val="784"/>
              <w:jc w:val="both"/>
              <w:rPr>
                <w:bCs/>
              </w:rPr>
            </w:pPr>
            <w:r>
              <w:rPr>
                <w:bCs/>
              </w:rPr>
            </w:r>
            <w:r>
              <w:rPr>
                <w:bCs/>
              </w:rPr>
            </w:r>
            <w:r>
              <w:rPr>
                <w:bCs/>
              </w:rPr>
            </w:r>
          </w:p>
          <w:p>
            <w:pPr>
              <w:pStyle w:val="784"/>
              <w:jc w:val="both"/>
              <w:rPr>
                <w:bCs/>
              </w:rPr>
            </w:pPr>
            <w:r>
              <w:rPr>
                <w:bCs/>
              </w:rPr>
              <w:t xml:space="preserve">Заместитель начальника учреждения</w:t>
            </w:r>
            <w:r>
              <w:rPr>
                <w:bCs/>
              </w:rPr>
            </w:r>
            <w:r>
              <w:rPr>
                <w:bCs/>
              </w:rPr>
            </w:r>
          </w:p>
          <w:p>
            <w:pPr>
              <w:pStyle w:val="784"/>
              <w:jc w:val="both"/>
              <w:rPr>
                <w:bCs/>
              </w:rPr>
            </w:pPr>
            <w:r>
              <w:rPr>
                <w:bCs/>
              </w:rPr>
            </w:r>
            <w:r>
              <w:rPr>
                <w:bCs/>
              </w:rPr>
            </w:r>
            <w:r>
              <w:rPr>
                <w:bCs/>
              </w:rPr>
            </w:r>
          </w:p>
          <w:p>
            <w:pPr>
              <w:pStyle w:val="784"/>
              <w:jc w:val="both"/>
              <w:rPr>
                <w:bCs/>
              </w:rPr>
            </w:pPr>
            <w:r>
              <w:rPr>
                <w:bCs/>
              </w:rPr>
            </w:r>
            <w:r>
              <w:rPr>
                <w:bCs/>
              </w:rPr>
            </w:r>
            <w:r>
              <w:rPr>
                <w:bCs/>
              </w:rPr>
            </w:r>
          </w:p>
          <w:p>
            <w:pPr>
              <w:pStyle w:val="784"/>
              <w:jc w:val="both"/>
              <w:rPr>
                <w:bCs/>
              </w:rPr>
            </w:pPr>
            <w:r>
              <w:rPr>
                <w:bCs/>
              </w:rPr>
              <w:t xml:space="preserve">Подпись ЭЦП (Д.А. Васильченко)</w:t>
            </w:r>
            <w:r>
              <w:rPr>
                <w:bCs/>
              </w:rPr>
            </w:r>
            <w:r>
              <w:rPr>
                <w:bCs/>
              </w:rPr>
            </w:r>
          </w:p>
          <w:p>
            <w:pPr>
              <w:pStyle w:val="784"/>
              <w:jc w:val="both"/>
              <w:rPr>
                <w:bCs/>
                <w:sz w:val="20"/>
                <w:szCs w:val="20"/>
              </w:rPr>
            </w:pPr>
            <w:r>
              <w:rPr>
                <w:bCs/>
                <w:sz w:val="20"/>
                <w:szCs w:val="20"/>
              </w:rPr>
            </w:r>
            <w:r>
              <w:rPr>
                <w:bCs/>
                <w:sz w:val="20"/>
                <w:szCs w:val="20"/>
              </w:rPr>
            </w:r>
          </w:p>
          <w:p>
            <w:pPr>
              <w:pStyle w:val="784"/>
              <w:jc w:val="both"/>
              <w:rPr>
                <w:b/>
                <w:bCs/>
              </w:rPr>
            </w:pPr>
            <w:r>
              <w:rPr>
                <w:b/>
                <w:bCs/>
              </w:rPr>
            </w:r>
            <w:r>
              <w:rPr>
                <w:b/>
                <w:bCs/>
              </w:rPr>
            </w:r>
            <w:r>
              <w:rPr>
                <w:b/>
                <w:bCs/>
              </w:rPr>
            </w:r>
          </w:p>
          <w:p>
            <w:pPr>
              <w:pStyle w:val="784"/>
              <w:jc w:val="both"/>
              <w:rPr>
                <w:b/>
                <w:bCs/>
              </w:rPr>
            </w:pPr>
            <w:r>
              <w:rPr>
                <w:b/>
                <w:bCs/>
              </w:rPr>
            </w:r>
            <w:r>
              <w:rPr>
                <w:b/>
                <w:bCs/>
              </w:rPr>
            </w:r>
            <w:r>
              <w:rPr>
                <w:b/>
                <w:bCs/>
              </w:rPr>
            </w:r>
          </w:p>
          <w:p>
            <w:pPr>
              <w:pStyle w:val="784"/>
              <w:jc w:val="both"/>
              <w:rPr>
                <w:bCs/>
              </w:rPr>
            </w:pPr>
            <w:r>
              <w:rPr>
                <w:bCs/>
              </w:rPr>
            </w:r>
            <w:r>
              <w:rPr>
                <w:bCs/>
              </w:rPr>
            </w:r>
            <w:r>
              <w:rPr>
                <w:bCs/>
              </w:rPr>
            </w:r>
          </w:p>
          <w:p>
            <w:pPr>
              <w:pStyle w:val="784"/>
              <w:jc w:val="both"/>
              <w:rPr>
                <w:bCs/>
              </w:rPr>
            </w:pPr>
            <w:r>
              <w:rPr>
                <w:bCs/>
              </w:rPr>
            </w:r>
            <w:r>
              <w:rPr>
                <w:bCs/>
              </w:rPr>
            </w:r>
            <w:r>
              <w:rPr>
                <w:bCs/>
              </w:rPr>
            </w:r>
          </w:p>
        </w:tc>
        <w:tc>
          <w:tcPr>
            <w:tcW w:w="1260" w:type="dxa"/>
            <w:textDirection w:val="lrTb"/>
            <w:noWrap w:val="false"/>
          </w:tcPr>
          <w:p>
            <w:pPr>
              <w:pStyle w:val="784"/>
              <w:jc w:val="both"/>
              <w:rPr>
                <w:b/>
                <w:bCs/>
              </w:rPr>
            </w:pPr>
            <w:r>
              <w:rPr>
                <w:b/>
                <w:bCs/>
              </w:rPr>
            </w:r>
            <w:r>
              <w:rPr>
                <w:b/>
                <w:bCs/>
              </w:rPr>
            </w:r>
            <w:r>
              <w:rPr>
                <w:b/>
                <w:bCs/>
              </w:rPr>
            </w:r>
          </w:p>
        </w:tc>
        <w:tc>
          <w:tcPr>
            <w:tcW w:w="5412" w:type="dxa"/>
            <w:textDirection w:val="lrTb"/>
            <w:noWrap w:val="false"/>
          </w:tcPr>
          <w:p>
            <w:r/>
            <w:r/>
          </w:p>
        </w:tc>
      </w:tr>
    </w:tbl>
    <w:p>
      <w:pPr>
        <w:pStyle w:val="845"/>
        <w:jc w:val="right"/>
        <w:tabs>
          <w:tab w:val="clear" w:pos="708" w:leader="none"/>
          <w:tab w:val="left" w:pos="9000" w:leader="none"/>
        </w:tabs>
        <w:rPr>
          <w:i/>
          <w:lang w:val="ru-RU"/>
        </w:rPr>
      </w:pPr>
      <w:r>
        <w:rPr>
          <w:i/>
          <w:lang w:val="ru-RU"/>
        </w:rPr>
      </w:r>
      <w:r>
        <w:rPr>
          <w:i/>
          <w:lang w:val="ru-RU"/>
        </w:rPr>
      </w:r>
      <w:r>
        <w:rPr>
          <w:i/>
          <w:lang w:val="ru-RU"/>
        </w:rPr>
      </w:r>
    </w:p>
    <w:p>
      <w:pPr>
        <w:pStyle w:val="845"/>
        <w:jc w:val="right"/>
        <w:tabs>
          <w:tab w:val="clear" w:pos="708" w:leader="none"/>
          <w:tab w:val="left" w:pos="9000" w:leader="none"/>
        </w:tabs>
        <w:rPr>
          <w:bCs/>
          <w:i/>
        </w:rPr>
      </w:pPr>
      <w:r>
        <w:rPr>
          <w:bCs/>
          <w:i/>
        </w:rPr>
      </w:r>
      <w:r>
        <w:rPr>
          <w:bCs/>
          <w:i/>
        </w:rPr>
      </w:r>
      <w:r>
        <w:rPr>
          <w:bCs/>
          <w:i/>
        </w:rPr>
      </w:r>
    </w:p>
    <w:p>
      <w:pPr>
        <w:pStyle w:val="845"/>
        <w:jc w:val="right"/>
        <w:tabs>
          <w:tab w:val="clear" w:pos="708" w:leader="none"/>
          <w:tab w:val="left" w:pos="9000" w:leader="none"/>
        </w:tabs>
        <w:rPr>
          <w:bCs/>
          <w:i/>
          <w:highlight w:val="none"/>
        </w:rPr>
      </w:pPr>
      <w:r>
        <w:rPr>
          <w:bCs/>
          <w:i/>
        </w:rPr>
      </w:r>
      <w:r>
        <w:rPr>
          <w:bCs/>
          <w:i/>
          <w:highlight w:val="none"/>
        </w:rPr>
      </w:r>
      <w:r>
        <w:rPr>
          <w:bCs/>
          <w:i/>
          <w:highlight w:val="none"/>
        </w:rPr>
      </w:r>
    </w:p>
    <w:p>
      <w:pPr>
        <w:pStyle w:val="845"/>
        <w:jc w:val="right"/>
        <w:tabs>
          <w:tab w:val="clear" w:pos="708" w:leader="none"/>
          <w:tab w:val="left" w:pos="9000" w:leader="none"/>
        </w:tabs>
        <w:rPr>
          <w:bCs/>
          <w:i/>
          <w:highlight w:val="none"/>
        </w:rPr>
      </w:pPr>
      <w:r>
        <w:rPr>
          <w:bCs/>
          <w:i/>
        </w:rPr>
      </w:r>
      <w:r>
        <w:rPr>
          <w:bCs/>
          <w:i/>
          <w:highlight w:val="none"/>
        </w:rPr>
      </w:r>
      <w:r>
        <w:rPr>
          <w:bCs/>
          <w:i/>
          <w:highlight w:val="none"/>
        </w:rPr>
      </w:r>
    </w:p>
    <w:p>
      <w:pPr>
        <w:pStyle w:val="845"/>
        <w:jc w:val="right"/>
        <w:tabs>
          <w:tab w:val="clear" w:pos="708" w:leader="none"/>
          <w:tab w:val="left" w:pos="9000" w:leader="none"/>
        </w:tabs>
        <w:rPr>
          <w:bCs/>
          <w:i/>
          <w:highlight w:val="none"/>
        </w:rPr>
      </w:pPr>
      <w:r>
        <w:rPr>
          <w:bCs/>
          <w:i/>
        </w:rPr>
      </w:r>
      <w:r>
        <w:rPr>
          <w:bCs/>
          <w:i/>
          <w:highlight w:val="none"/>
        </w:rPr>
      </w:r>
      <w:r>
        <w:rPr>
          <w:bCs/>
          <w:i/>
          <w:highlight w:val="none"/>
        </w:rPr>
      </w:r>
    </w:p>
    <w:p>
      <w:pPr>
        <w:pStyle w:val="845"/>
        <w:jc w:val="right"/>
        <w:tabs>
          <w:tab w:val="clear" w:pos="708" w:leader="none"/>
          <w:tab w:val="left" w:pos="9000" w:leader="none"/>
        </w:tabs>
        <w:rPr>
          <w:bCs/>
          <w:i/>
          <w:highlight w:val="none"/>
        </w:rPr>
      </w:pPr>
      <w:r>
        <w:rPr>
          <w:bCs/>
          <w:i/>
        </w:rPr>
      </w:r>
      <w:r>
        <w:rPr>
          <w:bCs/>
          <w:i/>
          <w:highlight w:val="none"/>
        </w:rPr>
      </w:r>
      <w:r>
        <w:rPr>
          <w:bCs/>
          <w:i/>
          <w:highlight w:val="none"/>
        </w:rPr>
      </w:r>
    </w:p>
    <w:p>
      <w:pPr>
        <w:pStyle w:val="845"/>
        <w:jc w:val="right"/>
        <w:tabs>
          <w:tab w:val="clear" w:pos="708" w:leader="none"/>
          <w:tab w:val="left" w:pos="9000" w:leader="none"/>
        </w:tabs>
        <w:rPr>
          <w:bCs/>
          <w:i/>
          <w:highlight w:val="none"/>
        </w:rPr>
      </w:pPr>
      <w:r>
        <w:rPr>
          <w:bCs/>
          <w:i/>
        </w:rPr>
      </w:r>
      <w:r>
        <w:rPr>
          <w:bCs/>
          <w:i/>
          <w:highlight w:val="none"/>
        </w:rPr>
      </w:r>
      <w:r>
        <w:rPr>
          <w:bCs/>
          <w:i/>
          <w:highlight w:val="none"/>
        </w:rPr>
      </w:r>
    </w:p>
    <w:p>
      <w:pPr>
        <w:pStyle w:val="845"/>
        <w:jc w:val="right"/>
        <w:tabs>
          <w:tab w:val="clear" w:pos="708" w:leader="none"/>
          <w:tab w:val="left" w:pos="9000" w:leader="none"/>
        </w:tabs>
        <w:rPr>
          <w:bCs/>
          <w:i/>
          <w:highlight w:val="none"/>
        </w:rPr>
      </w:pPr>
      <w:r>
        <w:rPr>
          <w:bCs/>
          <w:i/>
        </w:rPr>
      </w:r>
      <w:r>
        <w:rPr>
          <w:bCs/>
          <w:i/>
          <w:highlight w:val="none"/>
        </w:rPr>
      </w:r>
      <w:r>
        <w:rPr>
          <w:bCs/>
          <w:i/>
          <w:highlight w:val="none"/>
        </w:rPr>
      </w:r>
    </w:p>
    <w:p>
      <w:pPr>
        <w:pStyle w:val="845"/>
        <w:jc w:val="right"/>
        <w:tabs>
          <w:tab w:val="clear" w:pos="708" w:leader="none"/>
          <w:tab w:val="left" w:pos="9000" w:leader="none"/>
        </w:tabs>
        <w:rPr>
          <w:bCs/>
          <w:i/>
          <w:highlight w:val="none"/>
        </w:rPr>
      </w:pPr>
      <w:r>
        <w:rPr>
          <w:bCs/>
          <w:i/>
        </w:rPr>
      </w:r>
      <w:r>
        <w:rPr>
          <w:bCs/>
          <w:i/>
          <w:highlight w:val="none"/>
        </w:rPr>
      </w:r>
      <w:r>
        <w:rPr>
          <w:bCs/>
          <w:i/>
          <w:highlight w:val="none"/>
        </w:rPr>
      </w:r>
    </w:p>
    <w:p>
      <w:pPr>
        <w:pStyle w:val="845"/>
        <w:jc w:val="right"/>
        <w:tabs>
          <w:tab w:val="clear" w:pos="708" w:leader="none"/>
          <w:tab w:val="left" w:pos="9000" w:leader="none"/>
        </w:tabs>
        <w:rPr>
          <w:bCs/>
          <w:i/>
          <w:highlight w:val="none"/>
        </w:rPr>
      </w:pPr>
      <w:r>
        <w:rPr>
          <w:bCs/>
          <w:i/>
        </w:rPr>
      </w:r>
      <w:r>
        <w:rPr>
          <w:bCs/>
          <w:i/>
          <w:highlight w:val="none"/>
        </w:rPr>
      </w:r>
      <w:r>
        <w:rPr>
          <w:bCs/>
          <w:i/>
          <w:highlight w:val="none"/>
        </w:rPr>
      </w:r>
    </w:p>
    <w:p>
      <w:pPr>
        <w:pStyle w:val="845"/>
        <w:jc w:val="right"/>
        <w:tabs>
          <w:tab w:val="clear" w:pos="708" w:leader="none"/>
          <w:tab w:val="left" w:pos="9000" w:leader="none"/>
        </w:tabs>
        <w:rPr>
          <w:bCs/>
          <w:i/>
          <w:highlight w:val="none"/>
        </w:rPr>
      </w:pPr>
      <w:r>
        <w:rPr>
          <w:i/>
          <w:highlight w:val="none"/>
        </w:rPr>
      </w:r>
      <w:r>
        <w:rPr>
          <w:i/>
          <w:highlight w:val="none"/>
        </w:rPr>
      </w:r>
      <w:r>
        <w:rPr>
          <w:bCs/>
          <w:i/>
          <w:highlight w:val="none"/>
        </w:rPr>
      </w:r>
    </w:p>
    <w:p>
      <w:pPr>
        <w:pStyle w:val="845"/>
        <w:jc w:val="right"/>
        <w:tabs>
          <w:tab w:val="clear" w:pos="708" w:leader="none"/>
          <w:tab w:val="left" w:pos="9000" w:leader="none"/>
        </w:tabs>
        <w:rPr>
          <w:bCs/>
          <w:i/>
          <w:highlight w:val="none"/>
        </w:rPr>
      </w:pPr>
      <w:r>
        <w:rPr>
          <w:i/>
          <w:highlight w:val="none"/>
        </w:rPr>
      </w:r>
      <w:r>
        <w:rPr>
          <w:i/>
          <w:highlight w:val="none"/>
        </w:rPr>
      </w:r>
      <w:r>
        <w:rPr>
          <w:bCs/>
          <w:i/>
          <w:highlight w:val="none"/>
        </w:rPr>
      </w:r>
    </w:p>
    <w:p>
      <w:pPr>
        <w:pStyle w:val="845"/>
        <w:jc w:val="right"/>
        <w:tabs>
          <w:tab w:val="clear" w:pos="708" w:leader="none"/>
          <w:tab w:val="left" w:pos="9000" w:leader="none"/>
        </w:tabs>
        <w:rPr>
          <w:bCs/>
          <w:i/>
          <w:highlight w:val="none"/>
        </w:rPr>
      </w:pPr>
      <w:r>
        <w:rPr>
          <w:i/>
          <w:highlight w:val="none"/>
        </w:rPr>
      </w:r>
      <w:r>
        <w:rPr>
          <w:i/>
          <w:highlight w:val="none"/>
        </w:rPr>
      </w:r>
      <w:r>
        <w:rPr>
          <w:bCs/>
          <w:i/>
          <w:highlight w:val="none"/>
        </w:rPr>
      </w:r>
    </w:p>
    <w:p>
      <w:pPr>
        <w:pStyle w:val="845"/>
        <w:jc w:val="right"/>
        <w:tabs>
          <w:tab w:val="clear" w:pos="708" w:leader="none"/>
          <w:tab w:val="left" w:pos="9000" w:leader="none"/>
        </w:tabs>
        <w:rPr>
          <w:bCs/>
          <w:i/>
          <w:highlight w:val="none"/>
        </w:rPr>
      </w:pPr>
      <w:r>
        <w:rPr>
          <w:i/>
          <w:highlight w:val="none"/>
        </w:rPr>
      </w:r>
      <w:r>
        <w:rPr>
          <w:i/>
          <w:highlight w:val="none"/>
        </w:rPr>
      </w:r>
      <w:r>
        <w:rPr>
          <w:bCs/>
          <w:i/>
          <w:highlight w:val="none"/>
        </w:rPr>
      </w:r>
    </w:p>
    <w:p>
      <w:pPr>
        <w:pStyle w:val="845"/>
        <w:jc w:val="right"/>
        <w:tabs>
          <w:tab w:val="clear" w:pos="708" w:leader="none"/>
          <w:tab w:val="left" w:pos="9000" w:leader="none"/>
        </w:tabs>
        <w:rPr>
          <w:bCs/>
          <w:i/>
          <w:highlight w:val="none"/>
        </w:rPr>
      </w:pPr>
      <w:r>
        <w:rPr>
          <w:i/>
          <w:highlight w:val="none"/>
        </w:rPr>
      </w:r>
      <w:r>
        <w:rPr>
          <w:i/>
          <w:highlight w:val="none"/>
        </w:rPr>
      </w:r>
      <w:r>
        <w:rPr>
          <w:bCs/>
          <w:i/>
          <w:highlight w:val="none"/>
        </w:rPr>
      </w:r>
    </w:p>
    <w:p>
      <w:pPr>
        <w:pStyle w:val="845"/>
        <w:jc w:val="right"/>
        <w:tabs>
          <w:tab w:val="clear" w:pos="708" w:leader="none"/>
          <w:tab w:val="left" w:pos="9000" w:leader="none"/>
        </w:tabs>
        <w:rPr>
          <w:bCs/>
          <w:i/>
          <w:highlight w:val="none"/>
        </w:rPr>
      </w:pPr>
      <w:r>
        <w:rPr>
          <w:i/>
          <w:highlight w:val="none"/>
        </w:rPr>
      </w:r>
      <w:r>
        <w:rPr>
          <w:i/>
          <w:highlight w:val="none"/>
        </w:rPr>
      </w:r>
      <w:r>
        <w:rPr>
          <w:bCs/>
          <w:i/>
          <w:highlight w:val="none"/>
        </w:rPr>
      </w:r>
    </w:p>
    <w:p>
      <w:pPr>
        <w:pStyle w:val="845"/>
        <w:jc w:val="right"/>
        <w:tabs>
          <w:tab w:val="clear" w:pos="708" w:leader="none"/>
          <w:tab w:val="left" w:pos="9000" w:leader="none"/>
        </w:tabs>
        <w:rPr>
          <w:bCs/>
          <w:i/>
          <w:highlight w:val="none"/>
        </w:rPr>
      </w:pPr>
      <w:r>
        <w:rPr>
          <w:i/>
          <w:highlight w:val="none"/>
        </w:rPr>
      </w:r>
      <w:r>
        <w:rPr>
          <w:i/>
          <w:highlight w:val="none"/>
        </w:rPr>
      </w:r>
      <w:r>
        <w:rPr>
          <w:bCs/>
          <w:i/>
          <w:highlight w:val="none"/>
        </w:rPr>
      </w:r>
    </w:p>
    <w:p>
      <w:pPr>
        <w:pStyle w:val="845"/>
        <w:jc w:val="right"/>
        <w:tabs>
          <w:tab w:val="clear" w:pos="708" w:leader="none"/>
          <w:tab w:val="left" w:pos="9000" w:leader="none"/>
        </w:tabs>
        <w:rPr>
          <w:bCs/>
          <w:i/>
          <w:highlight w:val="none"/>
        </w:rPr>
      </w:pPr>
      <w:r>
        <w:rPr>
          <w:i/>
          <w:highlight w:val="none"/>
        </w:rPr>
      </w:r>
      <w:r>
        <w:rPr>
          <w:i/>
          <w:highlight w:val="none"/>
        </w:rPr>
      </w:r>
      <w:r>
        <w:rPr>
          <w:bCs/>
          <w:i/>
          <w:highlight w:val="none"/>
        </w:rPr>
      </w:r>
    </w:p>
    <w:p>
      <w:pPr>
        <w:pStyle w:val="845"/>
        <w:jc w:val="right"/>
        <w:tabs>
          <w:tab w:val="clear" w:pos="708" w:leader="none"/>
          <w:tab w:val="left" w:pos="9000" w:leader="none"/>
        </w:tabs>
        <w:rPr>
          <w:bCs/>
          <w:i/>
          <w:highlight w:val="none"/>
        </w:rPr>
      </w:pPr>
      <w:r>
        <w:rPr>
          <w:i/>
          <w:highlight w:val="none"/>
        </w:rPr>
      </w:r>
      <w:r>
        <w:rPr>
          <w:i/>
          <w:highlight w:val="none"/>
        </w:rPr>
      </w:r>
      <w:r>
        <w:rPr>
          <w:bCs/>
          <w:i/>
          <w:highlight w:val="none"/>
        </w:rPr>
      </w:r>
    </w:p>
    <w:p>
      <w:pPr>
        <w:pStyle w:val="845"/>
        <w:jc w:val="right"/>
        <w:tabs>
          <w:tab w:val="clear" w:pos="708" w:leader="none"/>
          <w:tab w:val="left" w:pos="9000" w:leader="none"/>
        </w:tabs>
        <w:rPr>
          <w:bCs/>
          <w:i/>
          <w:highlight w:val="none"/>
        </w:rPr>
      </w:pPr>
      <w:r>
        <w:rPr>
          <w:i/>
          <w:highlight w:val="none"/>
        </w:rPr>
      </w:r>
      <w:r>
        <w:rPr>
          <w:i/>
          <w:highlight w:val="none"/>
        </w:rPr>
      </w:r>
      <w:r>
        <w:rPr>
          <w:bCs/>
          <w:i/>
          <w:highlight w:val="none"/>
        </w:rPr>
      </w:r>
    </w:p>
    <w:p>
      <w:pPr>
        <w:pStyle w:val="845"/>
        <w:jc w:val="right"/>
        <w:tabs>
          <w:tab w:val="clear" w:pos="708" w:leader="none"/>
          <w:tab w:val="left" w:pos="9000" w:leader="none"/>
        </w:tabs>
        <w:rPr>
          <w:bCs/>
          <w:i/>
          <w:highlight w:val="none"/>
        </w:rPr>
      </w:pPr>
      <w:r>
        <w:rPr>
          <w:i/>
          <w:highlight w:val="none"/>
        </w:rPr>
      </w:r>
      <w:r>
        <w:rPr>
          <w:i/>
          <w:highlight w:val="none"/>
        </w:rPr>
      </w:r>
      <w:r>
        <w:rPr>
          <w:bCs/>
          <w:i/>
          <w:highlight w:val="none"/>
        </w:rPr>
      </w:r>
    </w:p>
    <w:p>
      <w:pPr>
        <w:pStyle w:val="845"/>
        <w:jc w:val="right"/>
        <w:tabs>
          <w:tab w:val="clear" w:pos="708" w:leader="none"/>
          <w:tab w:val="left" w:pos="9000" w:leader="none"/>
        </w:tabs>
        <w:rPr>
          <w:bCs/>
          <w:i/>
          <w:highlight w:val="none"/>
        </w:rPr>
      </w:pPr>
      <w:r>
        <w:rPr>
          <w:i/>
          <w:highlight w:val="none"/>
        </w:rPr>
      </w:r>
      <w:r>
        <w:rPr>
          <w:i/>
          <w:highlight w:val="none"/>
        </w:rPr>
      </w:r>
      <w:r>
        <w:rPr>
          <w:bCs/>
          <w:i/>
          <w:highlight w:val="none"/>
        </w:rPr>
      </w:r>
    </w:p>
    <w:p>
      <w:pPr>
        <w:pStyle w:val="845"/>
        <w:jc w:val="right"/>
        <w:tabs>
          <w:tab w:val="clear" w:pos="708" w:leader="none"/>
          <w:tab w:val="left" w:pos="9000" w:leader="none"/>
        </w:tabs>
        <w:rPr>
          <w:bCs/>
          <w:i/>
          <w:highlight w:val="none"/>
        </w:rPr>
      </w:pPr>
      <w:r>
        <w:rPr>
          <w:i/>
          <w:highlight w:val="none"/>
        </w:rPr>
      </w:r>
      <w:r>
        <w:rPr>
          <w:i/>
          <w:highlight w:val="none"/>
        </w:rPr>
      </w:r>
      <w:r>
        <w:rPr>
          <w:bCs/>
          <w:i/>
          <w:highlight w:val="none"/>
        </w:rPr>
      </w:r>
    </w:p>
    <w:p>
      <w:pPr>
        <w:pStyle w:val="845"/>
        <w:jc w:val="right"/>
        <w:tabs>
          <w:tab w:val="clear" w:pos="708" w:leader="none"/>
          <w:tab w:val="left" w:pos="9000" w:leader="none"/>
        </w:tabs>
        <w:rPr>
          <w:bCs/>
          <w:i/>
          <w:highlight w:val="none"/>
        </w:rPr>
      </w:pPr>
      <w:r>
        <w:rPr>
          <w:i/>
          <w:highlight w:val="none"/>
        </w:rPr>
      </w:r>
      <w:r>
        <w:rPr>
          <w:i/>
          <w:highlight w:val="none"/>
        </w:rPr>
      </w:r>
      <w:r>
        <w:rPr>
          <w:bCs/>
          <w:i/>
          <w:highlight w:val="none"/>
        </w:rPr>
      </w:r>
    </w:p>
    <w:p>
      <w:pPr>
        <w:pStyle w:val="845"/>
        <w:jc w:val="right"/>
        <w:tabs>
          <w:tab w:val="clear" w:pos="708" w:leader="none"/>
          <w:tab w:val="left" w:pos="9000" w:leader="none"/>
        </w:tabs>
        <w:rPr>
          <w:bCs/>
          <w:i/>
          <w:highlight w:val="none"/>
        </w:rPr>
      </w:pPr>
      <w:r>
        <w:rPr>
          <w:i/>
          <w:highlight w:val="none"/>
        </w:rPr>
      </w:r>
      <w:r>
        <w:rPr>
          <w:i/>
          <w:highlight w:val="none"/>
        </w:rPr>
      </w:r>
      <w:r>
        <w:rPr>
          <w:bCs/>
          <w:i/>
          <w:highlight w:val="none"/>
        </w:rPr>
      </w:r>
    </w:p>
    <w:p>
      <w:pPr>
        <w:pStyle w:val="845"/>
        <w:jc w:val="right"/>
        <w:tabs>
          <w:tab w:val="clear" w:pos="708" w:leader="none"/>
          <w:tab w:val="left" w:pos="9000" w:leader="none"/>
        </w:tabs>
        <w:rPr>
          <w:bCs/>
          <w:i/>
          <w:highlight w:val="none"/>
        </w:rPr>
      </w:pPr>
      <w:r>
        <w:rPr>
          <w:i/>
          <w:highlight w:val="none"/>
        </w:rPr>
      </w:r>
      <w:r>
        <w:rPr>
          <w:i/>
          <w:highlight w:val="none"/>
        </w:rPr>
      </w:r>
      <w:r>
        <w:rPr>
          <w:bCs/>
          <w:i/>
          <w:highlight w:val="none"/>
        </w:rPr>
      </w:r>
    </w:p>
    <w:p>
      <w:pPr>
        <w:pStyle w:val="845"/>
        <w:jc w:val="right"/>
        <w:tabs>
          <w:tab w:val="clear" w:pos="708" w:leader="none"/>
          <w:tab w:val="left" w:pos="9000" w:leader="none"/>
        </w:tabs>
        <w:rPr>
          <w:bCs/>
          <w:i/>
          <w:highlight w:val="none"/>
        </w:rPr>
      </w:pPr>
      <w:r>
        <w:rPr>
          <w:i/>
          <w:highlight w:val="none"/>
        </w:rPr>
      </w:r>
      <w:r>
        <w:rPr>
          <w:i/>
          <w:highlight w:val="none"/>
        </w:rPr>
      </w:r>
      <w:r>
        <w:rPr>
          <w:bCs/>
          <w:i/>
          <w:highlight w:val="none"/>
        </w:rPr>
      </w:r>
    </w:p>
    <w:p>
      <w:pPr>
        <w:pStyle w:val="845"/>
        <w:jc w:val="right"/>
        <w:tabs>
          <w:tab w:val="clear" w:pos="708" w:leader="none"/>
          <w:tab w:val="left" w:pos="9000" w:leader="none"/>
        </w:tabs>
        <w:rPr>
          <w:bCs/>
          <w:i/>
          <w:highlight w:val="none"/>
        </w:rPr>
      </w:pPr>
      <w:r>
        <w:rPr>
          <w:i/>
          <w:highlight w:val="none"/>
        </w:rPr>
      </w:r>
      <w:r>
        <w:rPr>
          <w:i/>
          <w:highlight w:val="none"/>
        </w:rPr>
      </w:r>
      <w:r>
        <w:rPr>
          <w:bCs/>
          <w:i/>
          <w:highlight w:val="none"/>
        </w:rPr>
      </w:r>
    </w:p>
    <w:p>
      <w:pPr>
        <w:pStyle w:val="845"/>
        <w:jc w:val="right"/>
        <w:tabs>
          <w:tab w:val="clear" w:pos="708" w:leader="none"/>
          <w:tab w:val="left" w:pos="9000" w:leader="none"/>
        </w:tabs>
        <w:rPr>
          <w:bCs/>
          <w:i/>
          <w:highlight w:val="none"/>
        </w:rPr>
      </w:pPr>
      <w:r>
        <w:rPr>
          <w:i/>
          <w:highlight w:val="none"/>
        </w:rPr>
      </w:r>
      <w:r>
        <w:rPr>
          <w:i/>
          <w:highlight w:val="none"/>
        </w:rPr>
      </w:r>
      <w:r>
        <w:rPr>
          <w:bCs/>
          <w:i/>
          <w:highlight w:val="none"/>
        </w:rPr>
      </w:r>
    </w:p>
    <w:p>
      <w:pPr>
        <w:pStyle w:val="845"/>
        <w:jc w:val="right"/>
        <w:tabs>
          <w:tab w:val="clear" w:pos="708" w:leader="none"/>
          <w:tab w:val="left" w:pos="9000" w:leader="none"/>
        </w:tabs>
        <w:rPr>
          <w:bCs/>
          <w:i/>
          <w:highlight w:val="none"/>
        </w:rPr>
      </w:pPr>
      <w:r>
        <w:rPr>
          <w:bCs/>
          <w:i/>
          <w:highlight w:val="none"/>
        </w:rPr>
      </w:r>
      <w:r>
        <w:rPr>
          <w:bCs/>
          <w:i/>
          <w:highlight w:val="none"/>
        </w:rPr>
      </w:r>
    </w:p>
    <w:p>
      <w:pPr>
        <w:pStyle w:val="845"/>
        <w:jc w:val="right"/>
        <w:tabs>
          <w:tab w:val="clear" w:pos="708" w:leader="none"/>
          <w:tab w:val="left" w:pos="9000" w:leader="none"/>
        </w:tabs>
        <w:rPr>
          <w:bCs/>
          <w:i/>
          <w:highlight w:val="none"/>
        </w:rPr>
      </w:pPr>
      <w:r>
        <w:rPr>
          <w:i/>
          <w:highlight w:val="none"/>
        </w:rPr>
      </w:r>
      <w:r>
        <w:rPr>
          <w:i/>
          <w:highlight w:val="none"/>
        </w:rPr>
      </w:r>
      <w:r>
        <w:rPr>
          <w:bCs/>
          <w:i/>
          <w:highlight w:val="none"/>
        </w:rPr>
      </w:r>
    </w:p>
    <w:p>
      <w:pPr>
        <w:pStyle w:val="845"/>
        <w:jc w:val="right"/>
        <w:tabs>
          <w:tab w:val="clear" w:pos="708" w:leader="none"/>
          <w:tab w:val="left" w:pos="9000" w:leader="none"/>
        </w:tabs>
        <w:rPr>
          <w:bCs/>
          <w:i/>
          <w:highlight w:val="none"/>
        </w:rPr>
      </w:pPr>
      <w:r>
        <w:rPr>
          <w:i/>
          <w:highlight w:val="none"/>
        </w:rPr>
      </w:r>
      <w:r>
        <w:rPr>
          <w:i/>
          <w:highlight w:val="none"/>
        </w:rPr>
      </w:r>
      <w:r>
        <w:rPr>
          <w:bCs/>
          <w:i/>
          <w:highlight w:val="none"/>
        </w:rPr>
      </w:r>
    </w:p>
    <w:p>
      <w:pPr>
        <w:pStyle w:val="845"/>
        <w:jc w:val="right"/>
        <w:tabs>
          <w:tab w:val="clear" w:pos="708" w:leader="none"/>
          <w:tab w:val="left" w:pos="9000" w:leader="none"/>
        </w:tabs>
        <w:rPr>
          <w:bCs/>
          <w:i/>
          <w:highlight w:val="none"/>
        </w:rPr>
      </w:pPr>
      <w:r>
        <w:rPr>
          <w:i/>
          <w:highlight w:val="none"/>
        </w:rPr>
      </w:r>
      <w:r>
        <w:rPr>
          <w:i/>
          <w:highlight w:val="none"/>
        </w:rPr>
      </w:r>
      <w:r>
        <w:rPr>
          <w:bCs/>
          <w:i/>
          <w:highlight w:val="none"/>
        </w:rPr>
      </w:r>
    </w:p>
    <w:p>
      <w:pPr>
        <w:pStyle w:val="845"/>
        <w:jc w:val="right"/>
        <w:tabs>
          <w:tab w:val="clear" w:pos="708" w:leader="none"/>
          <w:tab w:val="left" w:pos="9000" w:leader="none"/>
        </w:tabs>
        <w:rPr>
          <w:bCs/>
          <w:i/>
          <w:highlight w:val="none"/>
        </w:rPr>
      </w:pPr>
      <w:r>
        <w:rPr>
          <w:i/>
          <w:highlight w:val="none"/>
        </w:rPr>
      </w:r>
      <w:r>
        <w:rPr>
          <w:i/>
          <w:highlight w:val="none"/>
        </w:rPr>
      </w:r>
      <w:r>
        <w:rPr>
          <w:bCs/>
          <w:i/>
          <w:highlight w:val="none"/>
        </w:rPr>
      </w:r>
    </w:p>
    <w:p>
      <w:pPr>
        <w:pStyle w:val="845"/>
        <w:jc w:val="right"/>
        <w:tabs>
          <w:tab w:val="clear" w:pos="708" w:leader="none"/>
          <w:tab w:val="left" w:pos="9000" w:leader="none"/>
        </w:tabs>
        <w:rPr>
          <w:bCs/>
          <w:i/>
          <w:highlight w:val="none"/>
        </w:rPr>
      </w:pPr>
      <w:r>
        <w:rPr>
          <w:i/>
          <w:highlight w:val="none"/>
        </w:rPr>
      </w:r>
      <w:r>
        <w:rPr>
          <w:i/>
          <w:highlight w:val="none"/>
        </w:rPr>
      </w:r>
      <w:r>
        <w:rPr>
          <w:bCs/>
          <w:i/>
          <w:highlight w:val="none"/>
        </w:rPr>
      </w:r>
    </w:p>
    <w:p>
      <w:pPr>
        <w:pStyle w:val="845"/>
        <w:jc w:val="right"/>
        <w:tabs>
          <w:tab w:val="clear" w:pos="708" w:leader="none"/>
          <w:tab w:val="left" w:pos="9000" w:leader="none"/>
        </w:tabs>
        <w:rPr>
          <w:bCs/>
          <w:i/>
          <w:highlight w:val="none"/>
        </w:rPr>
      </w:pPr>
      <w:r>
        <w:rPr>
          <w:i/>
          <w:highlight w:val="none"/>
        </w:rPr>
      </w:r>
      <w:r>
        <w:rPr>
          <w:i/>
          <w:highlight w:val="none"/>
        </w:rPr>
      </w:r>
      <w:r>
        <w:rPr>
          <w:bCs/>
          <w:i/>
          <w:highlight w:val="none"/>
        </w:rPr>
      </w:r>
    </w:p>
    <w:p>
      <w:pPr>
        <w:pStyle w:val="845"/>
        <w:jc w:val="right"/>
        <w:tabs>
          <w:tab w:val="clear" w:pos="708" w:leader="none"/>
          <w:tab w:val="left" w:pos="9000" w:leader="none"/>
        </w:tabs>
        <w:rPr>
          <w:bCs/>
          <w:i/>
          <w:highlight w:val="none"/>
        </w:rPr>
      </w:pPr>
      <w:r>
        <w:rPr>
          <w:i/>
        </w:rPr>
        <w:t xml:space="preserve">Приложение 1</w:t>
      </w:r>
      <w:r>
        <w:rPr>
          <w:bCs/>
          <w:i/>
          <w:highlight w:val="none"/>
        </w:rPr>
      </w:r>
      <w:r>
        <w:rPr>
          <w:bCs/>
          <w:i/>
          <w:highlight w:val="none"/>
        </w:rPr>
      </w:r>
    </w:p>
    <w:p>
      <w:pPr>
        <w:pStyle w:val="870"/>
        <w:jc w:val="right"/>
        <w:rPr>
          <w:lang w:val="ru-RU"/>
        </w:rPr>
      </w:pPr>
      <w:r>
        <w:t xml:space="preserve">                                                                                            </w:t>
      </w:r>
      <w:r>
        <w:rPr>
          <w:lang w:val="ru-RU"/>
        </w:rPr>
        <w:t xml:space="preserve"> </w:t>
      </w:r>
      <w:r>
        <w:t xml:space="preserve">к Договору </w:t>
      </w:r>
      <w:r>
        <w:rPr>
          <w:lang w:val="ru-RU"/>
        </w:rPr>
        <w:t xml:space="preserve">№ _____________-26</w:t>
      </w:r>
      <w:r>
        <w:rPr>
          <w:lang w:val="en-US"/>
        </w:rPr>
        <w:t xml:space="preserve">LO</w:t>
      </w:r>
      <w:r>
        <w:rPr>
          <w:lang w:val="ru-RU"/>
        </w:rPr>
      </w:r>
      <w:r>
        <w:rPr>
          <w:lang w:val="ru-RU"/>
        </w:rPr>
      </w:r>
    </w:p>
    <w:p>
      <w:pPr>
        <w:pStyle w:val="870"/>
        <w:jc w:val="right"/>
        <w:rPr>
          <w:highlight w:val="none"/>
          <w:lang w:val="ru-RU"/>
        </w:rPr>
      </w:pPr>
      <w:r>
        <w:t xml:space="preserve">от «____»</w:t>
      </w:r>
      <w:r>
        <w:rPr>
          <w:lang w:val="ru-RU"/>
        </w:rPr>
        <w:t xml:space="preserve"> </w:t>
      </w:r>
      <w:r>
        <w:t xml:space="preserve">____________ 20</w:t>
      </w:r>
      <w:r>
        <w:rPr>
          <w:lang w:val="ru-RU"/>
        </w:rPr>
        <w:t xml:space="preserve">2</w:t>
      </w:r>
      <w:r>
        <w:t xml:space="preserve">6г.</w:t>
      </w:r>
      <w:r>
        <w:rPr>
          <w:highlight w:val="none"/>
          <w:lang w:val="ru-RU"/>
        </w:rPr>
      </w:r>
      <w:r>
        <w:rPr>
          <w:highlight w:val="none"/>
          <w:lang w:val="ru-RU"/>
        </w:rPr>
      </w:r>
    </w:p>
    <w:p>
      <w:pPr>
        <w:pStyle w:val="870"/>
        <w:jc w:val="right"/>
        <w:rPr>
          <w:highlight w:val="none"/>
          <w:lang w:val="ru-RU"/>
        </w:rPr>
      </w:pPr>
      <w:r>
        <w:rPr>
          <w:highlight w:val="none"/>
          <w:lang w:val="ru-RU"/>
        </w:rPr>
      </w:r>
      <w:r>
        <w:rPr>
          <w:highlight w:val="none"/>
          <w:lang w:val="ru-RU"/>
        </w:rPr>
      </w:r>
    </w:p>
    <w:p>
      <w:pPr>
        <w:pStyle w:val="870"/>
        <w:jc w:val="center"/>
        <w:rPr>
          <w:b/>
          <w:lang w:val="ru-RU"/>
        </w:rPr>
      </w:pPr>
      <w:r>
        <w:rPr>
          <w:b/>
        </w:rPr>
        <w:t xml:space="preserve">СПЕЦИФИКАЦИЯ</w:t>
      </w:r>
      <w:r>
        <w:rPr>
          <w:b/>
          <w:lang w:val="ru-RU"/>
        </w:rPr>
      </w:r>
      <w:r>
        <w:rPr>
          <w:b/>
          <w:lang w:val="ru-RU"/>
        </w:rPr>
      </w:r>
    </w:p>
    <w:p>
      <w:pPr>
        <w:pStyle w:val="870"/>
        <w:jc w:val="center"/>
        <w:rPr>
          <w:b/>
          <w:lang w:val="ru-RU"/>
        </w:rPr>
      </w:pPr>
      <w:r>
        <w:rPr>
          <w:b/>
          <w:lang w:val="ru-RU"/>
        </w:rPr>
      </w:r>
      <w:r>
        <w:rPr>
          <w:b/>
          <w:lang w:val="ru-RU"/>
        </w:rPr>
      </w:r>
    </w:p>
    <w:tbl>
      <w:tblPr>
        <w:tblW w:w="10482" w:type="dxa"/>
        <w:tblInd w:w="108" w:type="dxa"/>
        <w:tblLayout w:type="fixed"/>
        <w:tblCellMar>
          <w:left w:w="108" w:type="dxa"/>
          <w:top w:w="0" w:type="dxa"/>
          <w:right w:w="108" w:type="dxa"/>
          <w:bottom w:w="0" w:type="dxa"/>
        </w:tblCellMar>
        <w:tblLook w:val="04A0" w:firstRow="1" w:lastRow="0" w:firstColumn="1" w:lastColumn="0" w:noHBand="0" w:noVBand="1"/>
      </w:tblPr>
      <w:tblGrid>
        <w:gridCol w:w="386"/>
        <w:gridCol w:w="3429"/>
        <w:gridCol w:w="884"/>
        <w:gridCol w:w="838"/>
        <w:gridCol w:w="969"/>
        <w:gridCol w:w="1142"/>
        <w:gridCol w:w="2834"/>
      </w:tblGrid>
      <w:tr>
        <w:tblPrEx/>
        <w:trPr>
          <w:trHeight w:val="255"/>
        </w:trPr>
        <w:tc>
          <w:tcPr>
            <w:tcBorders>
              <w:top w:val="single" w:color="000000" w:sz="4" w:space="0"/>
              <w:left w:val="single" w:color="000000" w:sz="4" w:space="0"/>
              <w:bottom w:val="single" w:color="000000" w:sz="4" w:space="0"/>
              <w:right w:val="single" w:color="000000" w:sz="4" w:space="0"/>
            </w:tcBorders>
            <w:tcW w:w="386" w:type="dxa"/>
            <w:textDirection w:val="lrTb"/>
            <w:noWrap w:val="false"/>
          </w:tcPr>
          <w:p>
            <w:pPr>
              <w:pStyle w:val="870"/>
              <w:ind w:left="0"/>
              <w:jc w:val="center"/>
              <w:spacing w:before="0" w:after="120"/>
              <w:rPr>
                <w:sz w:val="22"/>
                <w:szCs w:val="18"/>
              </w:rPr>
            </w:pPr>
            <w:r>
              <w:rPr>
                <w:rFonts w:ascii="Tinos" w:hAnsi="Tinos" w:eastAsia="Tinos" w:cs="Tinos"/>
                <w:b/>
                <w:sz w:val="20"/>
                <w:szCs w:val="20"/>
                <w:lang w:val="ru-RU"/>
              </w:rPr>
              <w:t xml:space="preserve">           </w:t>
            </w:r>
            <w:r>
              <w:rPr>
                <w:rFonts w:ascii="Tinos" w:hAnsi="Tinos" w:eastAsia="Tinos" w:cs="Tinos"/>
                <w:b/>
                <w:sz w:val="20"/>
                <w:szCs w:val="20"/>
              </w:rPr>
              <w:t xml:space="preserve">№</w:t>
            </w:r>
            <w:r>
              <w:rPr>
                <w:sz w:val="22"/>
                <w:szCs w:val="18"/>
              </w:rPr>
            </w:r>
            <w:r>
              <w:rPr>
                <w:sz w:val="22"/>
                <w:szCs w:val="18"/>
              </w:rPr>
            </w:r>
          </w:p>
        </w:tc>
        <w:tc>
          <w:tcPr>
            <w:tcBorders>
              <w:top w:val="single" w:color="000000" w:sz="4" w:space="0"/>
              <w:left w:val="single" w:color="000000" w:sz="4" w:space="0"/>
              <w:bottom w:val="single" w:color="000000" w:sz="4" w:space="0"/>
              <w:right w:val="single" w:color="000000" w:sz="4" w:space="0"/>
            </w:tcBorders>
            <w:tcW w:w="3429" w:type="dxa"/>
            <w:textDirection w:val="lrTb"/>
            <w:noWrap w:val="false"/>
          </w:tcPr>
          <w:p>
            <w:pPr>
              <w:pStyle w:val="870"/>
              <w:jc w:val="center"/>
              <w:spacing w:before="0" w:after="120"/>
              <w:rPr>
                <w:sz w:val="22"/>
                <w:szCs w:val="18"/>
              </w:rPr>
            </w:pPr>
            <w:r>
              <w:rPr>
                <w:rFonts w:ascii="Tinos" w:hAnsi="Tinos" w:eastAsia="Tinos" w:cs="Tinos"/>
                <w:b/>
                <w:sz w:val="20"/>
                <w:szCs w:val="20"/>
                <w:lang w:val="ru-RU"/>
              </w:rPr>
              <w:t xml:space="preserve">Н</w:t>
            </w:r>
            <w:r>
              <w:rPr>
                <w:rFonts w:ascii="Tinos" w:hAnsi="Tinos" w:eastAsia="Tinos" w:cs="Tinos"/>
                <w:b/>
                <w:sz w:val="20"/>
                <w:szCs w:val="20"/>
              </w:rPr>
              <w:t xml:space="preserve">аименование</w:t>
            </w:r>
            <w:r>
              <w:rPr>
                <w:sz w:val="22"/>
                <w:szCs w:val="18"/>
              </w:rPr>
            </w:r>
            <w:r>
              <w:rPr>
                <w:sz w:val="22"/>
                <w:szCs w:val="18"/>
              </w:rPr>
            </w:r>
          </w:p>
        </w:tc>
        <w:tc>
          <w:tcPr>
            <w:tcBorders>
              <w:top w:val="single" w:color="000000" w:sz="4" w:space="0"/>
              <w:left w:val="single" w:color="000000" w:sz="4" w:space="0"/>
              <w:bottom w:val="single" w:color="000000" w:sz="4" w:space="0"/>
              <w:right w:val="single" w:color="000000" w:sz="4" w:space="0"/>
            </w:tcBorders>
            <w:tcW w:w="884" w:type="dxa"/>
            <w:vAlign w:val="center"/>
            <w:textDirection w:val="lrTb"/>
            <w:noWrap w:val="false"/>
          </w:tcPr>
          <w:p>
            <w:pPr>
              <w:pStyle w:val="870"/>
              <w:ind w:left="0"/>
              <w:jc w:val="center"/>
              <w:spacing w:before="0" w:after="120"/>
              <w:rPr>
                <w:sz w:val="22"/>
                <w:szCs w:val="18"/>
              </w:rPr>
            </w:pPr>
            <w:r>
              <w:rPr>
                <w:rFonts w:ascii="Tinos" w:hAnsi="Tinos" w:eastAsia="Tinos" w:cs="Tinos"/>
                <w:b/>
                <w:sz w:val="20"/>
                <w:szCs w:val="20"/>
                <w:lang w:val="ru-RU"/>
              </w:rPr>
              <w:t xml:space="preserve">Кол-во</w:t>
            </w:r>
            <w:r>
              <w:rPr>
                <w:sz w:val="22"/>
                <w:szCs w:val="18"/>
              </w:rPr>
            </w:r>
            <w:r>
              <w:rPr>
                <w:sz w:val="22"/>
                <w:szCs w:val="18"/>
              </w:rPr>
            </w:r>
          </w:p>
        </w:tc>
        <w:tc>
          <w:tcPr>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pStyle w:val="870"/>
              <w:ind w:left="0"/>
              <w:jc w:val="center"/>
              <w:rPr>
                <w:sz w:val="22"/>
                <w:szCs w:val="18"/>
              </w:rPr>
            </w:pPr>
            <w:r>
              <w:rPr>
                <w:rFonts w:ascii="Tinos" w:hAnsi="Tinos" w:eastAsia="Tinos" w:cs="Tinos"/>
                <w:b/>
                <w:sz w:val="20"/>
                <w:szCs w:val="20"/>
                <w:lang w:val="ru-RU"/>
              </w:rPr>
              <w:t xml:space="preserve">Ед.</w:t>
            </w:r>
            <w:r>
              <w:rPr>
                <w:sz w:val="22"/>
                <w:szCs w:val="18"/>
              </w:rPr>
            </w:r>
            <w:r>
              <w:rPr>
                <w:sz w:val="22"/>
                <w:szCs w:val="18"/>
              </w:rPr>
            </w:r>
          </w:p>
          <w:p>
            <w:pPr>
              <w:pStyle w:val="870"/>
              <w:ind w:left="0"/>
              <w:jc w:val="center"/>
              <w:spacing w:before="0" w:after="120"/>
              <w:rPr>
                <w:sz w:val="22"/>
                <w:szCs w:val="18"/>
              </w:rPr>
            </w:pPr>
            <w:r>
              <w:rPr>
                <w:rFonts w:ascii="Tinos" w:hAnsi="Tinos" w:eastAsia="Tinos" w:cs="Tinos"/>
                <w:b/>
                <w:sz w:val="20"/>
                <w:szCs w:val="20"/>
                <w:lang w:val="ru-RU"/>
              </w:rPr>
              <w:t xml:space="preserve">изм.</w:t>
            </w:r>
            <w:r>
              <w:rPr>
                <w:sz w:val="22"/>
                <w:szCs w:val="18"/>
              </w:rPr>
            </w:r>
            <w:r>
              <w:rPr>
                <w:sz w:val="22"/>
                <w:szCs w:val="18"/>
              </w:rPr>
            </w:r>
          </w:p>
        </w:tc>
        <w:tc>
          <w:tcPr>
            <w:tcBorders>
              <w:top w:val="single" w:color="000000" w:sz="4" w:space="0"/>
              <w:left w:val="single" w:color="000000" w:sz="4" w:space="0"/>
              <w:bottom w:val="single" w:color="000000" w:sz="4" w:space="0"/>
              <w:right w:val="single" w:color="000000" w:sz="4" w:space="0"/>
            </w:tcBorders>
            <w:tcW w:w="969" w:type="dxa"/>
            <w:vAlign w:val="center"/>
            <w:textDirection w:val="lrTb"/>
            <w:noWrap w:val="false"/>
          </w:tcPr>
          <w:p>
            <w:pPr>
              <w:pStyle w:val="870"/>
              <w:ind w:left="0"/>
              <w:jc w:val="center"/>
              <w:spacing w:before="0" w:after="120"/>
              <w:rPr>
                <w:sz w:val="22"/>
                <w:szCs w:val="18"/>
              </w:rPr>
            </w:pPr>
            <w:r>
              <w:rPr>
                <w:rFonts w:ascii="Tinos" w:hAnsi="Tinos" w:eastAsia="Tinos" w:cs="Tinos"/>
                <w:b/>
                <w:sz w:val="20"/>
                <w:szCs w:val="20"/>
                <w:lang w:val="ru-RU"/>
              </w:rPr>
              <w:t xml:space="preserve">Цена</w:t>
            </w:r>
            <w:r>
              <w:rPr>
                <w:sz w:val="22"/>
                <w:szCs w:val="18"/>
              </w:rPr>
            </w:r>
            <w:r>
              <w:rPr>
                <w:sz w:val="22"/>
                <w:szCs w:val="18"/>
              </w:rPr>
            </w:r>
          </w:p>
        </w:tc>
        <w:tc>
          <w:tcPr>
            <w:tcBorders>
              <w:top w:val="single" w:color="000000" w:sz="4" w:space="0"/>
              <w:left w:val="single" w:color="000000" w:sz="4" w:space="0"/>
              <w:bottom w:val="single" w:color="000000" w:sz="4" w:space="0"/>
            </w:tcBorders>
            <w:tcW w:w="1142" w:type="dxa"/>
            <w:vAlign w:val="center"/>
            <w:textDirection w:val="lrTb"/>
            <w:noWrap w:val="false"/>
          </w:tcPr>
          <w:p>
            <w:pPr>
              <w:pStyle w:val="870"/>
              <w:ind w:left="0"/>
              <w:jc w:val="center"/>
              <w:spacing w:before="0" w:after="120"/>
              <w:rPr>
                <w:sz w:val="22"/>
                <w:szCs w:val="18"/>
              </w:rPr>
            </w:pPr>
            <w:r>
              <w:rPr>
                <w:rFonts w:ascii="Tinos" w:hAnsi="Tinos" w:eastAsia="Tinos" w:cs="Tinos"/>
                <w:b/>
                <w:sz w:val="20"/>
                <w:szCs w:val="20"/>
                <w:lang w:val="ru-RU"/>
              </w:rPr>
              <w:t xml:space="preserve">С</w:t>
            </w:r>
            <w:r>
              <w:rPr>
                <w:rFonts w:ascii="Tinos" w:hAnsi="Tinos" w:eastAsia="Tinos" w:cs="Tinos"/>
                <w:b/>
                <w:sz w:val="20"/>
                <w:szCs w:val="20"/>
              </w:rPr>
              <w:t xml:space="preserve">умма</w:t>
            </w:r>
            <w:r>
              <w:rPr>
                <w:sz w:val="22"/>
                <w:szCs w:val="18"/>
              </w:rPr>
            </w:r>
            <w:r>
              <w:rPr>
                <w:sz w:val="22"/>
                <w:szCs w:val="18"/>
              </w:rPr>
            </w:r>
          </w:p>
        </w:tc>
        <w:tc>
          <w:tcPr>
            <w:tcBorders>
              <w:top w:val="single" w:color="000000" w:sz="4" w:space="0"/>
              <w:left w:val="single" w:color="000000" w:sz="4" w:space="0"/>
              <w:bottom w:val="single" w:color="000000" w:sz="4" w:space="0"/>
              <w:right w:val="single" w:color="000000" w:sz="4" w:space="0"/>
            </w:tcBorders>
            <w:tcW w:w="2834" w:type="dxa"/>
            <w:vAlign w:val="center"/>
            <w:textDirection w:val="lrTb"/>
            <w:noWrap w:val="false"/>
          </w:tcPr>
          <w:p>
            <w:pPr>
              <w:pStyle w:val="870"/>
              <w:ind w:left="0"/>
              <w:jc w:val="center"/>
              <w:spacing w:before="0" w:after="120"/>
              <w:rPr>
                <w:b/>
                <w:bCs/>
                <w:sz w:val="20"/>
                <w:szCs w:val="20"/>
              </w:rPr>
            </w:pPr>
            <w:r>
              <w:rPr>
                <w:b/>
                <w:bCs/>
                <w:sz w:val="20"/>
                <w:szCs w:val="20"/>
              </w:rPr>
              <w:t xml:space="preserve">Адрес доставки</w:t>
            </w:r>
            <w:r>
              <w:rPr>
                <w:b/>
                <w:bCs/>
                <w:sz w:val="20"/>
                <w:szCs w:val="20"/>
              </w:rPr>
            </w:r>
            <w:r>
              <w:rPr>
                <w:b/>
                <w:bCs/>
                <w:sz w:val="20"/>
                <w:szCs w:val="20"/>
              </w:rPr>
            </w:r>
          </w:p>
        </w:tc>
      </w:tr>
      <w:tr>
        <w:tblPrEx/>
        <w:trPr>
          <w:trHeight w:val="255"/>
        </w:trPr>
        <w:tc>
          <w:tcPr>
            <w:tcBorders>
              <w:top w:val="single" w:color="000000" w:sz="4" w:space="0"/>
              <w:left w:val="single" w:color="000000" w:sz="4" w:space="0"/>
              <w:bottom w:val="single" w:color="000000" w:sz="4" w:space="0"/>
              <w:right w:val="single" w:color="000000" w:sz="4" w:space="0"/>
            </w:tcBorders>
            <w:tcW w:w="386" w:type="dxa"/>
            <w:textDirection w:val="lrTb"/>
            <w:noWrap w:val="false"/>
          </w:tcPr>
          <w:p>
            <w:pPr>
              <w:pStyle w:val="784"/>
              <w:rPr>
                <w:sz w:val="22"/>
                <w:szCs w:val="18"/>
              </w:rPr>
            </w:pPr>
            <w:r>
              <w:rPr>
                <w:rFonts w:ascii="Tinos" w:hAnsi="Tinos" w:eastAsia="Tinos" w:cs="Tinos"/>
                <w:sz w:val="20"/>
                <w:szCs w:val="20"/>
              </w:rPr>
              <w:t xml:space="preserve">1</w:t>
            </w:r>
            <w:r>
              <w:rPr>
                <w:sz w:val="22"/>
                <w:szCs w:val="18"/>
              </w:rPr>
            </w:r>
            <w:r>
              <w:rPr>
                <w:sz w:val="22"/>
                <w:szCs w:val="18"/>
              </w:rPr>
            </w:r>
          </w:p>
        </w:tc>
        <w:tc>
          <w:tcPr>
            <w:tcBorders>
              <w:top w:val="single" w:color="000000" w:sz="4" w:space="0"/>
              <w:left w:val="single" w:color="000000" w:sz="4" w:space="0"/>
              <w:bottom w:val="single" w:color="000000" w:sz="4" w:space="0"/>
              <w:right w:val="single" w:color="000000" w:sz="4" w:space="0"/>
            </w:tcBorders>
            <w:tcW w:w="3429" w:type="dxa"/>
            <w:vAlign w:val="bottom"/>
            <w:textDirection w:val="lrTb"/>
            <w:noWrap w:val="false"/>
          </w:tcPr>
          <w:p>
            <w:pPr>
              <w:pStyle w:val="784"/>
              <w:jc w:val="both"/>
              <w:spacing w:before="0" w:after="0"/>
              <w:rPr>
                <w:rFonts w:ascii="Tinos" w:hAnsi="Tinos" w:eastAsia="Tinos" w:cs="Tinos"/>
              </w:rPr>
            </w:pPr>
            <w:r>
              <w:rPr>
                <w:b/>
                <w:bCs/>
                <w:sz w:val="20"/>
                <w:szCs w:val="20"/>
                <w:u w:val="single"/>
              </w:rPr>
            </w:r>
            <w:r>
              <w:rPr>
                <w:rFonts w:ascii="Tinos" w:hAnsi="Tinos" w:eastAsia="Tinos" w:cs="Tinos"/>
              </w:rPr>
            </w:r>
            <w:r>
              <w:rPr>
                <w:rFonts w:ascii="Tinos" w:hAnsi="Tinos" w:eastAsia="Tinos" w:cs="Tinos"/>
              </w:rPr>
            </w:r>
          </w:p>
          <w:p>
            <w:pPr>
              <w:pStyle w:val="784"/>
              <w:jc w:val="both"/>
              <w:spacing w:before="0" w:after="0"/>
              <w:rPr>
                <w:b/>
                <w:bCs/>
                <w:sz w:val="20"/>
                <w:szCs w:val="20"/>
                <w:u w:val="single"/>
              </w:rPr>
            </w:pPr>
            <w:r>
              <w:rPr>
                <w:rFonts w:ascii="Tinos" w:hAnsi="Tinos" w:eastAsia="Tinos" w:cs="Tinos"/>
                <w:b/>
                <w:bCs/>
                <w:sz w:val="20"/>
                <w:szCs w:val="20"/>
                <w:u w:val="single"/>
              </w:rPr>
              <w:t xml:space="preserve">Пеллеты топливные</w:t>
            </w:r>
            <w:r>
              <w:rPr>
                <w:b/>
                <w:bCs/>
                <w:sz w:val="20"/>
                <w:szCs w:val="20"/>
                <w:u w:val="single"/>
              </w:rPr>
            </w:r>
            <w:r>
              <w:rPr>
                <w:b/>
                <w:bCs/>
                <w:sz w:val="20"/>
                <w:szCs w:val="20"/>
                <w:u w:val="single"/>
              </w:rPr>
            </w:r>
          </w:p>
          <w:p>
            <w:pPr>
              <w:pStyle w:val="784"/>
              <w:jc w:val="both"/>
              <w:spacing w:before="0" w:after="0"/>
              <w:rPr>
                <w:sz w:val="20"/>
                <w:szCs w:val="20"/>
              </w:rPr>
            </w:pPr>
            <w:r>
              <w:rPr>
                <w:rFonts w:ascii="Tinos" w:hAnsi="Tinos" w:eastAsia="Tinos" w:cs="Tinos"/>
                <w:sz w:val="20"/>
                <w:szCs w:val="20"/>
              </w:rPr>
              <w:t xml:space="preserve">Класс - А1</w:t>
            </w:r>
            <w:r>
              <w:rPr>
                <w:sz w:val="20"/>
                <w:szCs w:val="20"/>
              </w:rPr>
            </w:r>
            <w:r>
              <w:rPr>
                <w:sz w:val="20"/>
                <w:szCs w:val="20"/>
              </w:rPr>
            </w:r>
          </w:p>
          <w:p>
            <w:pPr>
              <w:pStyle w:val="784"/>
              <w:jc w:val="both"/>
              <w:spacing w:before="0" w:after="0"/>
              <w:rPr>
                <w:sz w:val="20"/>
                <w:szCs w:val="20"/>
              </w:rPr>
            </w:pPr>
            <w:r>
              <w:rPr>
                <w:rFonts w:ascii="Tinos" w:hAnsi="Tinos" w:eastAsia="Tinos" w:cs="Tinos"/>
                <w:sz w:val="20"/>
                <w:szCs w:val="20"/>
              </w:rPr>
              <w:t xml:space="preserve">Упаковка — полиэтиленовый мешок</w:t>
            </w:r>
            <w:r>
              <w:rPr>
                <w:sz w:val="20"/>
                <w:szCs w:val="20"/>
              </w:rPr>
            </w:r>
            <w:r>
              <w:rPr>
                <w:sz w:val="20"/>
                <w:szCs w:val="20"/>
              </w:rPr>
            </w:r>
          </w:p>
          <w:p>
            <w:pPr>
              <w:pStyle w:val="784"/>
              <w:jc w:val="both"/>
              <w:spacing w:before="0" w:after="0"/>
              <w:rPr>
                <w:sz w:val="20"/>
                <w:szCs w:val="20"/>
              </w:rPr>
            </w:pPr>
            <w:r>
              <w:rPr>
                <w:rFonts w:ascii="Tinos" w:hAnsi="Tinos" w:eastAsia="Tinos" w:cs="Tinos"/>
                <w:sz w:val="20"/>
                <w:szCs w:val="20"/>
              </w:rPr>
              <w:t xml:space="preserve">Фасовка — 15 кг.</w:t>
            </w:r>
            <w:r>
              <w:rPr>
                <w:sz w:val="20"/>
                <w:szCs w:val="20"/>
              </w:rPr>
            </w:r>
            <w:r>
              <w:rPr>
                <w:sz w:val="20"/>
                <w:szCs w:val="20"/>
              </w:rPr>
            </w:r>
          </w:p>
          <w:p>
            <w:pPr>
              <w:pStyle w:val="784"/>
              <w:jc w:val="both"/>
              <w:spacing w:before="0" w:after="0"/>
              <w:rPr>
                <w:sz w:val="20"/>
                <w:szCs w:val="20"/>
              </w:rPr>
            </w:pPr>
            <w:r>
              <w:rPr>
                <w:sz w:val="20"/>
                <w:szCs w:val="20"/>
              </w:rPr>
            </w:r>
            <w:r>
              <w:rPr>
                <w:sz w:val="20"/>
                <w:szCs w:val="20"/>
              </w:rPr>
            </w:r>
            <w:r>
              <w:rPr>
                <w:sz w:val="20"/>
                <w:szCs w:val="20"/>
              </w:rPr>
            </w:r>
          </w:p>
        </w:tc>
        <w:tc>
          <w:tcPr>
            <w:tcBorders>
              <w:top w:val="single" w:color="000000" w:sz="4" w:space="0"/>
              <w:left w:val="single" w:color="000000" w:sz="4" w:space="0"/>
              <w:bottom w:val="single" w:color="000000" w:sz="4" w:space="0"/>
              <w:right w:val="single" w:color="000000" w:sz="4" w:space="0"/>
            </w:tcBorders>
            <w:tcW w:w="884" w:type="dxa"/>
            <w:vAlign w:val="bottom"/>
            <w:textDirection w:val="lrTb"/>
            <w:noWrap w:val="false"/>
          </w:tcPr>
          <w:p>
            <w:pPr>
              <w:pStyle w:val="784"/>
              <w:jc w:val="center"/>
              <w:spacing w:before="0" w:after="0"/>
              <w:rPr>
                <w:sz w:val="20"/>
                <w:szCs w:val="20"/>
              </w:rPr>
            </w:pPr>
            <w:r>
              <w:rPr>
                <w:rFonts w:ascii="Tinos" w:hAnsi="Tinos" w:eastAsia="Tinos" w:cs="Tinos"/>
                <w:sz w:val="20"/>
                <w:szCs w:val="20"/>
              </w:rPr>
              <w:t xml:space="preserve">10 000</w:t>
            </w:r>
            <w:r>
              <w:rPr>
                <w:sz w:val="20"/>
                <w:szCs w:val="20"/>
              </w:rPr>
            </w:r>
            <w:r>
              <w:rPr>
                <w:sz w:val="20"/>
                <w:szCs w:val="20"/>
              </w:rPr>
            </w:r>
          </w:p>
        </w:tc>
        <w:tc>
          <w:tcPr>
            <w:tcBorders>
              <w:top w:val="single" w:color="000000" w:sz="4" w:space="0"/>
              <w:left w:val="single" w:color="000000" w:sz="4" w:space="0"/>
              <w:bottom w:val="single" w:color="000000" w:sz="4" w:space="0"/>
              <w:right w:val="single" w:color="000000" w:sz="4" w:space="0"/>
            </w:tcBorders>
            <w:tcW w:w="838" w:type="dxa"/>
            <w:vAlign w:val="bottom"/>
            <w:textDirection w:val="lrTb"/>
            <w:noWrap w:val="false"/>
          </w:tcPr>
          <w:p>
            <w:pPr>
              <w:pStyle w:val="784"/>
              <w:jc w:val="center"/>
              <w:spacing w:before="0" w:after="0"/>
              <w:rPr>
                <w:sz w:val="20"/>
                <w:szCs w:val="20"/>
              </w:rPr>
            </w:pPr>
            <w:r>
              <w:rPr>
                <w:rFonts w:ascii="Tinos" w:hAnsi="Tinos" w:eastAsia="Tinos" w:cs="Tinos"/>
                <w:sz w:val="20"/>
                <w:szCs w:val="20"/>
              </w:rPr>
              <w:t xml:space="preserve">кг.</w:t>
            </w:r>
            <w:r>
              <w:rPr>
                <w:sz w:val="20"/>
                <w:szCs w:val="20"/>
              </w:rPr>
            </w:r>
            <w:r>
              <w:rPr>
                <w:sz w:val="20"/>
                <w:szCs w:val="20"/>
              </w:rPr>
            </w:r>
          </w:p>
        </w:tc>
        <w:tc>
          <w:tcPr>
            <w:tcBorders>
              <w:top w:val="single" w:color="000000" w:sz="4" w:space="0"/>
              <w:left w:val="single" w:color="000000" w:sz="4" w:space="0"/>
              <w:bottom w:val="single" w:color="000000" w:sz="4" w:space="0"/>
              <w:right w:val="single" w:color="000000" w:sz="4" w:space="0"/>
            </w:tcBorders>
            <w:tcW w:w="969" w:type="dxa"/>
            <w:vAlign w:val="bottom"/>
            <w:textDirection w:val="lrTb"/>
            <w:noWrap w:val="false"/>
          </w:tcPr>
          <w:p>
            <w:r/>
            <w:r/>
          </w:p>
        </w:tc>
        <w:tc>
          <w:tcPr>
            <w:tcBorders>
              <w:top w:val="single" w:color="000000" w:sz="4" w:space="0"/>
              <w:left w:val="single" w:color="000000" w:sz="4" w:space="0"/>
              <w:bottom w:val="single" w:color="000000" w:sz="4" w:space="0"/>
            </w:tcBorders>
            <w:tcW w:w="1142" w:type="dxa"/>
            <w:vAlign w:val="bottom"/>
            <w:textDirection w:val="lrTb"/>
            <w:noWrap w:val="false"/>
          </w:tcPr>
          <w:p>
            <w:r/>
            <w:r/>
          </w:p>
        </w:tc>
        <w:tc>
          <w:tcPr>
            <w:tcBorders>
              <w:top w:val="single" w:color="000000" w:sz="4" w:space="0"/>
              <w:left w:val="single" w:color="000000" w:sz="4" w:space="0"/>
              <w:bottom w:val="single" w:color="000000" w:sz="4" w:space="0"/>
              <w:right w:val="single" w:color="000000" w:sz="4" w:space="0"/>
            </w:tcBorders>
            <w:tcW w:w="2834" w:type="dxa"/>
            <w:vAlign w:val="bottom"/>
            <w:textDirection w:val="lrTb"/>
            <w:noWrap w:val="false"/>
          </w:tcPr>
          <w:p>
            <w:pPr>
              <w:pStyle w:val="784"/>
              <w:jc w:val="center"/>
              <w:spacing w:before="0" w:after="0" w:line="240" w:lineRule="auto"/>
              <w:rPr>
                <w:sz w:val="20"/>
                <w:szCs w:val="20"/>
              </w:rPr>
            </w:pPr>
            <w:r>
              <w:rPr>
                <w:rFonts w:eastAsia="Times New Roman" w:cs="Times New Roman"/>
                <w:bCs/>
                <w:sz w:val="20"/>
                <w:szCs w:val="20"/>
                <w:lang w:eastAsia="ru-RU"/>
              </w:rPr>
              <w:t xml:space="preserve">Ленинградская обл., Приозерский район, п.Сосново, ул. Никитина, д.11, </w:t>
            </w:r>
            <w:r>
              <w:rPr>
                <w:rFonts w:eastAsia="Times New Roman" w:cs="Times New Roman"/>
                <w:bCs/>
                <w:sz w:val="20"/>
                <w:szCs w:val="20"/>
                <w:lang w:eastAsia="ru-RU"/>
              </w:rPr>
              <w:t xml:space="preserve">пожарная часть №</w:t>
            </w:r>
            <w:r>
              <w:rPr>
                <w:rFonts w:eastAsia="Times New Roman" w:cs="Times New Roman"/>
                <w:bCs/>
                <w:sz w:val="20"/>
                <w:szCs w:val="20"/>
                <w:lang w:eastAsia="ru-RU"/>
              </w:rPr>
              <w:t xml:space="preserve"> 143</w:t>
            </w:r>
            <w:r>
              <w:rPr>
                <w:sz w:val="20"/>
                <w:szCs w:val="20"/>
              </w:rPr>
            </w:r>
            <w:r>
              <w:rPr>
                <w:sz w:val="20"/>
                <w:szCs w:val="20"/>
              </w:rPr>
            </w:r>
          </w:p>
        </w:tc>
      </w:tr>
    </w:tbl>
    <w:p>
      <w:pPr>
        <w:pStyle w:val="843"/>
        <w:ind w:firstLine="708"/>
        <w:rPr>
          <w:lang w:val="ru-RU"/>
        </w:rPr>
      </w:pPr>
      <w:r>
        <w:rPr>
          <w:lang w:val="ru-RU"/>
        </w:rPr>
      </w:r>
      <w:r>
        <w:rPr>
          <w:lang w:val="ru-RU"/>
        </w:rPr>
      </w:r>
      <w:r>
        <w:rPr>
          <w:lang w:val="ru-RU"/>
        </w:rPr>
      </w:r>
    </w:p>
    <w:p>
      <w:pPr>
        <w:pStyle w:val="843"/>
        <w:ind w:firstLine="708"/>
        <w:rPr>
          <w:highlight w:val="none"/>
          <w:lang w:val="ru-RU"/>
        </w:rPr>
      </w:pPr>
      <w:r>
        <w:t xml:space="preserve">Итого сумма по Спецификации </w:t>
      </w:r>
      <w:r>
        <w:rPr>
          <w:b/>
          <w:bCs/>
        </w:rPr>
        <w:t xml:space="preserve">_________________</w:t>
      </w:r>
      <w:r>
        <w:rPr>
          <w:b/>
          <w:lang w:val="ru-RU"/>
        </w:rPr>
        <w:t xml:space="preserve"> рублей.  </w:t>
      </w:r>
      <w:r>
        <w:rPr>
          <w:lang w:val="ru-RU"/>
        </w:rPr>
        <w:t xml:space="preserve"> </w:t>
      </w:r>
      <w:r>
        <w:rPr>
          <w:highlight w:val="none"/>
          <w:lang w:val="ru-RU"/>
        </w:rPr>
      </w:r>
      <w:r>
        <w:rPr>
          <w:highlight w:val="none"/>
          <w:lang w:val="ru-RU"/>
        </w:rPr>
      </w:r>
    </w:p>
    <w:p>
      <w:pPr>
        <w:pStyle w:val="843"/>
        <w:ind w:firstLine="708"/>
        <w:rPr>
          <w:highlight w:val="none"/>
          <w:lang w:val="ru-RU"/>
        </w:rPr>
      </w:pPr>
      <w:r>
        <w:rPr>
          <w:highlight w:val="none"/>
          <w:lang w:val="ru-RU"/>
        </w:rPr>
      </w:r>
      <w:r>
        <w:rPr>
          <w:highlight w:val="none"/>
          <w:lang w:val="ru-RU"/>
        </w:rPr>
      </w:r>
    </w:p>
    <w:p>
      <w:pPr>
        <w:pStyle w:val="843"/>
        <w:ind w:firstLine="708"/>
        <w:rPr>
          <w:lang w:val="ru-RU"/>
        </w:rPr>
      </w:pPr>
      <w:r>
        <w:rPr>
          <w:lang w:val="ru-RU"/>
        </w:rPr>
      </w:r>
      <w:r>
        <w:rPr>
          <w:lang w:val="ru-RU"/>
        </w:rPr>
      </w:r>
      <w:r>
        <w:rPr>
          <w:lang w:val="ru-RU"/>
        </w:rPr>
      </w:r>
    </w:p>
    <w:p>
      <w:pPr>
        <w:pStyle w:val="843"/>
        <w:ind w:firstLine="708"/>
        <w:rPr>
          <w:lang w:val="ru-RU"/>
        </w:rPr>
      </w:pPr>
      <w:r>
        <w:rPr>
          <w:lang w:val="ru-RU"/>
        </w:rPr>
      </w:r>
      <w:r>
        <w:rPr>
          <w:lang w:val="ru-RU"/>
        </w:rPr>
      </w:r>
      <w:r>
        <w:rPr>
          <w:lang w:val="ru-RU"/>
        </w:rPr>
      </w:r>
    </w:p>
    <w:p>
      <w:pPr>
        <w:pStyle w:val="784"/>
        <w:jc w:val="both"/>
        <w:rPr>
          <w:b/>
        </w:rPr>
      </w:pPr>
      <w:r>
        <w:rPr>
          <w:b/>
        </w:rPr>
        <w:t xml:space="preserve">Заказчик:</w:t>
        <w:tab/>
        <w:tab/>
        <w:tab/>
        <w:tab/>
        <w:tab/>
        <w:t xml:space="preserve">                          Поставщик:</w:t>
      </w:r>
      <w:r>
        <w:rPr>
          <w:b/>
        </w:rPr>
      </w:r>
      <w:r>
        <w:rPr>
          <w:b/>
        </w:rPr>
      </w:r>
    </w:p>
    <w:tbl>
      <w:tblPr>
        <w:tblW w:w="10051" w:type="dxa"/>
        <w:tblInd w:w="108" w:type="dxa"/>
        <w:tblLayout w:type="fixed"/>
        <w:tblCellMar>
          <w:left w:w="108" w:type="dxa"/>
          <w:top w:w="0" w:type="dxa"/>
          <w:right w:w="108" w:type="dxa"/>
          <w:bottom w:w="0" w:type="dxa"/>
        </w:tblCellMar>
        <w:tblLook w:val="01E0" w:firstRow="1" w:lastRow="1" w:firstColumn="1" w:lastColumn="1" w:noHBand="0" w:noVBand="0"/>
      </w:tblPr>
      <w:tblGrid>
        <w:gridCol w:w="4548"/>
        <w:gridCol w:w="1260"/>
        <w:gridCol w:w="4243"/>
      </w:tblGrid>
      <w:tr>
        <w:tblPrEx/>
        <w:trPr>
          <w:trHeight w:val="1235"/>
        </w:trPr>
        <w:tc>
          <w:tcPr>
            <w:tcW w:w="4548" w:type="dxa"/>
            <w:textDirection w:val="lrTb"/>
            <w:noWrap w:val="false"/>
          </w:tcPr>
          <w:p>
            <w:pPr>
              <w:pStyle w:val="784"/>
              <w:jc w:val="both"/>
              <w:rPr>
                <w:bCs/>
              </w:rPr>
            </w:pPr>
            <w:r>
              <w:rPr>
                <w:bCs/>
              </w:rPr>
            </w:r>
            <w:r>
              <w:rPr>
                <w:bCs/>
              </w:rPr>
            </w:r>
            <w:r>
              <w:rPr>
                <w:bCs/>
              </w:rPr>
            </w:r>
          </w:p>
          <w:p>
            <w:pPr>
              <w:pStyle w:val="784"/>
              <w:jc w:val="both"/>
              <w:rPr>
                <w:bCs/>
              </w:rPr>
            </w:pPr>
            <w:r>
              <w:rPr>
                <w:bCs/>
              </w:rPr>
              <w:t xml:space="preserve">Заместитель начальника учреждения</w:t>
            </w:r>
            <w:r>
              <w:rPr>
                <w:bCs/>
              </w:rPr>
            </w:r>
            <w:r>
              <w:rPr>
                <w:bCs/>
              </w:rPr>
            </w:r>
          </w:p>
          <w:p>
            <w:pPr>
              <w:pStyle w:val="784"/>
              <w:jc w:val="both"/>
              <w:rPr>
                <w:bCs/>
              </w:rPr>
            </w:pPr>
            <w:r>
              <w:rPr>
                <w:bCs/>
              </w:rPr>
            </w:r>
            <w:r>
              <w:rPr>
                <w:bCs/>
              </w:rPr>
            </w:r>
            <w:r>
              <w:rPr>
                <w:bCs/>
              </w:rPr>
            </w:r>
          </w:p>
          <w:p>
            <w:pPr>
              <w:pStyle w:val="784"/>
              <w:jc w:val="both"/>
              <w:rPr>
                <w:bCs/>
              </w:rPr>
            </w:pPr>
            <w:r>
              <w:rPr>
                <w:bCs/>
              </w:rPr>
              <w:t xml:space="preserve">Подпись ЭЦП (Д.А. Васильченко)</w:t>
            </w:r>
            <w:r>
              <w:rPr>
                <w:bCs/>
              </w:rPr>
            </w:r>
            <w:r>
              <w:rPr>
                <w:bCs/>
              </w:rPr>
            </w:r>
          </w:p>
          <w:p>
            <w:pPr>
              <w:pStyle w:val="784"/>
              <w:jc w:val="both"/>
              <w:rPr>
                <w:b/>
                <w:bCs/>
              </w:rPr>
            </w:pPr>
            <w:r>
              <w:rPr>
                <w:b/>
                <w:bCs/>
              </w:rPr>
            </w:r>
            <w:r>
              <w:rPr>
                <w:b/>
                <w:bCs/>
              </w:rPr>
            </w:r>
            <w:r>
              <w:rPr>
                <w:b/>
                <w:bCs/>
              </w:rPr>
            </w:r>
          </w:p>
          <w:p>
            <w:pPr>
              <w:pStyle w:val="784"/>
              <w:jc w:val="both"/>
              <w:rPr>
                <w:b/>
                <w:bCs/>
              </w:rPr>
            </w:pPr>
            <w:r>
              <w:rPr>
                <w:b/>
                <w:bCs/>
              </w:rPr>
            </w:r>
            <w:r>
              <w:rPr>
                <w:b/>
                <w:bCs/>
              </w:rPr>
            </w:r>
            <w:r>
              <w:rPr>
                <w:b/>
                <w:bCs/>
              </w:rPr>
            </w:r>
          </w:p>
          <w:p>
            <w:pPr>
              <w:pStyle w:val="784"/>
              <w:jc w:val="both"/>
              <w:rPr>
                <w:bCs/>
              </w:rPr>
            </w:pPr>
            <w:r>
              <w:rPr>
                <w:bCs/>
              </w:rPr>
            </w:r>
            <w:r>
              <w:rPr>
                <w:bCs/>
              </w:rPr>
            </w:r>
            <w:r>
              <w:rPr>
                <w:bCs/>
              </w:rPr>
            </w:r>
          </w:p>
          <w:p>
            <w:pPr>
              <w:pStyle w:val="784"/>
              <w:jc w:val="both"/>
              <w:rPr>
                <w:bCs/>
              </w:rPr>
            </w:pPr>
            <w:r>
              <w:rPr>
                <w:bCs/>
              </w:rPr>
            </w:r>
            <w:r>
              <w:rPr>
                <w:bCs/>
              </w:rPr>
            </w:r>
            <w:r>
              <w:rPr>
                <w:bCs/>
              </w:rPr>
            </w:r>
          </w:p>
        </w:tc>
        <w:tc>
          <w:tcPr>
            <w:tcW w:w="1260" w:type="dxa"/>
            <w:textDirection w:val="lrTb"/>
            <w:noWrap w:val="false"/>
          </w:tcPr>
          <w:p>
            <w:pPr>
              <w:pStyle w:val="784"/>
              <w:jc w:val="both"/>
              <w:rPr>
                <w:b/>
                <w:bCs/>
              </w:rPr>
            </w:pPr>
            <w:r>
              <w:rPr>
                <w:b/>
                <w:bCs/>
              </w:rPr>
            </w:r>
            <w:r>
              <w:rPr>
                <w:b/>
                <w:bCs/>
              </w:rPr>
            </w:r>
            <w:r>
              <w:rPr>
                <w:b/>
                <w:bCs/>
              </w:rPr>
            </w:r>
          </w:p>
        </w:tc>
        <w:tc>
          <w:tcPr>
            <w:tcW w:w="4243" w:type="dxa"/>
            <w:textDirection w:val="lrTb"/>
            <w:noWrap w:val="false"/>
          </w:tcPr>
          <w:p>
            <w:r/>
            <w:r/>
          </w:p>
        </w:tc>
      </w:tr>
    </w:tbl>
    <w:p>
      <w:pPr>
        <w:pStyle w:val="784"/>
      </w:pPr>
      <w:r/>
      <w:r/>
    </w:p>
    <w:sectPr>
      <w:footnotePr/>
      <w:endnotePr/>
      <w:type w:val="nextPage"/>
      <w:pgSz w:w="11906" w:h="16838" w:orient="portrait"/>
      <w:pgMar w:top="720" w:right="720" w:bottom="720" w:left="720" w:header="0" w:footer="0"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nos">
    <w:panose1 w:val="02020603050405020304"/>
  </w:font>
  <w:font w:name="MS Mincho">
    <w:panose1 w:val="02020503050405090304"/>
  </w:font>
  <w:font w:name="Tahoma">
    <w:panose1 w:val="020B0604030504040204"/>
  </w:font>
  <w:font w:name="Noto Sans Devanagari">
    <w:panose1 w:val="020B0502040504020204"/>
  </w:font>
  <w:font w:name="PT Sans">
    <w:panose1 w:val="020B0503020203020204"/>
  </w:font>
  <w:font w:name="Segoe UI">
    <w:panose1 w:val="020B0502040504020204"/>
  </w:font>
  <w:font w:name="Consolas">
    <w:panose1 w:val="020B0606020202030204"/>
  </w:font>
  <w:font w:name="Courier New">
    <w:panose1 w:val="02070409020205020404"/>
  </w:font>
  <w:font w:name="Arial">
    <w:panose1 w:val="020B0604020202020204"/>
  </w:font>
  <w:font w:name="Times New Roman">
    <w:panose1 w:val="02020603050405020304"/>
  </w:font>
  <w:font w:name="Calibri">
    <w:panose1 w:val="020F05020202040302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720" w:hanging="360"/>
        <w:tabs>
          <w:tab w:val="num" w:pos="0" w:leader="none"/>
        </w:tabs>
      </w:pPr>
    </w:lvl>
    <w:lvl w:ilvl="1">
      <w:start w:val="1"/>
      <w:numFmt w:val="lowerLetter"/>
      <w:isLgl w:val="false"/>
      <w:suff w:val="tab"/>
      <w:lvlText w:val="%2."/>
      <w:lvlJc w:val="left"/>
      <w:pPr>
        <w:ind w:left="1440" w:hanging="360"/>
        <w:tabs>
          <w:tab w:val="num" w:pos="0" w:leader="none"/>
        </w:tabs>
      </w:pPr>
    </w:lvl>
    <w:lvl w:ilvl="2">
      <w:start w:val="1"/>
      <w:numFmt w:val="lowerRoman"/>
      <w:isLgl w:val="false"/>
      <w:suff w:val="tab"/>
      <w:lvlText w:val="%3."/>
      <w:lvlJc w:val="right"/>
      <w:pPr>
        <w:ind w:left="2160" w:hanging="180"/>
        <w:tabs>
          <w:tab w:val="num" w:pos="0" w:leader="none"/>
        </w:tabs>
      </w:pPr>
    </w:lvl>
    <w:lvl w:ilvl="3">
      <w:start w:val="1"/>
      <w:numFmt w:val="decimal"/>
      <w:isLgl w:val="false"/>
      <w:suff w:val="tab"/>
      <w:lvlText w:val="%4."/>
      <w:lvlJc w:val="left"/>
      <w:pPr>
        <w:ind w:left="2880" w:hanging="360"/>
        <w:tabs>
          <w:tab w:val="num" w:pos="0" w:leader="none"/>
        </w:tabs>
      </w:pPr>
    </w:lvl>
    <w:lvl w:ilvl="4">
      <w:start w:val="1"/>
      <w:numFmt w:val="lowerLetter"/>
      <w:isLgl w:val="false"/>
      <w:suff w:val="tab"/>
      <w:lvlText w:val="%5."/>
      <w:lvlJc w:val="left"/>
      <w:pPr>
        <w:ind w:left="3600" w:hanging="360"/>
        <w:tabs>
          <w:tab w:val="num" w:pos="0" w:leader="none"/>
        </w:tabs>
      </w:pPr>
    </w:lvl>
    <w:lvl w:ilvl="5">
      <w:start w:val="1"/>
      <w:numFmt w:val="lowerRoman"/>
      <w:isLgl w:val="false"/>
      <w:suff w:val="tab"/>
      <w:lvlText w:val="%6."/>
      <w:lvlJc w:val="right"/>
      <w:pPr>
        <w:ind w:left="4320" w:hanging="180"/>
        <w:tabs>
          <w:tab w:val="num" w:pos="0" w:leader="none"/>
        </w:tabs>
      </w:pPr>
    </w:lvl>
    <w:lvl w:ilvl="6">
      <w:start w:val="1"/>
      <w:numFmt w:val="decimal"/>
      <w:isLgl w:val="false"/>
      <w:suff w:val="tab"/>
      <w:lvlText w:val="%7."/>
      <w:lvlJc w:val="left"/>
      <w:pPr>
        <w:ind w:left="5040" w:hanging="360"/>
        <w:tabs>
          <w:tab w:val="num" w:pos="0" w:leader="none"/>
        </w:tabs>
      </w:pPr>
    </w:lvl>
    <w:lvl w:ilvl="7">
      <w:start w:val="1"/>
      <w:numFmt w:val="lowerLetter"/>
      <w:isLgl w:val="false"/>
      <w:suff w:val="tab"/>
      <w:lvlText w:val="%8."/>
      <w:lvlJc w:val="left"/>
      <w:pPr>
        <w:ind w:left="5760" w:hanging="360"/>
        <w:tabs>
          <w:tab w:val="num" w:pos="0" w:leader="none"/>
        </w:tabs>
      </w:pPr>
    </w:lvl>
    <w:lvl w:ilvl="8">
      <w:start w:val="1"/>
      <w:numFmt w:val="lowerRoman"/>
      <w:isLgl w:val="false"/>
      <w:suff w:val="tab"/>
      <w:lvlText w:val="%9."/>
      <w:lvlJc w:val="right"/>
      <w:pPr>
        <w:ind w:left="6480" w:hanging="180"/>
        <w:tabs>
          <w:tab w:val="num" w:pos="0" w:leader="none"/>
        </w:tabs>
      </w:pPr>
    </w:lvl>
  </w:abstractNum>
  <w:abstractNum w:abstractNumId="1">
    <w:multiLevelType w:val="hybridMultilevel"/>
    <w:lvl w:ilvl="0">
      <w:start w:val="1"/>
      <w:numFmt w:val="none"/>
      <w:isLgl w:val="false"/>
      <w:suff w:val="nothing"/>
      <w:lvlText w:val=""/>
      <w:lvlJc w:val="left"/>
      <w:pPr>
        <w:ind w:left="0" w:firstLine="0"/>
        <w:tabs>
          <w:tab w:val="num" w:pos="0" w:leader="none"/>
        </w:tabs>
      </w:pPr>
    </w:lvl>
    <w:lvl w:ilvl="1">
      <w:start w:val="1"/>
      <w:numFmt w:val="none"/>
      <w:isLgl w:val="false"/>
      <w:suff w:val="nothing"/>
      <w:lvlText w:val=""/>
      <w:lvlJc w:val="left"/>
      <w:pPr>
        <w:ind w:left="0" w:firstLine="0"/>
        <w:tabs>
          <w:tab w:val="num" w:pos="0" w:leader="none"/>
        </w:tabs>
      </w:pPr>
    </w:lvl>
    <w:lvl w:ilvl="2">
      <w:start w:val="1"/>
      <w:numFmt w:val="none"/>
      <w:isLgl w:val="false"/>
      <w:suff w:val="nothing"/>
      <w:lvlText w:val=""/>
      <w:lvlJc w:val="left"/>
      <w:pPr>
        <w:ind w:left="0" w:firstLine="0"/>
        <w:tabs>
          <w:tab w:val="num" w:pos="0" w:leader="none"/>
        </w:tabs>
      </w:pPr>
    </w:lvl>
    <w:lvl w:ilvl="3">
      <w:start w:val="1"/>
      <w:numFmt w:val="none"/>
      <w:isLgl w:val="false"/>
      <w:suff w:val="nothing"/>
      <w:lvlText w:val=""/>
      <w:lvlJc w:val="left"/>
      <w:pPr>
        <w:ind w:left="0" w:firstLine="0"/>
        <w:tabs>
          <w:tab w:val="num" w:pos="0" w:leader="none"/>
        </w:tabs>
      </w:pPr>
    </w:lvl>
    <w:lvl w:ilvl="4">
      <w:start w:val="1"/>
      <w:numFmt w:val="none"/>
      <w:isLgl w:val="false"/>
      <w:suff w:val="nothing"/>
      <w:lvlText w:val=""/>
      <w:lvlJc w:val="left"/>
      <w:pPr>
        <w:ind w:left="0" w:firstLine="0"/>
        <w:tabs>
          <w:tab w:val="num" w:pos="0" w:leader="none"/>
        </w:tabs>
      </w:pPr>
    </w:lvl>
    <w:lvl w:ilvl="5">
      <w:start w:val="1"/>
      <w:numFmt w:val="none"/>
      <w:isLgl w:val="false"/>
      <w:suff w:val="nothing"/>
      <w:lvlText w:val=""/>
      <w:lvlJc w:val="left"/>
      <w:pPr>
        <w:ind w:left="0" w:firstLine="0"/>
        <w:tabs>
          <w:tab w:val="num" w:pos="0" w:leader="none"/>
        </w:tabs>
      </w:pPr>
    </w:lvl>
    <w:lvl w:ilvl="6">
      <w:start w:val="1"/>
      <w:numFmt w:val="none"/>
      <w:isLgl w:val="false"/>
      <w:suff w:val="nothing"/>
      <w:lvlText w:val=""/>
      <w:lvlJc w:val="left"/>
      <w:pPr>
        <w:ind w:left="0" w:firstLine="0"/>
        <w:tabs>
          <w:tab w:val="num" w:pos="0" w:leader="none"/>
        </w:tabs>
      </w:pPr>
    </w:lvl>
    <w:lvl w:ilvl="7">
      <w:start w:val="1"/>
      <w:numFmt w:val="none"/>
      <w:isLgl w:val="false"/>
      <w:suff w:val="nothing"/>
      <w:lvlText w:val=""/>
      <w:lvlJc w:val="left"/>
      <w:pPr>
        <w:ind w:left="0" w:firstLine="0"/>
        <w:tabs>
          <w:tab w:val="num" w:pos="0" w:leader="none"/>
        </w:tabs>
      </w:pPr>
    </w:lvl>
    <w:lvl w:ilvl="8">
      <w:start w:val="1"/>
      <w:numFmt w:val="none"/>
      <w:isLgl w:val="false"/>
      <w:suff w:val="nothing"/>
      <w:lvlText w:val=""/>
      <w:lvlJc w:val="left"/>
      <w:pPr>
        <w:ind w:left="0" w:firstLine="0"/>
        <w:tabs>
          <w:tab w:val="num" w:pos="0" w:leader="none"/>
        </w:tabs>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ocumentProtection/>
  <w:defaultTabStop w:val="708"/>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strokecolor="000000"/>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Calibri" w:cs="Times New Roman"/>
        <w:lang w:val="ru-RU" w:eastAsia="zh-CN" w:bidi="ar-SA"/>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658">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659">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660">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61">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62">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63">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64">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65">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66">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667">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668">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669">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670">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71">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72">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73">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74">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75">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76">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77">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8">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79">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80">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81">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82">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83">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84">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85">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86">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687">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688">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689">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690">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691">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692">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693">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694">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695">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696">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697">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698">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699">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00">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01">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02">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03">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04">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05">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06">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07">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08">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09">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10">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11">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12">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13">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14">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15">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16">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17">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18">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19">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20">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21">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22">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23">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24">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25">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26">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27">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28">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29">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30">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31">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32">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33">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34">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35">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36">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37">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738">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739">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740">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741">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742">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43">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44">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45">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46">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47">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48">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49">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50">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751">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752">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753">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754">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755">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756">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757">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758">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759">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760">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761">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762">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763">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64">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765">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766">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767">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768">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769">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770">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71">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772">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773">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774">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775">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776">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777">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778">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779">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780">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781">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782">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783">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784" w:default="1">
    <w:name w:val="Normal"/>
    <w:qFormat/>
    <w:pPr>
      <w:jc w:val="left"/>
      <w:spacing w:before="0" w:after="0"/>
      <w:widowControl/>
    </w:pPr>
    <w:rPr>
      <w:rFonts w:ascii="Times New Roman" w:hAnsi="Times New Roman" w:eastAsia="Times New Roman" w:cs="Times New Roman"/>
      <w:color w:val="auto"/>
      <w:sz w:val="24"/>
      <w:szCs w:val="24"/>
      <w:lang w:val="ru-RU" w:eastAsia="ru-RU" w:bidi="ar-SA"/>
    </w:rPr>
  </w:style>
  <w:style w:type="paragraph" w:styleId="785">
    <w:name w:val="Heading 1"/>
    <w:basedOn w:val="784"/>
    <w:uiPriority w:val="9"/>
    <w:qFormat/>
    <w:pPr>
      <w:keepLines/>
      <w:keepNext/>
      <w:spacing w:before="480" w:after="200"/>
      <w:outlineLvl w:val="0"/>
    </w:pPr>
    <w:rPr>
      <w:rFonts w:ascii="Arial" w:hAnsi="Arial" w:eastAsia="Arial" w:cs="Arial"/>
      <w:sz w:val="40"/>
      <w:szCs w:val="40"/>
    </w:rPr>
  </w:style>
  <w:style w:type="paragraph" w:styleId="786">
    <w:name w:val="Heading 2"/>
    <w:basedOn w:val="784"/>
    <w:uiPriority w:val="9"/>
    <w:unhideWhenUsed/>
    <w:qFormat/>
    <w:pPr>
      <w:keepLines/>
      <w:keepNext/>
      <w:spacing w:before="360" w:after="200"/>
      <w:outlineLvl w:val="1"/>
    </w:pPr>
    <w:rPr>
      <w:rFonts w:ascii="Arial" w:hAnsi="Arial" w:eastAsia="Arial" w:cs="Arial"/>
      <w:sz w:val="34"/>
    </w:rPr>
  </w:style>
  <w:style w:type="paragraph" w:styleId="787">
    <w:name w:val="Heading 3"/>
    <w:basedOn w:val="784"/>
    <w:uiPriority w:val="9"/>
    <w:unhideWhenUsed/>
    <w:qFormat/>
    <w:pPr>
      <w:keepLines/>
      <w:keepNext/>
      <w:spacing w:before="320" w:after="200"/>
      <w:outlineLvl w:val="2"/>
    </w:pPr>
    <w:rPr>
      <w:rFonts w:ascii="Arial" w:hAnsi="Arial" w:eastAsia="Arial" w:cs="Arial"/>
      <w:sz w:val="30"/>
      <w:szCs w:val="30"/>
    </w:rPr>
  </w:style>
  <w:style w:type="paragraph" w:styleId="788">
    <w:name w:val="Heading 4"/>
    <w:basedOn w:val="784"/>
    <w:qFormat/>
    <w:pPr>
      <w:spacing w:beforeAutospacing="1" w:afterAutospacing="1"/>
      <w:outlineLvl w:val="3"/>
    </w:pPr>
    <w:rPr>
      <w:b/>
      <w:bCs/>
    </w:rPr>
  </w:style>
  <w:style w:type="paragraph" w:styleId="789">
    <w:name w:val="Heading 5"/>
    <w:basedOn w:val="784"/>
    <w:uiPriority w:val="9"/>
    <w:unhideWhenUsed/>
    <w:qFormat/>
    <w:pPr>
      <w:keepLines/>
      <w:keepNext/>
      <w:spacing w:before="320" w:after="200"/>
      <w:outlineLvl w:val="4"/>
    </w:pPr>
    <w:rPr>
      <w:rFonts w:ascii="Arial" w:hAnsi="Arial" w:eastAsia="Arial" w:cs="Arial"/>
      <w:b/>
      <w:bCs/>
      <w:sz w:val="24"/>
      <w:szCs w:val="24"/>
    </w:rPr>
  </w:style>
  <w:style w:type="paragraph" w:styleId="790">
    <w:name w:val="Heading 6"/>
    <w:basedOn w:val="784"/>
    <w:uiPriority w:val="9"/>
    <w:unhideWhenUsed/>
    <w:qFormat/>
    <w:pPr>
      <w:keepLines/>
      <w:keepNext/>
      <w:spacing w:before="320" w:after="200"/>
      <w:outlineLvl w:val="5"/>
    </w:pPr>
    <w:rPr>
      <w:rFonts w:ascii="Arial" w:hAnsi="Arial" w:eastAsia="Arial" w:cs="Arial"/>
      <w:b/>
      <w:bCs/>
      <w:sz w:val="22"/>
      <w:szCs w:val="22"/>
    </w:rPr>
  </w:style>
  <w:style w:type="paragraph" w:styleId="791">
    <w:name w:val="Heading 7"/>
    <w:basedOn w:val="784"/>
    <w:uiPriority w:val="9"/>
    <w:unhideWhenUsed/>
    <w:qFormat/>
    <w:pPr>
      <w:keepLines/>
      <w:keepNext/>
      <w:spacing w:before="320" w:after="200"/>
      <w:outlineLvl w:val="6"/>
    </w:pPr>
    <w:rPr>
      <w:rFonts w:ascii="Arial" w:hAnsi="Arial" w:eastAsia="Arial" w:cs="Arial"/>
      <w:b/>
      <w:bCs/>
      <w:i/>
      <w:iCs/>
      <w:sz w:val="22"/>
      <w:szCs w:val="22"/>
    </w:rPr>
  </w:style>
  <w:style w:type="paragraph" w:styleId="792">
    <w:name w:val="Heading 8"/>
    <w:basedOn w:val="784"/>
    <w:uiPriority w:val="9"/>
    <w:unhideWhenUsed/>
    <w:qFormat/>
    <w:pPr>
      <w:keepLines/>
      <w:keepNext/>
      <w:spacing w:before="320" w:after="200"/>
      <w:outlineLvl w:val="7"/>
    </w:pPr>
    <w:rPr>
      <w:rFonts w:ascii="Arial" w:hAnsi="Arial" w:eastAsia="Arial" w:cs="Arial"/>
      <w:i/>
      <w:iCs/>
      <w:sz w:val="22"/>
      <w:szCs w:val="22"/>
    </w:rPr>
  </w:style>
  <w:style w:type="paragraph" w:styleId="793">
    <w:name w:val="Heading 9"/>
    <w:basedOn w:val="784"/>
    <w:uiPriority w:val="9"/>
    <w:unhideWhenUsed/>
    <w:qFormat/>
    <w:pPr>
      <w:keepLines/>
      <w:keepNext/>
      <w:spacing w:before="320" w:after="200"/>
      <w:outlineLvl w:val="8"/>
    </w:pPr>
    <w:rPr>
      <w:rFonts w:ascii="Arial" w:hAnsi="Arial" w:eastAsia="Arial" w:cs="Arial"/>
      <w:i/>
      <w:iCs/>
      <w:sz w:val="21"/>
      <w:szCs w:val="21"/>
    </w:rPr>
  </w:style>
  <w:style w:type="character" w:styleId="794">
    <w:name w:val="Heading 1 Char"/>
    <w:uiPriority w:val="9"/>
    <w:qFormat/>
    <w:rPr>
      <w:rFonts w:ascii="Arial" w:hAnsi="Arial" w:eastAsia="Arial" w:cs="Arial"/>
      <w:sz w:val="40"/>
      <w:szCs w:val="40"/>
    </w:rPr>
  </w:style>
  <w:style w:type="character" w:styleId="795">
    <w:name w:val="Heading 2 Char"/>
    <w:uiPriority w:val="9"/>
    <w:qFormat/>
    <w:rPr>
      <w:rFonts w:ascii="Arial" w:hAnsi="Arial" w:eastAsia="Arial" w:cs="Arial"/>
      <w:sz w:val="34"/>
    </w:rPr>
  </w:style>
  <w:style w:type="character" w:styleId="796">
    <w:name w:val="Heading 3 Char"/>
    <w:uiPriority w:val="9"/>
    <w:qFormat/>
    <w:rPr>
      <w:rFonts w:ascii="Arial" w:hAnsi="Arial" w:eastAsia="Arial" w:cs="Arial"/>
      <w:sz w:val="30"/>
      <w:szCs w:val="30"/>
    </w:rPr>
  </w:style>
  <w:style w:type="character" w:styleId="797">
    <w:name w:val="Heading 4 Char"/>
    <w:uiPriority w:val="9"/>
    <w:qFormat/>
    <w:rPr>
      <w:rFonts w:ascii="Arial" w:hAnsi="Arial" w:eastAsia="Arial" w:cs="Arial"/>
      <w:b/>
      <w:bCs/>
      <w:sz w:val="26"/>
      <w:szCs w:val="26"/>
    </w:rPr>
  </w:style>
  <w:style w:type="character" w:styleId="798">
    <w:name w:val="Heading 5 Char"/>
    <w:uiPriority w:val="9"/>
    <w:qFormat/>
    <w:rPr>
      <w:rFonts w:ascii="Arial" w:hAnsi="Arial" w:eastAsia="Arial" w:cs="Arial"/>
      <w:b/>
      <w:bCs/>
      <w:sz w:val="24"/>
      <w:szCs w:val="24"/>
    </w:rPr>
  </w:style>
  <w:style w:type="character" w:styleId="799">
    <w:name w:val="Heading 6 Char"/>
    <w:uiPriority w:val="9"/>
    <w:qFormat/>
    <w:rPr>
      <w:rFonts w:ascii="Arial" w:hAnsi="Arial" w:eastAsia="Arial" w:cs="Arial"/>
      <w:b/>
      <w:bCs/>
      <w:sz w:val="22"/>
      <w:szCs w:val="22"/>
    </w:rPr>
  </w:style>
  <w:style w:type="character" w:styleId="800">
    <w:name w:val="Heading 7 Char"/>
    <w:uiPriority w:val="9"/>
    <w:qFormat/>
    <w:rPr>
      <w:rFonts w:ascii="Arial" w:hAnsi="Arial" w:eastAsia="Arial" w:cs="Arial"/>
      <w:b/>
      <w:bCs/>
      <w:i/>
      <w:iCs/>
      <w:sz w:val="22"/>
      <w:szCs w:val="22"/>
    </w:rPr>
  </w:style>
  <w:style w:type="character" w:styleId="801">
    <w:name w:val="Heading 8 Char"/>
    <w:uiPriority w:val="9"/>
    <w:qFormat/>
    <w:rPr>
      <w:rFonts w:ascii="Arial" w:hAnsi="Arial" w:eastAsia="Arial" w:cs="Arial"/>
      <w:i/>
      <w:iCs/>
      <w:sz w:val="22"/>
      <w:szCs w:val="22"/>
    </w:rPr>
  </w:style>
  <w:style w:type="character" w:styleId="802">
    <w:name w:val="Heading 9 Char"/>
    <w:uiPriority w:val="9"/>
    <w:qFormat/>
    <w:rPr>
      <w:rFonts w:ascii="Arial" w:hAnsi="Arial" w:eastAsia="Arial" w:cs="Arial"/>
      <w:i/>
      <w:iCs/>
      <w:sz w:val="21"/>
      <w:szCs w:val="21"/>
    </w:rPr>
  </w:style>
  <w:style w:type="character" w:styleId="803">
    <w:name w:val="Title Char"/>
    <w:uiPriority w:val="10"/>
    <w:qFormat/>
    <w:rPr>
      <w:sz w:val="48"/>
      <w:szCs w:val="48"/>
    </w:rPr>
  </w:style>
  <w:style w:type="character" w:styleId="804">
    <w:name w:val="Subtitle Char"/>
    <w:uiPriority w:val="11"/>
    <w:qFormat/>
    <w:rPr>
      <w:sz w:val="24"/>
      <w:szCs w:val="24"/>
    </w:rPr>
  </w:style>
  <w:style w:type="character" w:styleId="805">
    <w:name w:val="Quote Char"/>
    <w:uiPriority w:val="29"/>
    <w:qFormat/>
    <w:rPr>
      <w:i/>
    </w:rPr>
  </w:style>
  <w:style w:type="character" w:styleId="806">
    <w:name w:val="Intense Quote Char"/>
    <w:uiPriority w:val="30"/>
    <w:qFormat/>
    <w:rPr>
      <w:i/>
    </w:rPr>
  </w:style>
  <w:style w:type="character" w:styleId="807">
    <w:name w:val="Header Char"/>
    <w:uiPriority w:val="99"/>
    <w:qFormat/>
  </w:style>
  <w:style w:type="character" w:styleId="808">
    <w:name w:val="Footer Char"/>
    <w:uiPriority w:val="99"/>
    <w:qFormat/>
  </w:style>
  <w:style w:type="character" w:styleId="809">
    <w:name w:val="Caption Char"/>
    <w:uiPriority w:val="99"/>
    <w:qFormat/>
  </w:style>
  <w:style w:type="character" w:styleId="810">
    <w:name w:val="Hyperlink"/>
    <w:uiPriority w:val="99"/>
    <w:unhideWhenUsed/>
    <w:rPr>
      <w:color w:val="0000ff" w:themeColor="hyperlink"/>
      <w:u w:val="single"/>
    </w:rPr>
  </w:style>
  <w:style w:type="character" w:styleId="811">
    <w:name w:val="Footnote Text Char"/>
    <w:uiPriority w:val="99"/>
    <w:qFormat/>
    <w:rPr>
      <w:sz w:val="18"/>
    </w:rPr>
  </w:style>
  <w:style w:type="character" w:styleId="812">
    <w:name w:val="Символ сноски"/>
    <w:uiPriority w:val="99"/>
    <w:unhideWhenUsed/>
    <w:qFormat/>
    <w:rPr>
      <w:vertAlign w:val="superscript"/>
    </w:rPr>
  </w:style>
  <w:style w:type="character" w:styleId="813">
    <w:name w:val="footnote reference"/>
    <w:rPr>
      <w:vertAlign w:val="superscript"/>
    </w:rPr>
  </w:style>
  <w:style w:type="character" w:styleId="814">
    <w:name w:val="Endnote Text Char"/>
    <w:uiPriority w:val="99"/>
    <w:qFormat/>
    <w:rPr>
      <w:sz w:val="20"/>
    </w:rPr>
  </w:style>
  <w:style w:type="character" w:styleId="815">
    <w:name w:val="Символ концевой сноски"/>
    <w:uiPriority w:val="99"/>
    <w:semiHidden/>
    <w:unhideWhenUsed/>
    <w:qFormat/>
    <w:rPr>
      <w:vertAlign w:val="superscript"/>
    </w:rPr>
  </w:style>
  <w:style w:type="character" w:styleId="816">
    <w:name w:val="endnote reference"/>
    <w:rPr>
      <w:vertAlign w:val="superscript"/>
    </w:rPr>
  </w:style>
  <w:style w:type="character" w:styleId="817">
    <w:name w:val="Основной шрифт абзаца"/>
    <w:uiPriority w:val="1"/>
    <w:unhideWhenUsed/>
    <w:qFormat/>
  </w:style>
  <w:style w:type="character" w:styleId="818">
    <w:name w:val="Название Знак"/>
    <w:uiPriority w:val="99"/>
    <w:qFormat/>
    <w:rPr>
      <w:rFonts w:ascii="Times New Roman" w:hAnsi="Times New Roman" w:cs="Times New Roman"/>
      <w:b/>
      <w:bCs/>
      <w:sz w:val="24"/>
      <w:szCs w:val="24"/>
      <w:lang w:eastAsia="ru-RU"/>
    </w:rPr>
  </w:style>
  <w:style w:type="character" w:styleId="819">
    <w:name w:val="Основной текст Знак"/>
    <w:uiPriority w:val="99"/>
    <w:qFormat/>
    <w:rPr>
      <w:rFonts w:ascii="Times New Roman" w:hAnsi="Times New Roman" w:cs="Times New Roman"/>
      <w:sz w:val="24"/>
      <w:szCs w:val="24"/>
      <w:lang w:eastAsia="ru-RU"/>
    </w:rPr>
  </w:style>
  <w:style w:type="character" w:styleId="820">
    <w:name w:val="Основной текст с отступом Знак"/>
    <w:uiPriority w:val="99"/>
    <w:qFormat/>
    <w:rPr>
      <w:rFonts w:ascii="Times New Roman" w:hAnsi="Times New Roman" w:cs="Times New Roman"/>
      <w:sz w:val="24"/>
      <w:szCs w:val="24"/>
      <w:lang w:eastAsia="ru-RU"/>
    </w:rPr>
  </w:style>
  <w:style w:type="character" w:styleId="821">
    <w:name w:val="Plain Text Char,Знак2 Знак Char,Текст Знак Знак Char,Текст Знак Знак Знак Char,Текст Знак1 Знак Char,Знак2 Знак Знак Знак Char,Знак2 Знак1 Знак Char,Текст Знак2 Char,Текст Знак Знак1 Char,Знак2 Знак Знак1 Char,Текст Знак1 Char,Знак2 Знак Знак1 Знак Char"/>
    <w:uiPriority w:val="99"/>
    <w:semiHidden/>
    <w:qFormat/>
    <w:rPr>
      <w:rFonts w:ascii="Courier New" w:hAnsi="Courier New" w:eastAsia="Times New Roman" w:cs="Courier New"/>
      <w:sz w:val="20"/>
      <w:szCs w:val="20"/>
    </w:rPr>
  </w:style>
  <w:style w:type="character" w:styleId="822">
    <w:name w:val="Plain Text Char10,Знак2 Знак Char10,Текст Знак Знак Char10,Текст Знак Знак Знак Char10,Текст Знак1 Знак Char10,Знак2 Знак Знак Знак Char10,Знак2 Знак1 Знак Char10,Текст Знак2 Char10,Текст Знак Знак1 Char10,Знак2 Знак Знак1 Char10,Текст Знак1 Char10"/>
    <w:uiPriority w:val="99"/>
    <w:semiHidden/>
    <w:qFormat/>
    <w:rPr>
      <w:rFonts w:ascii="Courier New" w:hAnsi="Courier New" w:cs="Courier New"/>
      <w:sz w:val="20"/>
      <w:szCs w:val="20"/>
    </w:rPr>
  </w:style>
  <w:style w:type="character" w:styleId="823">
    <w:name w:val="Plain Text Char9,Знак2 Знак Char9,Текст Знак Знак Char9,Текст Знак Знак Знак Char9,Текст Знак1 Знак Char9,Знак2 Знак Знак Знак Char9,Знак2 Знак1 Знак Char9,Текст Знак2 Char9,Текст Знак Знак1 Char9,Знак2 Знак Знак1 Char9,Текст Знак1 Char9"/>
    <w:uiPriority w:val="99"/>
    <w:semiHidden/>
    <w:qFormat/>
    <w:rPr>
      <w:rFonts w:ascii="Courier New" w:hAnsi="Courier New" w:cs="Courier New"/>
      <w:sz w:val="20"/>
      <w:szCs w:val="20"/>
    </w:rPr>
  </w:style>
  <w:style w:type="character" w:styleId="824">
    <w:name w:val="Plain Text Char8,Знак2 Знак Char8,Текст Знак Знак Char8,Текст Знак Знак Знак Char8,Текст Знак1 Знак Char8,Знак2 Знак Знак Знак Char8,Знак2 Знак1 Знак Char8,Текст Знак2 Char8,Текст Знак Знак1 Char8,Знак2 Знак Знак1 Char8,Текст Знак1 Char8"/>
    <w:uiPriority w:val="99"/>
    <w:semiHidden/>
    <w:qFormat/>
    <w:rPr>
      <w:rFonts w:ascii="Courier New" w:hAnsi="Courier New" w:cs="Courier New"/>
      <w:sz w:val="20"/>
      <w:szCs w:val="20"/>
    </w:rPr>
  </w:style>
  <w:style w:type="character" w:styleId="825">
    <w:name w:val="Plain Text Char7,Знак2 Знак Char7,Текст Знак Знак Char7,Текст Знак Знак Знак Char7,Текст Знак1 Знак Char7,Знак2 Знак Знак Знак Char7,Знак2 Знак1 Знак Char7,Текст Знак2 Char7,Текст Знак Знак1 Char7,Знак2 Знак Знак1 Char7,Текст Знак1 Char7"/>
    <w:uiPriority w:val="99"/>
    <w:semiHidden/>
    <w:qFormat/>
    <w:rPr>
      <w:rFonts w:ascii="Courier New" w:hAnsi="Courier New" w:cs="Courier New"/>
      <w:sz w:val="20"/>
      <w:szCs w:val="20"/>
    </w:rPr>
  </w:style>
  <w:style w:type="character" w:styleId="826">
    <w:name w:val="Plain Text Char6,Знак2 Знак Char6,Текст Знак Знак Char6,Текст Знак Знак Знак Char6,Текст Знак1 Знак Char6,Знак2 Знак Знак Знак Char6,Знак2 Знак1 Знак Char6,Текст Знак2 Char6,Текст Знак Знак1 Char6,Знак2 Знак Знак1 Char6,Текст Знак1 Char6"/>
    <w:uiPriority w:val="99"/>
    <w:semiHidden/>
    <w:qFormat/>
    <w:rPr>
      <w:rFonts w:ascii="Courier New" w:hAnsi="Courier New" w:cs="Courier New"/>
      <w:sz w:val="20"/>
      <w:szCs w:val="20"/>
    </w:rPr>
  </w:style>
  <w:style w:type="character" w:styleId="827">
    <w:name w:val="Plain Text Char5,Знак2 Знак Char5,Текст Знак Знак Char5,Текст Знак Знак Знак Char5,Текст Знак1 Знак Char5,Знак2 Знак Знак Знак Char5,Знак2 Знак1 Знак Char5,Текст Знак2 Char5,Текст Знак Знак1 Char5,Знак2 Знак Знак1 Char5,Текст Знак1 Char5"/>
    <w:uiPriority w:val="99"/>
    <w:semiHidden/>
    <w:qFormat/>
    <w:rPr>
      <w:rFonts w:ascii="Courier New" w:hAnsi="Courier New" w:cs="Courier New"/>
      <w:sz w:val="20"/>
      <w:szCs w:val="20"/>
    </w:rPr>
  </w:style>
  <w:style w:type="character" w:styleId="828">
    <w:name w:val="Plain Text Char4,Знак2 Знак Char4,Текст Знак Знак Char4,Текст Знак Знак Знак Char4,Текст Знак1 Знак Char4,Знак2 Знак Знак Знак Char4,Знак2 Знак1 Знак Char4,Текст Знак2 Char4,Текст Знак Знак1 Char4,Знак2 Знак Знак1 Char4,Текст Знак1 Char4"/>
    <w:uiPriority w:val="99"/>
    <w:semiHidden/>
    <w:qFormat/>
    <w:rPr>
      <w:rFonts w:ascii="Courier New" w:hAnsi="Courier New" w:cs="Courier New"/>
      <w:sz w:val="20"/>
      <w:szCs w:val="20"/>
    </w:rPr>
  </w:style>
  <w:style w:type="character" w:styleId="829">
    <w:name w:val="Plain Text Char3,Знак2 Знак Char3,Текст Знак Знак Char3,Текст Знак Знак Знак Char3,Текст Знак1 Знак Char3,Знак2 Знак Знак Знак Char3,Знак2 Знак1 Знак Char3,Текст Знак2 Char3,Текст Знак Знак1 Char3,Знак2 Знак Знак1 Char3,Текст Знак1 Char3"/>
    <w:uiPriority w:val="99"/>
    <w:semiHidden/>
    <w:qFormat/>
    <w:rPr>
      <w:rFonts w:ascii="Courier New" w:hAnsi="Courier New" w:cs="Courier New"/>
      <w:sz w:val="20"/>
      <w:szCs w:val="20"/>
    </w:rPr>
  </w:style>
  <w:style w:type="character" w:styleId="830">
    <w:name w:val="Plain Text Char2,Знак2 Знак Char2,Текст Знак Знак Char2,Текст Знак Знак Знак Char2,Текст Знак1 Знак Char2,Знак2 Знак Знак Знак Char2,Знак2 Знак1 Знак Char2,Текст Знак2 Char2,Текст Знак Знак1 Char2,Знак2 Знак Знак1 Char2,Текст Знак1 Char2"/>
    <w:uiPriority w:val="99"/>
    <w:semiHidden/>
    <w:qFormat/>
    <w:rPr>
      <w:rFonts w:ascii="Courier New" w:hAnsi="Courier New" w:cs="Courier New"/>
      <w:sz w:val="20"/>
      <w:szCs w:val="20"/>
    </w:rPr>
  </w:style>
  <w:style w:type="character" w:styleId="831">
    <w:name w:val="Текст Знак"/>
    <w:uiPriority w:val="99"/>
    <w:semiHidden/>
    <w:qFormat/>
    <w:rPr>
      <w:rFonts w:ascii="Consolas" w:hAnsi="Consolas" w:cs="Times New Roman"/>
      <w:sz w:val="21"/>
      <w:szCs w:val="21"/>
      <w:lang w:eastAsia="ru-RU"/>
    </w:rPr>
  </w:style>
  <w:style w:type="character" w:styleId="832">
    <w:name w:val="Текст Знак3,Знак2 Знак Знак,Текст Знак Знак Знак1,Текст Знак Знак Знак Знак,Текст Знак1 Знак Знак,Знак2 Знак Знак Знак Знак,Знак2 Знак1 Знак Знак,Текст Знак2 Знак,Текст Знак Знак1 Знак,Знак2 Знак Знак1 Знак1,Текст Знак1 Знак1,Знак2 Знак Знак1 Знак Знак"/>
    <w:uiPriority w:val="99"/>
    <w:qFormat/>
    <w:rPr>
      <w:rFonts w:ascii="Courier New" w:hAnsi="Courier New"/>
      <w:sz w:val="24"/>
      <w:lang w:eastAsia="ru-RU"/>
    </w:rPr>
  </w:style>
  <w:style w:type="character" w:styleId="833">
    <w:name w:val="b-message-head__email"/>
    <w:qFormat/>
    <w:rPr>
      <w:rFonts w:cs="Times New Roman"/>
    </w:rPr>
  </w:style>
  <w:style w:type="character" w:styleId="834">
    <w:name w:val="first"/>
    <w:basedOn w:val="817"/>
    <w:qFormat/>
  </w:style>
  <w:style w:type="character" w:styleId="835">
    <w:name w:val="second"/>
    <w:basedOn w:val="817"/>
    <w:qFormat/>
  </w:style>
  <w:style w:type="character" w:styleId="836">
    <w:name w:val="Знак2"/>
    <w:qFormat/>
    <w:rPr>
      <w:b/>
      <w:bCs/>
      <w:sz w:val="24"/>
      <w:szCs w:val="24"/>
      <w:lang w:val="ru-RU" w:eastAsia="ru-RU" w:bidi="ar-SA"/>
    </w:rPr>
  </w:style>
  <w:style w:type="character" w:styleId="837">
    <w:name w:val="Знак1"/>
    <w:qFormat/>
    <w:rPr>
      <w:sz w:val="24"/>
      <w:szCs w:val="24"/>
      <w:lang w:val="ru-RU" w:eastAsia="ru-RU" w:bidi="ar-SA"/>
    </w:rPr>
  </w:style>
  <w:style w:type="character" w:styleId="838">
    <w:name w:val="Знак"/>
    <w:qFormat/>
    <w:rPr>
      <w:sz w:val="24"/>
      <w:szCs w:val="24"/>
      <w:lang w:val="ru-RU" w:eastAsia="ru-RU" w:bidi="ar-SA"/>
    </w:rPr>
  </w:style>
  <w:style w:type="character" w:styleId="839">
    <w:name w:val="Текст выноски Знак"/>
    <w:uiPriority w:val="99"/>
    <w:semiHidden/>
    <w:qFormat/>
    <w:rPr>
      <w:rFonts w:ascii="Segoe UI" w:hAnsi="Segoe UI" w:eastAsia="Times New Roman" w:cs="Segoe UI"/>
      <w:sz w:val="18"/>
      <w:szCs w:val="18"/>
    </w:rPr>
  </w:style>
  <w:style w:type="character" w:styleId="840">
    <w:name w:val="Гиперссылка"/>
    <w:uiPriority w:val="99"/>
    <w:unhideWhenUsed/>
    <w:qFormat/>
    <w:rPr>
      <w:color w:val="0000ff"/>
      <w:u w:val="single"/>
    </w:rPr>
  </w:style>
  <w:style w:type="character" w:styleId="841" w:default="1">
    <w:name w:val="Default Paragraph Font"/>
    <w:uiPriority w:val="1"/>
    <w:semiHidden/>
    <w:unhideWhenUsed/>
    <w:qFormat/>
  </w:style>
  <w:style w:type="paragraph" w:styleId="842">
    <w:name w:val="Заголовок"/>
    <w:basedOn w:val="784"/>
    <w:next w:val="843"/>
    <w:qFormat/>
    <w:pPr>
      <w:keepNext/>
      <w:spacing w:before="240" w:after="120"/>
    </w:pPr>
    <w:rPr>
      <w:rFonts w:ascii="PT Sans" w:hAnsi="PT Sans" w:eastAsia="Tahoma" w:cs="Noto Sans Devanagari"/>
      <w:sz w:val="28"/>
      <w:szCs w:val="28"/>
    </w:rPr>
  </w:style>
  <w:style w:type="paragraph" w:styleId="843">
    <w:name w:val="Body Text"/>
    <w:basedOn w:val="784"/>
    <w:uiPriority w:val="99"/>
    <w:pPr>
      <w:jc w:val="both"/>
    </w:pPr>
    <w:rPr>
      <w:rFonts w:eastAsia="Calibri"/>
      <w:lang w:val="en-US"/>
    </w:rPr>
  </w:style>
  <w:style w:type="paragraph" w:styleId="844">
    <w:name w:val="List"/>
    <w:basedOn w:val="843"/>
    <w:rPr>
      <w:rFonts w:cs="Noto Sans Devanagari"/>
    </w:rPr>
  </w:style>
  <w:style w:type="paragraph" w:styleId="845">
    <w:name w:val="Caption"/>
    <w:basedOn w:val="784"/>
    <w:uiPriority w:val="99"/>
    <w:qFormat/>
    <w:pPr>
      <w:jc w:val="center"/>
    </w:pPr>
    <w:rPr>
      <w:rFonts w:eastAsia="Calibri"/>
      <w:b/>
      <w:bCs/>
      <w:lang w:val="en-US"/>
    </w:rPr>
  </w:style>
  <w:style w:type="paragraph" w:styleId="846">
    <w:name w:val="Указатель"/>
    <w:basedOn w:val="784"/>
    <w:qFormat/>
    <w:pPr>
      <w:suppressLineNumbers/>
    </w:pPr>
    <w:rPr>
      <w:rFonts w:cs="Noto Sans Devanagari"/>
    </w:rPr>
  </w:style>
  <w:style w:type="paragraph" w:styleId="847">
    <w:name w:val="List Paragraph"/>
    <w:basedOn w:val="784"/>
    <w:uiPriority w:val="34"/>
    <w:qFormat/>
    <w:pPr>
      <w:contextualSpacing/>
      <w:ind w:left="720"/>
      <w:spacing w:before="0" w:after="0"/>
    </w:pPr>
  </w:style>
  <w:style w:type="paragraph" w:styleId="848">
    <w:name w:val="No Spacing"/>
    <w:uiPriority w:val="1"/>
    <w:qFormat/>
    <w:pPr>
      <w:jc w:val="left"/>
      <w:spacing w:before="0" w:after="0" w:line="240" w:lineRule="auto"/>
      <w:widowControl/>
    </w:pPr>
    <w:rPr>
      <w:rFonts w:ascii="Calibri" w:hAnsi="Calibri" w:eastAsia="Calibri" w:cs="Times New Roman"/>
      <w:color w:val="auto"/>
      <w:sz w:val="20"/>
      <w:szCs w:val="20"/>
      <w:lang w:val="ru-RU" w:eastAsia="zh-CN" w:bidi="ar-SA"/>
    </w:rPr>
  </w:style>
  <w:style w:type="paragraph" w:styleId="849">
    <w:name w:val="Title"/>
    <w:basedOn w:val="784"/>
    <w:uiPriority w:val="10"/>
    <w:qFormat/>
    <w:pPr>
      <w:contextualSpacing/>
      <w:spacing w:before="300" w:after="200"/>
    </w:pPr>
    <w:rPr>
      <w:sz w:val="48"/>
      <w:szCs w:val="48"/>
    </w:rPr>
  </w:style>
  <w:style w:type="paragraph" w:styleId="850">
    <w:name w:val="Subtitle"/>
    <w:basedOn w:val="784"/>
    <w:uiPriority w:val="11"/>
    <w:qFormat/>
    <w:pPr>
      <w:spacing w:before="200" w:after="200"/>
    </w:pPr>
    <w:rPr>
      <w:sz w:val="24"/>
      <w:szCs w:val="24"/>
    </w:rPr>
  </w:style>
  <w:style w:type="paragraph" w:styleId="851">
    <w:name w:val="Quote"/>
    <w:basedOn w:val="784"/>
    <w:uiPriority w:val="29"/>
    <w:qFormat/>
    <w:pPr>
      <w:ind w:left="720" w:right="720"/>
    </w:pPr>
    <w:rPr>
      <w:i/>
    </w:rPr>
  </w:style>
  <w:style w:type="paragraph" w:styleId="852">
    <w:name w:val="Intense Quote"/>
    <w:basedOn w:val="784"/>
    <w:uiPriority w:val="30"/>
    <w:qFormat/>
    <w:pPr>
      <w:ind w:left="720" w:right="720"/>
      <w:spacing w:before="0" w:after="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853">
    <w:name w:val="Колонтитул"/>
    <w:basedOn w:val="784"/>
    <w:qFormat/>
  </w:style>
  <w:style w:type="paragraph" w:styleId="854">
    <w:name w:val="Header"/>
    <w:basedOn w:val="784"/>
    <w:uiPriority w:val="99"/>
    <w:unhideWhenUsed/>
    <w:pPr>
      <w:spacing w:before="0" w:after="0" w:line="240" w:lineRule="auto"/>
      <w:tabs>
        <w:tab w:val="clear" w:pos="708" w:leader="none"/>
        <w:tab w:val="center" w:pos="7143" w:leader="none"/>
        <w:tab w:val="right" w:pos="14287" w:leader="none"/>
      </w:tabs>
    </w:pPr>
  </w:style>
  <w:style w:type="paragraph" w:styleId="855">
    <w:name w:val="Footer"/>
    <w:basedOn w:val="784"/>
    <w:uiPriority w:val="99"/>
    <w:unhideWhenUsed/>
    <w:pPr>
      <w:spacing w:before="0" w:after="0" w:line="240" w:lineRule="auto"/>
      <w:tabs>
        <w:tab w:val="clear" w:pos="708" w:leader="none"/>
        <w:tab w:val="center" w:pos="7143" w:leader="none"/>
        <w:tab w:val="right" w:pos="14287" w:leader="none"/>
      </w:tabs>
    </w:pPr>
  </w:style>
  <w:style w:type="paragraph" w:styleId="856">
    <w:name w:val="footnote text"/>
    <w:basedOn w:val="784"/>
    <w:uiPriority w:val="99"/>
    <w:semiHidden/>
    <w:unhideWhenUsed/>
    <w:pPr>
      <w:spacing w:before="0" w:after="40" w:line="240" w:lineRule="auto"/>
    </w:pPr>
    <w:rPr>
      <w:sz w:val="18"/>
    </w:rPr>
  </w:style>
  <w:style w:type="paragraph" w:styleId="857">
    <w:name w:val="endnote text"/>
    <w:basedOn w:val="784"/>
    <w:uiPriority w:val="99"/>
    <w:semiHidden/>
    <w:unhideWhenUsed/>
    <w:pPr>
      <w:spacing w:before="0" w:after="0" w:line="240" w:lineRule="auto"/>
    </w:pPr>
    <w:rPr>
      <w:sz w:val="20"/>
    </w:rPr>
  </w:style>
  <w:style w:type="paragraph" w:styleId="858">
    <w:name w:val="toc 1"/>
    <w:basedOn w:val="784"/>
    <w:uiPriority w:val="39"/>
    <w:unhideWhenUsed/>
    <w:pPr>
      <w:ind w:left="0" w:right="0" w:firstLine="0"/>
      <w:spacing w:before="0" w:after="57"/>
    </w:pPr>
  </w:style>
  <w:style w:type="paragraph" w:styleId="859">
    <w:name w:val="toc 2"/>
    <w:basedOn w:val="784"/>
    <w:uiPriority w:val="39"/>
    <w:unhideWhenUsed/>
    <w:pPr>
      <w:ind w:left="283" w:right="0" w:firstLine="0"/>
      <w:spacing w:before="0" w:after="57"/>
    </w:pPr>
  </w:style>
  <w:style w:type="paragraph" w:styleId="860">
    <w:name w:val="toc 3"/>
    <w:basedOn w:val="784"/>
    <w:uiPriority w:val="39"/>
    <w:unhideWhenUsed/>
    <w:pPr>
      <w:ind w:left="567" w:right="0" w:firstLine="0"/>
      <w:spacing w:before="0" w:after="57"/>
    </w:pPr>
  </w:style>
  <w:style w:type="paragraph" w:styleId="861">
    <w:name w:val="toc 4"/>
    <w:basedOn w:val="784"/>
    <w:uiPriority w:val="39"/>
    <w:unhideWhenUsed/>
    <w:pPr>
      <w:ind w:left="850" w:right="0" w:firstLine="0"/>
      <w:spacing w:before="0" w:after="57"/>
    </w:pPr>
  </w:style>
  <w:style w:type="paragraph" w:styleId="862">
    <w:name w:val="toc 5"/>
    <w:basedOn w:val="784"/>
    <w:uiPriority w:val="39"/>
    <w:unhideWhenUsed/>
    <w:pPr>
      <w:ind w:left="1134" w:right="0" w:firstLine="0"/>
      <w:spacing w:before="0" w:after="57"/>
    </w:pPr>
  </w:style>
  <w:style w:type="paragraph" w:styleId="863">
    <w:name w:val="toc 6"/>
    <w:basedOn w:val="784"/>
    <w:uiPriority w:val="39"/>
    <w:unhideWhenUsed/>
    <w:pPr>
      <w:ind w:left="1417" w:right="0" w:firstLine="0"/>
      <w:spacing w:before="0" w:after="57"/>
    </w:pPr>
  </w:style>
  <w:style w:type="paragraph" w:styleId="864">
    <w:name w:val="toc 7"/>
    <w:basedOn w:val="784"/>
    <w:uiPriority w:val="39"/>
    <w:unhideWhenUsed/>
    <w:pPr>
      <w:ind w:left="1701" w:right="0" w:firstLine="0"/>
      <w:spacing w:before="0" w:after="57"/>
    </w:pPr>
  </w:style>
  <w:style w:type="paragraph" w:styleId="865">
    <w:name w:val="toc 8"/>
    <w:basedOn w:val="784"/>
    <w:uiPriority w:val="39"/>
    <w:unhideWhenUsed/>
    <w:pPr>
      <w:ind w:left="1984" w:right="0" w:firstLine="0"/>
      <w:spacing w:before="0" w:after="57"/>
    </w:pPr>
  </w:style>
  <w:style w:type="paragraph" w:styleId="866">
    <w:name w:val="toc 9"/>
    <w:basedOn w:val="784"/>
    <w:uiPriority w:val="39"/>
    <w:unhideWhenUsed/>
    <w:pPr>
      <w:ind w:left="2268" w:right="0" w:firstLine="0"/>
      <w:spacing w:before="0" w:after="57"/>
    </w:pPr>
  </w:style>
  <w:style w:type="paragraph" w:styleId="867">
    <w:name w:val="Index Heading"/>
    <w:basedOn w:val="842"/>
  </w:style>
  <w:style w:type="paragraph" w:styleId="868">
    <w:name w:val="TOC Heading"/>
    <w:uiPriority w:val="39"/>
    <w:unhideWhenUsed/>
    <w:qFormat/>
    <w:pPr>
      <w:jc w:val="left"/>
      <w:spacing w:before="0" w:after="0"/>
      <w:widowControl/>
    </w:pPr>
    <w:rPr>
      <w:rFonts w:ascii="Calibri" w:hAnsi="Calibri" w:eastAsia="Calibri" w:cs="Times New Roman"/>
      <w:color w:val="auto"/>
      <w:sz w:val="20"/>
      <w:szCs w:val="20"/>
      <w:lang w:val="ru-RU" w:eastAsia="zh-CN" w:bidi="ar-SA"/>
    </w:rPr>
  </w:style>
  <w:style w:type="paragraph" w:styleId="869">
    <w:name w:val="table of figures"/>
    <w:basedOn w:val="784"/>
    <w:uiPriority w:val="99"/>
    <w:unhideWhenUsed/>
    <w:qFormat/>
    <w:pPr>
      <w:spacing w:before="0" w:after="0" w:afterAutospacing="0"/>
    </w:pPr>
  </w:style>
  <w:style w:type="paragraph" w:styleId="870">
    <w:name w:val="Body Text Indent"/>
    <w:basedOn w:val="784"/>
    <w:uiPriority w:val="99"/>
    <w:pPr>
      <w:ind w:left="283"/>
      <w:spacing w:before="0" w:after="120"/>
    </w:pPr>
    <w:rPr>
      <w:rFonts w:eastAsia="Calibri"/>
      <w:lang w:val="en-US"/>
    </w:rPr>
  </w:style>
  <w:style w:type="paragraph" w:styleId="871">
    <w:name w:val="Текст,Знак2 Знак,Текст Знак Знак,Текст Знак Знак Знак,Текст Знак1 Знак,Знак2 Знак Знак Знак,Знак2 Знак1 Знак,Текст Знак2,Текст Знак Знак1,Знак2 Знак Знак1,Текст Знак1,Знак2 Знак Знак1 Знак,Текст Знак Знак3,Текст Знак Знак Знак Знак1,Зна"/>
    <w:basedOn w:val="784"/>
    <w:uiPriority w:val="99"/>
    <w:qFormat/>
    <w:rPr>
      <w:rFonts w:ascii="Courier New" w:hAnsi="Courier New"/>
      <w:sz w:val="20"/>
      <w:szCs w:val="20"/>
      <w:lang w:val="en-US" w:eastAsia="en-US"/>
    </w:rPr>
  </w:style>
  <w:style w:type="paragraph" w:styleId="872">
    <w:name w:val="Без интервала"/>
    <w:uiPriority w:val="99"/>
    <w:qFormat/>
    <w:pPr>
      <w:jc w:val="left"/>
      <w:spacing w:before="0" w:after="0"/>
      <w:widowControl/>
    </w:pPr>
    <w:rPr>
      <w:rFonts w:ascii="Times New Roman" w:hAnsi="Times New Roman" w:eastAsia="Times New Roman" w:cs="Times New Roman"/>
      <w:color w:val="auto"/>
      <w:sz w:val="24"/>
      <w:szCs w:val="24"/>
      <w:lang w:val="ru-RU" w:eastAsia="ru-RU" w:bidi="ar-SA"/>
    </w:rPr>
  </w:style>
  <w:style w:type="paragraph" w:styleId="873">
    <w:name w:val="Обычный (веб)"/>
    <w:basedOn w:val="784"/>
    <w:qFormat/>
    <w:pPr>
      <w:spacing w:beforeAutospacing="1" w:afterAutospacing="1"/>
    </w:pPr>
  </w:style>
  <w:style w:type="paragraph" w:styleId="874">
    <w:name w:val="Текст выноски"/>
    <w:basedOn w:val="784"/>
    <w:uiPriority w:val="99"/>
    <w:semiHidden/>
    <w:unhideWhenUsed/>
    <w:qFormat/>
    <w:rPr>
      <w:rFonts w:ascii="Segoe UI" w:hAnsi="Segoe UI"/>
      <w:sz w:val="18"/>
      <w:szCs w:val="18"/>
      <w:lang w:val="en-US" w:eastAsia="en-US"/>
    </w:rPr>
  </w:style>
  <w:style w:type="numbering" w:styleId="875">
    <w:name w:val="Нет списка"/>
    <w:uiPriority w:val="99"/>
    <w:semiHidden/>
    <w:unhideWhenUsed/>
    <w:qFormat/>
  </w:style>
  <w:style w:type="numbering" w:styleId="876" w:default="1">
    <w:name w:val="No List"/>
    <w:uiPriority w:val="99"/>
    <w:semiHidden/>
    <w:unhideWhenUsed/>
    <w:qFormat/>
  </w:style>
  <w:style w:type="table" w:styleId="877"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yperlink" Target="consultantplus://offline/ref=BD50EEEBBF1F695F04B7DB19CD97EC0B41B5A50A9448E26E36F2F36C264A505CF277E25EF0200B122A30983B75097FCA2212D70FD5h9g1M" TargetMode="External"/><Relationship Id="rId10" Type="http://schemas.openxmlformats.org/officeDocument/2006/relationships/hyperlink" Target="consultantplus://offline/ref=BD50EEEBBF1F695F04B7DB19CD97EC0B41B5AB0E9243E26E36F2F36C264A505CF277E25AF020034D2F258963790960D4230DCB0DD791h4g3M" TargetMode="External"/><Relationship Id="rId11" Type="http://schemas.openxmlformats.org/officeDocument/2006/relationships/hyperlink" Target="consultantplus://offline/ref=BD50EEEBBF1F695F04B7DB19CD97EC0B41B5AB0E9243E26E36F2F36C264A505CF277E25AF022044D2F258963790960D4230DCB0DD791h4g3M" TargetMode="External"/><Relationship Id="rId12" Type="http://schemas.openxmlformats.org/officeDocument/2006/relationships/hyperlink" Target="consultantplus://offline/ref=BD50EEEBBF1F695F04B7DB19CD97EC0B41B5AB089B49E26E36F2F36C264A505CF277E25AF123084F7C7F9967305D6CCB2212D50EC99141B9hCg1M" TargetMode="External"/><Relationship Id="rId13" Type="http://schemas.openxmlformats.org/officeDocument/2006/relationships/hyperlink" Target="consultantplus://offline/ref=BD50EEEBBF1F695F04B7DB19CD97EC0B41B5AB089B49E26E36F2F36C264A505CF277E259F127044D2F258963790960D4230DCB0DD791h4g3M" TargetMode="External"/><Relationship Id="rId14" Type="http://schemas.openxmlformats.org/officeDocument/2006/relationships/hyperlink" Target="consultantplus://offline/ref=BD50EEEBBF1F695F04B7DB19CD97EC0B41B5AB089B49E26E36F2F36C264A505CF277E259F125024D2F258963790960D4230DCB0DD791h4g3M" TargetMode="External"/><Relationship Id="rId15" Type="http://schemas.openxmlformats.org/officeDocument/2006/relationships/hyperlink" Target="consultantplus://offline/ref=BD50EEEBBF1F695F04B7DB19CD97EC0B41B5AB089B49E26E36F2F36C264A505CF277E259F12A064D2F258963790960D4230DCB0DD791h4g3M" TargetMode="External"/><Relationship Id="rId16" Type="http://schemas.openxmlformats.org/officeDocument/2006/relationships/hyperlink" Target="consultantplus://offline/ref=BD50EEEBBF1F695F04B7DB19CD97EC0B41B5A50A9448E26E36F2F36C264A505CF277E259F720004D2F258963790960D4230DCB0DD791h4g3M" TargetMode="External"/></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Р7-Офис/2024.1.1.373</Application>
  <Company>User</Company>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 ______</dc:title>
  <dc:subject/>
  <dc:creator>Наталия Д. Паламарчук</dc:creator>
  <dc:description/>
  <dc:language>ru-RU</dc:language>
  <cp:revision>14</cp:revision>
  <dcterms:created xsi:type="dcterms:W3CDTF">2025-07-02T13:22:00Z</dcterms:created>
  <dcterms:modified xsi:type="dcterms:W3CDTF">2026-09-23T08:21:15Z</dcterms:modified>
  <cp:version>983040</cp:version>
</cp:coreProperties>
</file>

<file path=docProps/custom.xml><?xml version="1.0" encoding="utf-8"?>
<Properties xmlns="http://schemas.openxmlformats.org/officeDocument/2006/custom-properties" xmlns:vt="http://schemas.openxmlformats.org/officeDocument/2006/docPropsVTypes"/>
</file>