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3"/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2"/>
          <w:szCs w:val="22"/>
          <w:highlight w:val="none"/>
          <w:lang w:eastAsia="hi-IN" w:bidi="hi-IN"/>
        </w:rPr>
        <w:t xml:space="preserve">ДОГОВОР №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  <w:highlight w:val="none"/>
        </w:rPr>
      </w:r>
    </w:p>
    <w:p>
      <w:pPr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Style w:val="899"/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  <w:highlight w:val="none"/>
          <w:lang w:eastAsia="hi-IN"/>
        </w:rPr>
        <w:t xml:space="preserve">ИКЗ </w:t>
      </w:r>
      <w:r>
        <w:rPr>
          <w:rFonts w:ascii="Times New Roman" w:hAnsi="Times New Roman" w:eastAsia="Times New Roman" w:cs="Times New Roman"/>
          <w:b w:val="0"/>
          <w:bCs w:val="0"/>
          <w:color w:val="2c363a"/>
          <w:sz w:val="22"/>
          <w:szCs w:val="22"/>
          <w:highlight w:val="none"/>
        </w:rPr>
        <w:t xml:space="preserve">263470317748947030100100010000000000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Style w:val="899"/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  <w:highlight w:val="yellow"/>
          <w:lang w:eastAsia="hi-IN"/>
        </w:rPr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>
        <w:tblPrEx/>
        <w:trPr>
          <w:trHeight w:val="259"/>
        </w:trPr>
        <w:tc>
          <w:tcPr>
            <w:tcW w:w="3190" w:type="dxa"/>
            <w:textDirection w:val="lrTb"/>
            <w:noWrap w:val="false"/>
          </w:tcPr>
          <w:p>
            <w:pPr>
              <w:jc w:val="left"/>
              <w:spacing w:before="120"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г.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spacing w:before="120"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3191" w:type="dxa"/>
            <w:textDirection w:val="lrTb"/>
            <w:noWrap w:val="false"/>
          </w:tcPr>
          <w:p>
            <w:pPr>
              <w:spacing w:before="120"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от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2026г.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</w:tbl>
    <w:p>
      <w:pPr>
        <w:jc w:val="both"/>
        <w:spacing w:line="100" w:lineRule="atLeast"/>
        <w:widowControl w:val="off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lang w:eastAsia="hi-IN" w:bidi="hi-IN"/>
        </w:rPr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p>
      <w:pPr>
        <w:pStyle w:val="927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Муниципальное общеобразовательное бюджетное учреждение «Муринская  средняя общеобразовательная школа № 5»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(сокращенное наименование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МОБУ «Муринская СОШ № 5»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), именуемое в дальнейшем «Заказчик», в лице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директора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Шенкевич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Галины Борисовны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действующего на основании Устава, с одной стороны, </w:t>
        <w:br/>
        <w:t xml:space="preserve">и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___________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с другой стороны, вместе именуемые «Стороны»,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  <w:t xml:space="preserve">в соответствии с п.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  <w:t xml:space="preserve">4 ч.1 ст.93 Федерального закона от 05.04.2013 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заключили настоящий договор (далее – договор) о нижеследующем: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Предмет договора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Предметом настоящего Договора является поставка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стендов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для нужд МОБУ «Муринская СОШ № 5»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в соответствии со спецификацией (приложение №1)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(далее – товар) по адресу: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188678, Ленинградская область, р-н Всеволожский, г. Мурино,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ул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Шоссе в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Лаврики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д.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53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к.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Наименование, и количество Товара указаны в Приложении №1 (спецификация товара), являющемся неотъемлемой частью настоящего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Качество товара, поставляемого по настоящему Договору, должно подтверждаться сертификатами качества иными документами в соответствии с действующим законодательством.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ind w:left="0" w:firstLine="851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Срок поставки товара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Срок поставки Товара: в течение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30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(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тридцати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)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рабочих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дней с момента подписания Договора, с учётом времени, отведённого на приём товара Заказчиком.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Место поставки товара: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188678, Ленинградская область, р-н Всеволожский, г. Мурино,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ул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Шоссе в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Лаврики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д.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53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к.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Время поставки: по рабочим дням с 9:00 до 17:00, дата по согласованию с Заказчиком.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Права и обязанности сторон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Заказчик обязан: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Принять от Поставщика товар по товарной накладной,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 сроки,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указанные в п.п.2.1. настоящего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5 (пяти) рабочих дней.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Обеспечить Поставщику оплату поставленного Товара в случае надлежащего исполнения обязательств по договору в порядке и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на условиях,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предусмотренных договором.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Информировать Поставщика об изменении своего адреса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и реквизитов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Заказчик имеет право: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Требовать от Поставщика надлежащего выполнения обязательств по настоящему Договору.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Осуществлять контроль за порядком и сроками поставки товаров, соответствующих требованиям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Требовать предоставления надлежащим образом оформленных отчётных и финансовых документов, подтверждающих исполнение обязательств, в соответствии с договором.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Запрашивать информацию о ходе и состоянии исполнения обязательств по договору.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Отказаться от принятия Товара ненадлежащего качества, уведомив об этом Поставщика.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Не оплачивать товар, не соответствующий условиям настоящего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редъявлять Поставщику претензии,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связанные с недостатками поставленного Товара по техническим характеристикам, количеству и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комплектности,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обнаруженные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при приемке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Товара, по качеству - в течение гарантийного срока, установленного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в п. 6.1. настоящего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 соответствии с действующим гражданским законодательством принять решение об одностороннем отказе от исполнения договора. Заказчик вправе произвести экспертизу поставленного Товара с привлечением эксп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ертов, экспертных организаций до принятия решения об одностороннем отказе от исполнения Договора. Если Заказчиком проведена экспертиза Товара с привлечением экспертов, экспертных организаций, решение об одностороннем отказе от исполнения договора может быт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ь принято Заказчиком только по результатам экспертизы поставленного Товара, если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Поставщик обязан: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Поставить Заказчику товар в срок, указанный в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п.п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 2.1. настоящего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1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Федеральный закон от 30.03.1999 г. №52-ФЗ «О санитарно-эпидемиологическом благополучии населения».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1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Постановление Прави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Передать надлежащим образом оформленные отчётные и финансовые документы в порядке и сроки, установленные договором.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Гарантировать качество поставляемого Товара и предоставить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копии сертификатов соответствия, копии гарантийных документов.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Заменить Товар ввиду его ненадлежащего качества, в случае обнаружения в поставленном Товаре недостатков, недостач (некомплектности) или иных несоответствий условиям Договора в порядке, установленном разделом 5 договора.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Передать Заказчику надлежаще оформленные документы: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1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товарные накладные;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1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- счет;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Поставщик имеет право: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Требовать от Заказчика подписания документов об исполнении им обязательств по договору.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Требовать от Заказчика оплаты по настоящему Договору в случае полного исполнения обязательств по настоящему Договору.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Поставщик вправе осуществить досрочную поставку товара по согласованию с Заказчиком.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Цена договора и порядок расчетов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Цена по настоящему договору составляет ______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    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Общая стоимость Договора является твердой (п. 2 ст. 34 44-ФЗ) в течение всего периода исполнения обязательств, за исключением установленных Федеральным законом № 44-ФЗ случаев.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 предложению Заказчика возможно увеличение предусмотренного договором количества товара не более чем на десять проц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ентов или уменьшение предусмотренного договором количества поставляемого товара не более чем на десять процентов. При этом по соглашению сторон допускается изменение с учётом положений бюджетного законодательства РФ цены договора пропорционально дополнител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ьному количеству товара исходя из установленной в договоре цены единицы товара, но не более чем на десять процентов цены договора. При уменьшении предусмотренного договором количества товара Стороны обязаны уменьшить цену договора исходя из единицы товара.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bookmarkStart w:id="0" w:name="_Hlk175657784"/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shd w:val="clear" w:color="auto" w:fill="ffffff"/>
        </w:rPr>
        <w:t xml:space="preserve">Заказчик оплачивает товар после поставки и подписании товарной накладной, в размере 100% от общей суммы, указанной в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shd w:val="clear" w:color="auto" w:fill="ffffff"/>
        </w:rPr>
        <w:t xml:space="preserve">п.п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shd w:val="clear" w:color="auto" w:fill="ffffff"/>
        </w:rPr>
        <w:t xml:space="preserve">. 4.1 настоящего договора, в течении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shd w:val="clear" w:color="auto" w:fill="ffffff"/>
        </w:rPr>
        <w:t xml:space="preserve">10 рабочих дней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shd w:val="clear" w:color="auto" w:fill="ffffff"/>
        </w:rPr>
        <w:t xml:space="preserve">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  <w:t xml:space="preserve">Основанием для оплаты оказанных Услуг являются выставленные Заказчику счет, товарная накладная или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  <w:t xml:space="preserve">УПД и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  <w:t xml:space="preserve"> подписанный сторонами Акт об оказанных услугах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shd w:val="clear" w:color="auto" w:fill="ffffff"/>
        </w:rPr>
        <w:t xml:space="preserve">.</w:t>
      </w:r>
      <w:bookmarkEnd w:id="0"/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Днем оплаты считается дата поступления денежных средств на расчетный счет Поставщика. Ответственность за надлежащее оформление платежного поручения банку на перевод денежных средств лежит на Заказчике.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Порядок сдачи-приёмки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Поставщик за 2 рабочих дня извещает Заказчика о поставке товара письменно, либо по тел./ факсу, электронной почте.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Доставка Товара производится силами и средствами Поставщика.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обеспечивающие принятие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товара.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 окончании поставки товара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Поставщик передаёт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Заказчику товарные накладные.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Заказчик, приступает к проверке и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приёмке поставленного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товара. Приёмка товара осуществляется в течение 5 рабочих дней, в которые включено время проведения экспертизы.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Поставщик обязан устранить все обнаруженные недостатки своими силами и за свой счёт в сроки, указанные в рекламационном акте.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0"/>
          <w:numId w:val="0"/>
        </w:numPr>
        <w:ind w:firstLine="567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br w:type="page" w:clear="all"/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Гарантия и качество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Поставщик гарантирует качество поставляемого Товара в пределах гарантийного срока, установленного производителем.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Обнаружив после приёмки товара (в процессе эксплуатации товара) недостатки, которые не могли быть устранены при обычном способе приёмки (скрытые недостатки), Заказчик извещает об этом поставщика в течение 3 дней.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Ответственность сторон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За неисполнение или ненадлежащее исполнение своих обязательств по договору Стороны несут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ответственность в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соответствии с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Ответственность Заказчика: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 случае просрочки исполнения Заказчиком обязательств, предусмотренных договором, Поставщик вправе потребовать уплаты пеней. Пеня начисляется за каждый день просрочки исполнения обязательства, предусмотренного догов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ором, начиная со дня, следующего после дня истечения установленного договором срока исполнения обязательства. Пеня устанавливается договором в размере 1/300 действующей на дату уплаты пени ставки рефинансирования Банка России от не уплаченной в срок суммы.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 случае невыполнения, либо ненадлежащего выполнения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потребовать уплаты штрафа.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Размер штрафа устанавливается в виде фиксированной суммы и составляет 0,1 % цены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Ответственность Поставщика: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 с указанием реквизитов для перечисления денежных средств.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Пеня за просрочку исполнения обязательств (в том числе гарантийного обязательства) начисляется за каждый день просрочки исполнения Поставщиком обязательства, предусмотренного договором, в том числе за нарушение сроков поставки товара, предусмотренных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п.п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 2.1.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Пеня начисляется за каждый день пр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осрочки исполнения Поставщиком обязательства, предусмотренного договором,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договора, уменьшенной на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сумму, пропорциональную объему обязательств, предусмотренных договором и фактически исполненных Поставщиком, начиная со дня, следующего после дня истечения установленного договором срока исполнения обязательства, сроков устранения обнаруженных недостатков.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Уплата пени (неустойки) за просрочку или иное ненадлежащее исполнение обязательств по Договору, не освобождает Поставщика от исполнения этих обязательств по Договору.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Уплата штрафных санкций за нарушение обязательств по Договору производится Поставщиком на основании претензии Заказчика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путем перечислением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денежных средств на расчетный счет Заказчика.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2"/>
        <w:numPr>
          <w:ilvl w:val="2"/>
          <w:numId w:val="2"/>
        </w:numPr>
        <w:ind w:left="0" w:firstLine="567"/>
        <w:tabs>
          <w:tab w:val="left" w:pos="0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Оплата по Договору осуществл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яется путем выплаты Поставщику по Договору суммы, уменьшенной на сумму неустойки (пени, штрафа), которая подлежит перечислению в установленном порядке в доход бюджета Санкт-Петербурга на основании платежного документа, оформленного Заказчиком, с указанием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Поставщика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за которого осуществляется перечисление неустойки (пени, штрафа) в соответствии с условиями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 случае неи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сполнения, либо ненадлежащего исполнения Поставщиком обязательств по Договору Заказчик производит оплату по Договору в размере за вычетом суммы неустойки (штрафа, пеней), подлежащей уплате Поставщиком в соответствии с условиями ответственности по Договору.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При исполнении своих обязательств по дог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овору Стороны обязуются соблюдать и обеспечить соблюдение их работниками требований российского антикоррупционного законодательства. При исполнении своих обязательств по настоящему Договору, Стороны, их аффилированные лица, работники и посредники обязуются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принимать меры по недопущению любой возможности возникновения ситуаций, квалифицируемых применимым для целей настоящего Договора законодательством, как конфликт интересов, и принимать меры по предотвращению или урегулированию такого конфликта интересов. К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Обстоятельства непреодолимой силы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Ни одна из сторон не несет ответственности за полное или частичное невыполнение своих договорных обязательств, если это вызвано обстоятельствами непреодолимой силы, то есть чрезвы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чайными и непредотвратимыми при данных условиях обстоятельствами, 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К обстоятельствам непреодолимой силы не относятся, в частности, нарушение обязанностей со стороны контрагентов Поставщика, отсутствие на рынке нужных для исполнения товаров, отсутствие у Поставщика необходимых денежных средств.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При наступлении обстоятельств согласно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п.п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 8.1 договора и продолжительности действия таких обстоятельств на срок более 30 календарных дней стороны имеют право расторгнуть договор без взаимных претензий друг к другу.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Срок действия договора.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40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bookmarkStart w:id="1" w:name="_Hlk175657577"/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Настоящий Договор вступает в силу с момента его подписания Сторонами и действует до полного исполнения сторонами своих обязательств, но не позднее 31.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12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.2026 года. </w:t>
      </w:r>
      <w:bookmarkEnd w:id="1"/>
      <w:r>
        <w:rPr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Прочие условия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bookmarkStart w:id="2" w:name="_Hlk175657664"/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Вопросы, не урегулированные настоящим договором, разрешаются в соответствии с действующим законодательством РФ.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Споры, возникающие при исполнении настоящего договора, урегулируются путём переговоров. При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не достижении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Сторонами согласия спор может быть передан на рассмотрение в Арбитражный суд Санкт-Петербурга и Ленинградской области.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Договор составлен в форме электронного документа, подписанного усиленными электронными подписями Сторон. Стороны вправе изготовить копию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Договора на бумажном носителе с проставлением печатей, в 2-х экземплярах, имеющих равную юридическую силу, по одному для каждой из Сторон.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567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Изменения и дополнения к настоящему договору могут быть внесены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только путем подписания Заказчиком и Исполнителем соответствующего соглашения, являющегося неотъемлемой частью настоящего договора. Все изменения и дополнения к настоящему договору действительны, если они совершены в письменной форме и подписаны Сторонами.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0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bookmarkStart w:id="3" w:name="_Hlk175238461"/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связи, подписанными ЭП.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0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Электронный документооборот (далее – ЭДО) осуществляется по следующим основным направлениям взаимодействия: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2"/>
          <w:numId w:val="2"/>
        </w:numPr>
        <w:ind w:left="0" w:firstLine="0"/>
        <w:tabs>
          <w:tab w:val="left" w:pos="0" w:leader="none"/>
          <w:tab w:val="left" w:pos="851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Заключение, изменение, расторжение Договора и Дополнительных соглашений, с учетом Приложений.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2"/>
          <w:numId w:val="2"/>
        </w:numPr>
        <w:ind w:left="0" w:firstLine="0"/>
        <w:tabs>
          <w:tab w:val="left" w:pos="0" w:leader="none"/>
          <w:tab w:val="left" w:pos="851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Выставление и получение Счетов, универсальных передаточных документов, и иных электронных документов в сфере налогового, бухгалтерского и управленческого учета.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2"/>
          <w:numId w:val="2"/>
        </w:numPr>
        <w:ind w:left="0" w:firstLine="0"/>
        <w:tabs>
          <w:tab w:val="left" w:pos="0" w:leader="none"/>
          <w:tab w:val="left" w:pos="851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Подписание и направление Актов, в том числе актов сверки расчетов, актов выполненных работ, справок и информации о задолженности.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0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Стороны признают, что получение документов, подписанных ЭП, эквивалентно получению документов на бумажном носителе и является необходимым и достаточным условием, позволяющим установить, что ЭДО исходит от Стороны, его направившей.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1"/>
          <w:numId w:val="2"/>
        </w:numPr>
        <w:ind w:left="0" w:firstLine="0"/>
        <w:tabs>
          <w:tab w:val="left" w:pos="425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Стороны обязаны информировать друг друга о невозможности обмена д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окументами в электронном виде, подписанными ЭП, в том числе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0"/>
          <w:numId w:val="0"/>
        </w:numPr>
        <w:tabs>
          <w:tab w:val="left" w:pos="425" w:leader="none"/>
          <w:tab w:val="left" w:pos="709" w:leader="none"/>
        </w:tabs>
        <w:rPr>
          <w:rFonts w:ascii="Times New Roman" w:hAnsi="Times New Roman" w:eastAsia="Times New Roman" w:cs="Times New Roman"/>
          <w:b w:val="0"/>
          <w:bCs w:val="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Перечень вышеуказанных документов, в отношении которых Сторонами осуществляется ЭДО, является открытым.</w:t>
      </w:r>
      <w:bookmarkEnd w:id="2"/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bookmarkEnd w:id="3"/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9"/>
        <w:numPr>
          <w:ilvl w:val="0"/>
          <w:numId w:val="0"/>
        </w:numPr>
        <w:tabs>
          <w:tab w:val="left" w:pos="425" w:leader="none"/>
          <w:tab w:val="left" w:pos="709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highlight w:val="none"/>
        </w:rPr>
      </w:r>
    </w:p>
    <w:p>
      <w:pPr>
        <w:pStyle w:val="936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Место нахождения и банковские реквизиты сторон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tbl>
      <w:tblPr>
        <w:tblW w:w="957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317"/>
        <w:gridCol w:w="4262"/>
      </w:tblGrid>
      <w:tr>
        <w:tblPrEx/>
        <w:trPr>
          <w:trHeight w:val="628"/>
        </w:trPr>
        <w:tc>
          <w:tcPr>
            <w:tcW w:w="5317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ЗАКАЗЧИК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ab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ab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ab/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МОБУ «Муринская СОШ № 5»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857"/>
        </w:trPr>
        <w:tc>
          <w:tcPr>
            <w:tcW w:w="5317" w:type="dxa"/>
            <w:textDirection w:val="lrTb"/>
            <w:noWrap w:val="false"/>
          </w:tcPr>
          <w:p>
            <w:pPr>
              <w:jc w:val="left"/>
              <w:spacing w:after="0" w:line="240" w:lineRule="auto"/>
              <w:tabs>
                <w:tab w:val="left" w:pos="4678" w:leader="none"/>
              </w:tabs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Юридический адрес: 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188678, Ленинградская область, м.р-н Всеволожский, г.п. Муринское, г. Мурино, ул. Шоссе в Лаврики, д. 66 к. 2.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ИНН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4703177489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КПП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470301001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ОГРН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1204700014881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ОКПО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45344240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ОКАТО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41212504000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ОКТМО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41612103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ОКОГУ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4210007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ОКФС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14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ОКОПФ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75403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ОКВЭД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85.13, 85.14, 85.12,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.11, 68.20.2, 86.90.9, 88.91, 85.41,85.42.9, 56.29, 93.29.9, 93.19, 93.11, 91.01,90.03, 90.01, 88.10, 63.99.1, 49.31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Р/счет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03234643416120004500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40102810745370000098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Лицевые счета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20015510109, 20015410109, 21015310109 в КФ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администрации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Всеволожского муниципального района ЛО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Банк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Операционно-кассовый центр № 1 Северо-Западного главного управления Центрального банка Российской Федерации (сокращенное наименование - ОКЦ № 1 Северо-Западного ГУ Банка России)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БИК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044030098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pStyle w:val="1_1863"/>
              <w:ind w:left="-10" w:right="3058" w:firstLine="0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584"/>
        </w:trPr>
        <w:tc>
          <w:tcPr>
            <w:tcW w:w="5317" w:type="dxa"/>
            <w:textDirection w:val="lrTb"/>
            <w:noWrap w:val="false"/>
          </w:tcPr>
          <w:p>
            <w:pPr>
              <w:contextualSpacing/>
              <w:jc w:val="left"/>
              <w:keepNext/>
              <w:spacing w:line="276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lang w:val="en-US" w:eastAsia="hi-IN" w:bidi="hi-IN"/>
              </w:rPr>
              <w:t xml:space="preserve">E-mail: info@mur5.ru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contextualSpacing/>
              <w:jc w:val="left"/>
              <w:keepNext/>
              <w:spacing w:line="276" w:lineRule="auto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lang w:eastAsia="hi-IN" w:bidi="hi-IN"/>
              </w:rPr>
              <w:t xml:space="preserve">Телефон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lang w:val="en-US" w:eastAsia="hi-IN" w:bidi="hi-IN"/>
              </w:rPr>
              <w:t xml:space="preserve">: +7 (911) 080-80-37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pStyle w:val="951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527"/>
        </w:trPr>
        <w:tc>
          <w:tcPr>
            <w:tcW w:w="5317" w:type="dxa"/>
            <w:textDirection w:val="lrTb"/>
            <w:noWrap w:val="false"/>
          </w:tcPr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Директор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МОБУ «Муринская СОШ №5»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both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356"/>
        </w:trPr>
        <w:tc>
          <w:tcPr>
            <w:tcW w:w="5317" w:type="dxa"/>
            <w:textDirection w:val="lrTb"/>
            <w:noWrap w:val="false"/>
          </w:tcPr>
          <w:p>
            <w:pPr>
              <w:jc w:val="right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Г. Б.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Шенкевич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м.п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</w:tbl>
    <w:p>
      <w:pPr>
        <w:rPr>
          <w:rFonts w:ascii="Times New Roman" w:hAnsi="Times New Roman" w:cs="Times New Roman"/>
          <w:b w:val="0"/>
          <w:bCs w:val="0"/>
          <w:sz w:val="22"/>
          <w:szCs w:val="22"/>
        </w:rPr>
        <w:sectPr>
          <w:headerReference w:type="default" r:id="rId9"/>
          <w:headerReference w:type="even" r:id="rId10"/>
          <w:headerReference w:type="first" r:id="rId11"/>
          <w:footerReference w:type="default" r:id="rId14"/>
          <w:footerReference w:type="even" r:id="rId15"/>
          <w:footerReference w:type="first" r:id="rId16"/>
          <w:footnotePr/>
          <w:endnotePr/>
          <w:type w:val="nextPage"/>
          <w:pgSz w:w="11906" w:h="16838" w:orient="portrait"/>
          <w:pgMar w:top="709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7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37"/>
        <w:rPr>
          <w:rFonts w:ascii="Times New Roman" w:hAnsi="Times New Roman" w:cs="Times New Roman"/>
          <w:b w:val="0"/>
          <w:bCs w:val="0"/>
          <w:i w:val="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  <w:highlight w:val="none"/>
        </w:rPr>
        <w:t xml:space="preserve">Приложение № 1</w:t>
      </w:r>
      <w:r>
        <w:rPr>
          <w:rFonts w:ascii="Times New Roman" w:hAnsi="Times New Roman" w:cs="Times New Roman"/>
          <w:b w:val="0"/>
          <w:bCs w:val="0"/>
          <w:i w:val="0"/>
          <w:sz w:val="22"/>
          <w:szCs w:val="22"/>
          <w:highlight w:val="none"/>
        </w:rPr>
      </w:r>
    </w:p>
    <w:p>
      <w:pPr>
        <w:pStyle w:val="937"/>
        <w:rPr>
          <w:rFonts w:ascii="Times New Roman" w:hAnsi="Times New Roman" w:cs="Times New Roman"/>
          <w:b w:val="0"/>
          <w:bCs w:val="0"/>
          <w:i w:val="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  <w:highlight w:val="none"/>
        </w:rPr>
        <w:t xml:space="preserve">к договору № </w:t>
      </w:r>
      <w:r>
        <w:rPr>
          <w:rFonts w:ascii="Times New Roman" w:hAnsi="Times New Roman" w:cs="Times New Roman"/>
          <w:b w:val="0"/>
          <w:bCs w:val="0"/>
          <w:i w:val="0"/>
          <w:sz w:val="22"/>
          <w:szCs w:val="22"/>
          <w:highlight w:val="none"/>
        </w:rPr>
      </w:r>
    </w:p>
    <w:p>
      <w:pPr>
        <w:pStyle w:val="937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</w:rPr>
        <w:t xml:space="preserve">от __ ________ 2026г.</w:t>
      </w:r>
      <w:r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r>
    </w:p>
    <w:p>
      <w:pPr>
        <w:pStyle w:val="939"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Спецификация товаров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p>
      <w:pPr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tbl>
      <w:tblPr>
        <w:tblStyle w:val="959"/>
        <w:tblW w:w="14742" w:type="dxa"/>
        <w:tblInd w:w="279" w:type="dxa"/>
        <w:tblLook w:val="04A0" w:firstRow="1" w:lastRow="0" w:firstColumn="1" w:lastColumn="0" w:noHBand="0" w:noVBand="1"/>
      </w:tblPr>
      <w:tblGrid>
        <w:gridCol w:w="1844"/>
        <w:gridCol w:w="2159"/>
        <w:gridCol w:w="3019"/>
        <w:gridCol w:w="853"/>
        <w:gridCol w:w="825"/>
        <w:gridCol w:w="2923"/>
        <w:gridCol w:w="3072"/>
        <w:gridCol w:w="47"/>
      </w:tblGrid>
      <w:tr>
        <w:tblPrEx/>
        <w:trPr>
          <w:gridAfter w:val="1"/>
          <w:trHeight w:val="920"/>
        </w:trPr>
        <w:tc>
          <w:tcPr>
            <w:tcW w:w="1844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2159" w:type="dxa"/>
            <w:textDirection w:val="lrTb"/>
            <w:noWrap w:val="false"/>
          </w:tcPr>
          <w:p>
            <w:pPr>
              <w:ind w:right="102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Наименование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3019" w:type="dxa"/>
            <w:textDirection w:val="lrTb"/>
            <w:noWrap w:val="false"/>
          </w:tcPr>
          <w:p>
            <w:pPr>
              <w:ind w:right="-22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Характеристики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85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ЕД. ИЗМ.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82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КОЛ-ВО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292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ЦЕНА ЗА ЕД.,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br/>
              <w:t xml:space="preserve">руб.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307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СТОИМОСТЬ,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br/>
              <w:t xml:space="preserve">руб.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773"/>
        </w:trPr>
        <w:tc>
          <w:tcPr>
            <w:tcW w:w="1844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21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Навигация по кабинетам</w:t>
            </w:r>
            <w:r>
              <w:rPr>
                <w:rStyle w:val="990"/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 т</w:t>
            </w:r>
            <w:r>
              <w:rPr>
                <w:rStyle w:val="990"/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ип 2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30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Комплект настенных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указателей  по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индивидуальному дизайн-проекту. Указатели изготавливаются из пластика ПВХ с прямой УФ-печатью и фигурной резкой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85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825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sz w:val="22"/>
                <w:szCs w:val="22"/>
              </w:rPr>
            </w:r>
          </w:p>
        </w:tc>
        <w:tc>
          <w:tcPr>
            <w:tcW w:w="292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3072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420"/>
        </w:trPr>
        <w:tc>
          <w:tcPr>
            <w:tcW w:w="1844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gridSpan w:val="5"/>
            <w:tcW w:w="9779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ИТОГО: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gridSpan w:val="2"/>
            <w:tcW w:w="3119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</w:tr>
    </w:tbl>
    <w:p>
      <w:pPr>
        <w:pStyle w:val="929"/>
        <w:numPr>
          <w:ilvl w:val="0"/>
          <w:numId w:val="0"/>
        </w:numPr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09"/>
        <w:gridCol w:w="593"/>
        <w:gridCol w:w="6477"/>
      </w:tblGrid>
      <w:tr>
        <w:tblPrEx/>
        <w:trPr>
          <w:jc w:val="center"/>
        </w:trPr>
        <w:tc>
          <w:tcPr>
            <w:tcW w:w="690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ЗАКАЗЧИК: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59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6477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ПОСТАВЩИК: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690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Директор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МОБУ «Муринская СОШ № 5»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593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64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W w:w="6909" w:type="dxa"/>
            <w:textDirection w:val="lrTb"/>
            <w:noWrap w:val="false"/>
          </w:tcPr>
          <w:p>
            <w:pPr>
              <w:ind w:left="9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                                       Г. Б.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Шенкевич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5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64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jc w:val="center"/>
          <w:trHeight w:val="183"/>
        </w:trPr>
        <w:tc>
          <w:tcPr>
            <w:tcW w:w="6909" w:type="dxa"/>
            <w:textDirection w:val="lrTb"/>
            <w:noWrap w:val="false"/>
          </w:tcPr>
          <w:p>
            <w:pPr>
              <w:ind w:left="90"/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м.п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593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64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</w:tbl>
    <w:p>
      <w:pPr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sectPr>
      <w:headerReference w:type="default" r:id="rId12"/>
      <w:headerReference w:type="first" r:id="rId13"/>
      <w:footnotePr/>
      <w:endnotePr/>
      <w:type w:val="nextPage"/>
      <w:pgSz w:w="16838" w:h="11906" w:orient="landscape"/>
      <w:pgMar w:top="709" w:right="1134" w:bottom="850" w:left="1134" w:header="56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alibri Light">
    <w:panose1 w:val="020F03020202040302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</w:pPr>
    <w:r>
      <w:fldChar w:fldCharType="begin"/>
    </w:r>
    <w:r>
      <w:instrText xml:space="preserve"> PAGE </w:instrText>
    </w:r>
    <w:r>
      <w:fldChar w:fldCharType="separate"/>
    </w:r>
    <w:r>
      <w:t xml:space="preserve">9</w:t>
    </w:r>
    <w:r>
      <w:fldChar w:fldCharType="end"/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752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929"/>
      <w:isLgl w:val="false"/>
      <w:suff w:val="tab"/>
      <w:lvlText w:val="%1."/>
      <w:lvlJc w:val="left"/>
      <w:pPr>
        <w:ind w:left="1920" w:hanging="360"/>
        <w:tabs>
          <w:tab w:val="num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num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num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num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num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num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num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num" w:pos="0" w:leader="none"/>
        </w:tabs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pStyle w:val="931"/>
      <w:isLgl w:val="false"/>
      <w:suff w:val="tab"/>
      <w:lvlText w:val="-"/>
      <w:lvlJc w:val="left"/>
      <w:pPr>
        <w:ind w:left="1287" w:hanging="36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5"/>
    <w:link w:val="752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5"/>
    <w:link w:val="753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55"/>
    <w:link w:val="754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51"/>
    <w:next w:val="75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55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51"/>
    <w:next w:val="75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51"/>
    <w:next w:val="75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5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51"/>
    <w:next w:val="75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51"/>
    <w:next w:val="75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51"/>
    <w:next w:val="75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5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751"/>
    <w:next w:val="75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55"/>
    <w:link w:val="34"/>
    <w:uiPriority w:val="10"/>
    <w:rPr>
      <w:sz w:val="48"/>
      <w:szCs w:val="48"/>
    </w:rPr>
  </w:style>
  <w:style w:type="character" w:styleId="37">
    <w:name w:val="Subtitle Char"/>
    <w:basedOn w:val="755"/>
    <w:link w:val="770"/>
    <w:uiPriority w:val="11"/>
    <w:rPr>
      <w:sz w:val="24"/>
      <w:szCs w:val="24"/>
    </w:rPr>
  </w:style>
  <w:style w:type="paragraph" w:styleId="38">
    <w:name w:val="Quote"/>
    <w:basedOn w:val="751"/>
    <w:next w:val="75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51"/>
    <w:next w:val="75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5"/>
    <w:link w:val="764"/>
    <w:uiPriority w:val="99"/>
  </w:style>
  <w:style w:type="character" w:styleId="45">
    <w:name w:val="Footer Char"/>
    <w:basedOn w:val="755"/>
    <w:link w:val="767"/>
    <w:uiPriority w:val="99"/>
  </w:style>
  <w:style w:type="character" w:styleId="47">
    <w:name w:val="Caption Char"/>
    <w:basedOn w:val="755"/>
    <w:link w:val="760"/>
    <w:uiPriority w:val="35"/>
    <w:rPr>
      <w:b/>
      <w:bCs/>
      <w:color w:val="4f81bd" w:themeColor="accent1"/>
      <w:sz w:val="18"/>
      <w:szCs w:val="18"/>
    </w:rPr>
  </w:style>
  <w:style w:type="table" w:styleId="49">
    <w:name w:val="Table Grid Light"/>
    <w:basedOn w:val="7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763"/>
    <w:uiPriority w:val="99"/>
    <w:rPr>
      <w:sz w:val="18"/>
    </w:rPr>
  </w:style>
  <w:style w:type="character" w:styleId="177">
    <w:name w:val="footnote reference"/>
    <w:basedOn w:val="755"/>
    <w:uiPriority w:val="99"/>
    <w:unhideWhenUsed/>
    <w:rPr>
      <w:vertAlign w:val="superscript"/>
    </w:rPr>
  </w:style>
  <w:style w:type="paragraph" w:styleId="178">
    <w:name w:val="endnote text"/>
    <w:basedOn w:val="75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55"/>
    <w:uiPriority w:val="99"/>
    <w:semiHidden/>
    <w:unhideWhenUsed/>
    <w:rPr>
      <w:vertAlign w:val="superscript"/>
    </w:rPr>
  </w:style>
  <w:style w:type="paragraph" w:styleId="181">
    <w:name w:val="toc 1"/>
    <w:basedOn w:val="751"/>
    <w:next w:val="75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51"/>
    <w:next w:val="75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51"/>
    <w:next w:val="75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51"/>
    <w:next w:val="75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51"/>
    <w:next w:val="75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51"/>
    <w:next w:val="75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51"/>
    <w:next w:val="75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51"/>
    <w:next w:val="75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51"/>
    <w:next w:val="75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51"/>
    <w:next w:val="751"/>
    <w:uiPriority w:val="99"/>
    <w:unhideWhenUsed/>
    <w:pPr>
      <w:spacing w:after="0" w:afterAutospacing="0"/>
    </w:pPr>
  </w:style>
  <w:style w:type="paragraph" w:styleId="751" w:default="1">
    <w:name w:val="Normal"/>
    <w:qFormat/>
    <w:pPr>
      <w:jc w:val="center"/>
    </w:pPr>
    <w:rPr>
      <w:sz w:val="28"/>
      <w:szCs w:val="28"/>
      <w:lang w:eastAsia="zh-CN"/>
    </w:rPr>
  </w:style>
  <w:style w:type="paragraph" w:styleId="752">
    <w:name w:val="Heading 1"/>
    <w:basedOn w:val="751"/>
    <w:next w:val="751"/>
    <w:uiPriority w:val="9"/>
    <w:qFormat/>
    <w:pPr>
      <w:numPr>
        <w:ilvl w:val="0"/>
        <w:numId w:val="1"/>
      </w:numPr>
      <w:jc w:val="left"/>
      <w:keepNext/>
      <w:spacing w:before="240" w:after="60"/>
      <w:widowControl w:val="off"/>
      <w:tabs>
        <w:tab w:val="left" w:pos="0" w:leader="none"/>
      </w:tabs>
      <w:outlineLvl w:val="0"/>
    </w:pPr>
    <w:rPr>
      <w:rFonts w:ascii="Cambria" w:hAnsi="Cambria" w:cs="Cambria"/>
      <w:b/>
      <w:bCs/>
      <w:sz w:val="32"/>
      <w:szCs w:val="32"/>
    </w:rPr>
  </w:style>
  <w:style w:type="paragraph" w:styleId="753">
    <w:name w:val="Heading 2"/>
    <w:basedOn w:val="751"/>
    <w:link w:val="957"/>
    <w:uiPriority w:val="9"/>
    <w:qFormat/>
    <w:pPr>
      <w:jc w:val="left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754">
    <w:name w:val="Heading 3"/>
    <w:basedOn w:val="751"/>
    <w:next w:val="751"/>
    <w:link w:val="958"/>
    <w:uiPriority w:val="9"/>
    <w:semiHidden/>
    <w:unhideWhenUsed/>
    <w:qFormat/>
    <w:pPr>
      <w:jc w:val="left"/>
      <w:keepLines/>
      <w:keepNext/>
      <w:spacing w:before="40" w:line="259" w:lineRule="auto"/>
      <w:outlineLvl w:val="2"/>
    </w:pPr>
    <w:rPr>
      <w:rFonts w:ascii="Calibri Light" w:hAnsi="Calibri Light"/>
      <w:color w:val="1f3763"/>
      <w:sz w:val="24"/>
      <w:szCs w:val="24"/>
      <w:lang w:eastAsia="en-US"/>
    </w:rPr>
  </w:style>
  <w:style w:type="character" w:styleId="755" w:default="1">
    <w:name w:val="Default Paragraph Font"/>
    <w:uiPriority w:val="1"/>
    <w:semiHidden/>
    <w:unhideWhenUsed/>
  </w:style>
  <w:style w:type="table" w:styleId="7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7" w:default="1">
    <w:name w:val="No List"/>
    <w:uiPriority w:val="99"/>
    <w:semiHidden/>
    <w:unhideWhenUsed/>
  </w:style>
  <w:style w:type="character" w:styleId="758">
    <w:name w:val="Hyperlink"/>
    <w:uiPriority w:val="99"/>
    <w:rPr>
      <w:color w:val="0000ff"/>
      <w:u w:val="single"/>
    </w:rPr>
  </w:style>
  <w:style w:type="paragraph" w:styleId="759">
    <w:name w:val="Balloon Text"/>
    <w:basedOn w:val="751"/>
    <w:uiPriority w:val="99"/>
    <w:rPr>
      <w:rFonts w:ascii="Tahoma" w:hAnsi="Tahoma" w:cs="Tahoma"/>
      <w:sz w:val="16"/>
      <w:szCs w:val="16"/>
    </w:rPr>
  </w:style>
  <w:style w:type="paragraph" w:styleId="760">
    <w:name w:val="Caption"/>
    <w:basedOn w:val="751"/>
    <w:qFormat/>
    <w:pPr>
      <w:spacing w:before="120" w:after="120"/>
      <w:suppressLineNumbers/>
    </w:pPr>
    <w:rPr>
      <w:rFonts w:cs="Arial Unicode MS"/>
      <w:i/>
      <w:iCs/>
      <w:sz w:val="24"/>
      <w:szCs w:val="24"/>
    </w:rPr>
  </w:style>
  <w:style w:type="paragraph" w:styleId="761">
    <w:name w:val="annotation subject"/>
    <w:basedOn w:val="762"/>
    <w:next w:val="762"/>
    <w:rPr>
      <w:b/>
      <w:bCs/>
    </w:rPr>
  </w:style>
  <w:style w:type="paragraph" w:styleId="762" w:customStyle="1">
    <w:name w:val="Текст примечания1"/>
    <w:basedOn w:val="751"/>
    <w:rPr>
      <w:sz w:val="20"/>
      <w:szCs w:val="20"/>
    </w:rPr>
  </w:style>
  <w:style w:type="paragraph" w:styleId="763">
    <w:name w:val="footnote text"/>
    <w:basedOn w:val="751"/>
    <w:rPr>
      <w:sz w:val="20"/>
      <w:szCs w:val="20"/>
    </w:rPr>
  </w:style>
  <w:style w:type="paragraph" w:styleId="764">
    <w:name w:val="Header"/>
    <w:basedOn w:val="751"/>
    <w:uiPriority w:val="99"/>
    <w:rPr>
      <w:rFonts w:ascii="Calibri" w:hAnsi="Calibri" w:cs="Calibri"/>
      <w:sz w:val="20"/>
      <w:szCs w:val="20"/>
    </w:rPr>
  </w:style>
  <w:style w:type="paragraph" w:styleId="765">
    <w:name w:val="Body Text"/>
    <w:basedOn w:val="751"/>
    <w:pPr>
      <w:jc w:val="left"/>
      <w:spacing w:after="120" w:line="100" w:lineRule="atLeast"/>
    </w:pPr>
    <w:rPr>
      <w:sz w:val="24"/>
      <w:szCs w:val="24"/>
      <w:lang w:bidi="hi-IN"/>
    </w:rPr>
  </w:style>
  <w:style w:type="paragraph" w:styleId="766">
    <w:name w:val="Body Text Indent"/>
    <w:basedOn w:val="751"/>
    <w:pPr>
      <w:ind w:left="283" w:firstLine="709"/>
      <w:jc w:val="both"/>
      <w:spacing w:line="100" w:lineRule="atLeast"/>
      <w:tabs>
        <w:tab w:val="left" w:pos="0" w:leader="none"/>
        <w:tab w:val="left" w:pos="1080" w:leader="none"/>
      </w:tabs>
    </w:pPr>
    <w:rPr>
      <w:sz w:val="24"/>
      <w:szCs w:val="24"/>
      <w:lang w:bidi="hi-IN"/>
    </w:rPr>
  </w:style>
  <w:style w:type="paragraph" w:styleId="767">
    <w:name w:val="Footer"/>
    <w:basedOn w:val="751"/>
    <w:uiPriority w:val="99"/>
    <w:pPr>
      <w:tabs>
        <w:tab w:val="center" w:pos="4677" w:leader="none"/>
        <w:tab w:val="right" w:pos="9355" w:leader="none"/>
      </w:tabs>
    </w:pPr>
    <w:rPr>
      <w:szCs w:val="20"/>
    </w:rPr>
  </w:style>
  <w:style w:type="paragraph" w:styleId="768">
    <w:name w:val="List"/>
    <w:basedOn w:val="765"/>
    <w:rPr>
      <w:rFonts w:cs="Arial"/>
    </w:rPr>
  </w:style>
  <w:style w:type="paragraph" w:styleId="769">
    <w:name w:val="Normal (Web)"/>
    <w:basedOn w:val="751"/>
    <w:uiPriority w:val="99"/>
    <w:pPr>
      <w:jc w:val="left"/>
      <w:spacing w:before="280" w:after="280"/>
    </w:pPr>
    <w:rPr>
      <w:sz w:val="24"/>
      <w:szCs w:val="24"/>
    </w:rPr>
  </w:style>
  <w:style w:type="paragraph" w:styleId="770">
    <w:name w:val="Subtitle"/>
    <w:basedOn w:val="751"/>
    <w:next w:val="765"/>
    <w:qFormat/>
    <w:rPr>
      <w:b/>
      <w:sz w:val="48"/>
      <w:szCs w:val="20"/>
    </w:rPr>
  </w:style>
  <w:style w:type="character" w:styleId="771" w:customStyle="1">
    <w:name w:val="WW8Num1z0"/>
  </w:style>
  <w:style w:type="character" w:styleId="772" w:customStyle="1">
    <w:name w:val="WW8Num1z1"/>
  </w:style>
  <w:style w:type="character" w:styleId="773" w:customStyle="1">
    <w:name w:val="WW8Num1z2"/>
  </w:style>
  <w:style w:type="character" w:styleId="774" w:customStyle="1">
    <w:name w:val="WW8Num1z3"/>
  </w:style>
  <w:style w:type="character" w:styleId="775" w:customStyle="1">
    <w:name w:val="WW8Num1z4"/>
  </w:style>
  <w:style w:type="character" w:styleId="776" w:customStyle="1">
    <w:name w:val="WW8Num1z5"/>
  </w:style>
  <w:style w:type="character" w:styleId="777" w:customStyle="1">
    <w:name w:val="WW8Num1z6"/>
  </w:style>
  <w:style w:type="character" w:styleId="778" w:customStyle="1">
    <w:name w:val="WW8Num1z7"/>
  </w:style>
  <w:style w:type="character" w:styleId="779" w:customStyle="1">
    <w:name w:val="WW8Num1z8"/>
  </w:style>
  <w:style w:type="character" w:styleId="780" w:customStyle="1">
    <w:name w:val="WW8Num2z0"/>
    <w:rPr>
      <w:rFonts w:ascii="Times New Roman" w:hAnsi="Times New Roman" w:eastAsia="Times New Roman" w:cs="Times New Roman"/>
      <w:i w:val="0"/>
      <w:sz w:val="26"/>
      <w:szCs w:val="26"/>
    </w:rPr>
  </w:style>
  <w:style w:type="character" w:styleId="781" w:customStyle="1">
    <w:name w:val="WW8Num2z1"/>
    <w:rPr>
      <w:sz w:val="26"/>
      <w:szCs w:val="26"/>
    </w:rPr>
  </w:style>
  <w:style w:type="character" w:styleId="782" w:customStyle="1">
    <w:name w:val="WW8Num2z2"/>
    <w:rPr>
      <w:rFonts w:hint="default"/>
      <w:sz w:val="26"/>
      <w:szCs w:val="26"/>
    </w:rPr>
  </w:style>
  <w:style w:type="character" w:styleId="783" w:customStyle="1">
    <w:name w:val="WW8Num2z3"/>
    <w:rPr>
      <w:rFonts w:hint="default"/>
    </w:rPr>
  </w:style>
  <w:style w:type="character" w:styleId="784" w:customStyle="1">
    <w:name w:val="WW8Num3z0"/>
    <w:rPr>
      <w:rFonts w:hint="default" w:ascii="Times New Roman" w:hAnsi="Times New Roman" w:cs="Times New Roman"/>
    </w:rPr>
  </w:style>
  <w:style w:type="character" w:styleId="785" w:customStyle="1">
    <w:name w:val="Основной шрифт абзаца3"/>
  </w:style>
  <w:style w:type="character" w:styleId="786" w:customStyle="1">
    <w:name w:val="Основной шрифт абзаца2"/>
  </w:style>
  <w:style w:type="character" w:styleId="787" w:customStyle="1">
    <w:name w:val="WW8Num4z0"/>
    <w:rPr>
      <w:rFonts w:hint="default"/>
    </w:rPr>
  </w:style>
  <w:style w:type="character" w:styleId="788" w:customStyle="1">
    <w:name w:val="WW8Num4z1"/>
  </w:style>
  <w:style w:type="character" w:styleId="789" w:customStyle="1">
    <w:name w:val="WW8Num4z2"/>
  </w:style>
  <w:style w:type="character" w:styleId="790" w:customStyle="1">
    <w:name w:val="WW8Num4z3"/>
  </w:style>
  <w:style w:type="character" w:styleId="791" w:customStyle="1">
    <w:name w:val="WW8Num4z4"/>
  </w:style>
  <w:style w:type="character" w:styleId="792" w:customStyle="1">
    <w:name w:val="WW8Num4z5"/>
  </w:style>
  <w:style w:type="character" w:styleId="793" w:customStyle="1">
    <w:name w:val="WW8Num4z6"/>
  </w:style>
  <w:style w:type="character" w:styleId="794" w:customStyle="1">
    <w:name w:val="WW8Num4z7"/>
  </w:style>
  <w:style w:type="character" w:styleId="795" w:customStyle="1">
    <w:name w:val="WW8Num4z8"/>
  </w:style>
  <w:style w:type="character" w:styleId="796" w:customStyle="1">
    <w:name w:val="WW8Num5z0"/>
    <w:rPr>
      <w:rFonts w:hint="default"/>
    </w:rPr>
  </w:style>
  <w:style w:type="character" w:styleId="797" w:customStyle="1">
    <w:name w:val="WW8Num5z1"/>
  </w:style>
  <w:style w:type="character" w:styleId="798" w:customStyle="1">
    <w:name w:val="WW8Num5z2"/>
  </w:style>
  <w:style w:type="character" w:styleId="799" w:customStyle="1">
    <w:name w:val="WW8Num5z3"/>
  </w:style>
  <w:style w:type="character" w:styleId="800" w:customStyle="1">
    <w:name w:val="WW8Num5z4"/>
  </w:style>
  <w:style w:type="character" w:styleId="801" w:customStyle="1">
    <w:name w:val="WW8Num5z5"/>
  </w:style>
  <w:style w:type="character" w:styleId="802" w:customStyle="1">
    <w:name w:val="WW8Num5z6"/>
  </w:style>
  <w:style w:type="character" w:styleId="803" w:customStyle="1">
    <w:name w:val="WW8Num5z7"/>
  </w:style>
  <w:style w:type="character" w:styleId="804" w:customStyle="1">
    <w:name w:val="WW8Num5z8"/>
  </w:style>
  <w:style w:type="character" w:styleId="805" w:customStyle="1">
    <w:name w:val="WW8Num6z0"/>
    <w:rPr>
      <w:rFonts w:hint="default"/>
    </w:rPr>
  </w:style>
  <w:style w:type="character" w:styleId="806" w:customStyle="1">
    <w:name w:val="WW8Num6z1"/>
  </w:style>
  <w:style w:type="character" w:styleId="807" w:customStyle="1">
    <w:name w:val="WW8Num6z2"/>
  </w:style>
  <w:style w:type="character" w:styleId="808" w:customStyle="1">
    <w:name w:val="WW8Num6z3"/>
  </w:style>
  <w:style w:type="character" w:styleId="809" w:customStyle="1">
    <w:name w:val="WW8Num6z4"/>
  </w:style>
  <w:style w:type="character" w:styleId="810" w:customStyle="1">
    <w:name w:val="WW8Num6z5"/>
  </w:style>
  <w:style w:type="character" w:styleId="811" w:customStyle="1">
    <w:name w:val="WW8Num6z6"/>
  </w:style>
  <w:style w:type="character" w:styleId="812" w:customStyle="1">
    <w:name w:val="WW8Num6z7"/>
  </w:style>
  <w:style w:type="character" w:styleId="813" w:customStyle="1">
    <w:name w:val="WW8Num6z8"/>
  </w:style>
  <w:style w:type="character" w:styleId="814" w:customStyle="1">
    <w:name w:val="WW8Num7z0"/>
    <w:rPr>
      <w:rFonts w:hint="default" w:eastAsia="Times New Roman"/>
      <w:color w:val="000000"/>
    </w:rPr>
  </w:style>
  <w:style w:type="character" w:styleId="815" w:customStyle="1">
    <w:name w:val="WW8Num7z1"/>
  </w:style>
  <w:style w:type="character" w:styleId="816" w:customStyle="1">
    <w:name w:val="WW8Num7z2"/>
  </w:style>
  <w:style w:type="character" w:styleId="817" w:customStyle="1">
    <w:name w:val="WW8Num7z3"/>
  </w:style>
  <w:style w:type="character" w:styleId="818" w:customStyle="1">
    <w:name w:val="WW8Num7z4"/>
  </w:style>
  <w:style w:type="character" w:styleId="819" w:customStyle="1">
    <w:name w:val="WW8Num7z5"/>
  </w:style>
  <w:style w:type="character" w:styleId="820" w:customStyle="1">
    <w:name w:val="WW8Num7z6"/>
  </w:style>
  <w:style w:type="character" w:styleId="821" w:customStyle="1">
    <w:name w:val="WW8Num7z7"/>
  </w:style>
  <w:style w:type="character" w:styleId="822" w:customStyle="1">
    <w:name w:val="WW8Num7z8"/>
  </w:style>
  <w:style w:type="character" w:styleId="823" w:customStyle="1">
    <w:name w:val="WW8Num8z0"/>
    <w:rPr>
      <w:rFonts w:hint="default"/>
    </w:rPr>
  </w:style>
  <w:style w:type="character" w:styleId="824" w:customStyle="1">
    <w:name w:val="WW8Num9z0"/>
    <w:rPr>
      <w:rFonts w:hint="default"/>
    </w:rPr>
  </w:style>
  <w:style w:type="character" w:styleId="825" w:customStyle="1">
    <w:name w:val="WW8Num9z1"/>
  </w:style>
  <w:style w:type="character" w:styleId="826" w:customStyle="1">
    <w:name w:val="WW8Num9z2"/>
  </w:style>
  <w:style w:type="character" w:styleId="827" w:customStyle="1">
    <w:name w:val="WW8Num9z3"/>
  </w:style>
  <w:style w:type="character" w:styleId="828" w:customStyle="1">
    <w:name w:val="WW8Num9z4"/>
  </w:style>
  <w:style w:type="character" w:styleId="829" w:customStyle="1">
    <w:name w:val="WW8Num9z5"/>
  </w:style>
  <w:style w:type="character" w:styleId="830" w:customStyle="1">
    <w:name w:val="WW8Num9z6"/>
  </w:style>
  <w:style w:type="character" w:styleId="831" w:customStyle="1">
    <w:name w:val="WW8Num9z7"/>
  </w:style>
  <w:style w:type="character" w:styleId="832" w:customStyle="1">
    <w:name w:val="WW8Num9z8"/>
  </w:style>
  <w:style w:type="character" w:styleId="833" w:customStyle="1">
    <w:name w:val="WW8Num10z0"/>
    <w:rPr>
      <w:rFonts w:ascii="Times New Roman" w:hAnsi="Times New Roman" w:eastAsia="Times New Roman" w:cs="Times New Roman"/>
      <w:i w:val="0"/>
      <w:sz w:val="26"/>
      <w:szCs w:val="26"/>
    </w:rPr>
  </w:style>
  <w:style w:type="character" w:styleId="834" w:customStyle="1">
    <w:name w:val="WW8Num10z1"/>
    <w:rPr>
      <w:sz w:val="26"/>
      <w:szCs w:val="26"/>
    </w:rPr>
  </w:style>
  <w:style w:type="character" w:styleId="835" w:customStyle="1">
    <w:name w:val="WW8Num10z2"/>
    <w:rPr>
      <w:rFonts w:hint="default"/>
      <w:sz w:val="26"/>
      <w:szCs w:val="26"/>
    </w:rPr>
  </w:style>
  <w:style w:type="character" w:styleId="836" w:customStyle="1">
    <w:name w:val="WW8Num10z3"/>
    <w:rPr>
      <w:rFonts w:hint="default"/>
    </w:rPr>
  </w:style>
  <w:style w:type="character" w:styleId="837" w:customStyle="1">
    <w:name w:val="WW8Num11z0"/>
    <w:rPr>
      <w:rFonts w:hint="default"/>
    </w:rPr>
  </w:style>
  <w:style w:type="character" w:styleId="838" w:customStyle="1">
    <w:name w:val="WW8Num12z0"/>
    <w:rPr>
      <w:rFonts w:hint="default"/>
    </w:rPr>
  </w:style>
  <w:style w:type="character" w:styleId="839" w:customStyle="1">
    <w:name w:val="WW8Num12z1"/>
    <w:rPr>
      <w:rFonts w:hint="default"/>
      <w:b w:val="0"/>
    </w:rPr>
  </w:style>
  <w:style w:type="character" w:styleId="840" w:customStyle="1">
    <w:name w:val="WW8Num13z0"/>
    <w:rPr>
      <w:rFonts w:hint="default" w:ascii="Times New Roman" w:hAnsi="Times New Roman" w:cs="Times New Roman"/>
    </w:rPr>
  </w:style>
  <w:style w:type="character" w:styleId="841" w:customStyle="1">
    <w:name w:val="WW8Num13z1"/>
    <w:rPr>
      <w:rFonts w:hint="default" w:ascii="Courier New" w:hAnsi="Courier New" w:cs="Courier New"/>
    </w:rPr>
  </w:style>
  <w:style w:type="character" w:styleId="842" w:customStyle="1">
    <w:name w:val="WW8Num13z2"/>
    <w:rPr>
      <w:rFonts w:hint="default" w:ascii="Wingdings" w:hAnsi="Wingdings" w:cs="Wingdings"/>
    </w:rPr>
  </w:style>
  <w:style w:type="character" w:styleId="843" w:customStyle="1">
    <w:name w:val="WW8Num13z3"/>
    <w:rPr>
      <w:rFonts w:hint="default" w:ascii="Symbol" w:hAnsi="Symbol" w:cs="Symbol"/>
    </w:rPr>
  </w:style>
  <w:style w:type="character" w:styleId="844" w:customStyle="1">
    <w:name w:val="WW8Num14z0"/>
    <w:rPr>
      <w:rFonts w:hint="default"/>
    </w:rPr>
  </w:style>
  <w:style w:type="character" w:styleId="845" w:customStyle="1">
    <w:name w:val="WW8Num14z1"/>
    <w:rPr>
      <w:rFonts w:ascii="Times New Roman" w:hAnsi="Times New Roman" w:eastAsia="Times New Roman" w:cs="Times New Roman"/>
    </w:rPr>
  </w:style>
  <w:style w:type="character" w:styleId="846" w:customStyle="1">
    <w:name w:val="WW8Num15z0"/>
    <w:rPr>
      <w:rFonts w:ascii="Times New Roman" w:hAnsi="Times New Roman" w:eastAsia="Times New Roman" w:cs="Times New Roman"/>
    </w:rPr>
  </w:style>
  <w:style w:type="character" w:styleId="847" w:customStyle="1">
    <w:name w:val="WW8Num15z1"/>
  </w:style>
  <w:style w:type="character" w:styleId="848" w:customStyle="1">
    <w:name w:val="WW8Num15z2"/>
  </w:style>
  <w:style w:type="character" w:styleId="849" w:customStyle="1">
    <w:name w:val="WW8Num15z3"/>
  </w:style>
  <w:style w:type="character" w:styleId="850" w:customStyle="1">
    <w:name w:val="WW8Num15z4"/>
  </w:style>
  <w:style w:type="character" w:styleId="851" w:customStyle="1">
    <w:name w:val="WW8Num15z5"/>
  </w:style>
  <w:style w:type="character" w:styleId="852" w:customStyle="1">
    <w:name w:val="WW8Num15z6"/>
  </w:style>
  <w:style w:type="character" w:styleId="853" w:customStyle="1">
    <w:name w:val="WW8Num15z7"/>
  </w:style>
  <w:style w:type="character" w:styleId="854" w:customStyle="1">
    <w:name w:val="WW8Num15z8"/>
  </w:style>
  <w:style w:type="character" w:styleId="855" w:customStyle="1">
    <w:name w:val="WW8Num16z0"/>
    <w:rPr>
      <w:rFonts w:hint="default" w:ascii="Times New Roman" w:hAnsi="Times New Roman" w:cs="Times New Roman"/>
    </w:rPr>
  </w:style>
  <w:style w:type="character" w:styleId="856" w:customStyle="1">
    <w:name w:val="WW8Num17z0"/>
  </w:style>
  <w:style w:type="character" w:styleId="857" w:customStyle="1">
    <w:name w:val="WW8Num17z1"/>
  </w:style>
  <w:style w:type="character" w:styleId="858" w:customStyle="1">
    <w:name w:val="WW8Num17z2"/>
  </w:style>
  <w:style w:type="character" w:styleId="859" w:customStyle="1">
    <w:name w:val="WW8Num17z3"/>
  </w:style>
  <w:style w:type="character" w:styleId="860" w:customStyle="1">
    <w:name w:val="WW8Num17z4"/>
  </w:style>
  <w:style w:type="character" w:styleId="861" w:customStyle="1">
    <w:name w:val="WW8Num17z5"/>
  </w:style>
  <w:style w:type="character" w:styleId="862" w:customStyle="1">
    <w:name w:val="WW8Num17z6"/>
  </w:style>
  <w:style w:type="character" w:styleId="863" w:customStyle="1">
    <w:name w:val="WW8Num17z7"/>
  </w:style>
  <w:style w:type="character" w:styleId="864" w:customStyle="1">
    <w:name w:val="WW8Num17z8"/>
  </w:style>
  <w:style w:type="character" w:styleId="865" w:customStyle="1">
    <w:name w:val="WW8Num18z0"/>
  </w:style>
  <w:style w:type="character" w:styleId="866" w:customStyle="1">
    <w:name w:val="WW8Num18z1"/>
  </w:style>
  <w:style w:type="character" w:styleId="867" w:customStyle="1">
    <w:name w:val="WW8Num18z2"/>
  </w:style>
  <w:style w:type="character" w:styleId="868" w:customStyle="1">
    <w:name w:val="WW8Num18z3"/>
  </w:style>
  <w:style w:type="character" w:styleId="869" w:customStyle="1">
    <w:name w:val="WW8Num18z4"/>
  </w:style>
  <w:style w:type="character" w:styleId="870" w:customStyle="1">
    <w:name w:val="WW8Num18z5"/>
  </w:style>
  <w:style w:type="character" w:styleId="871" w:customStyle="1">
    <w:name w:val="WW8Num18z6"/>
  </w:style>
  <w:style w:type="character" w:styleId="872" w:customStyle="1">
    <w:name w:val="WW8Num18z7"/>
  </w:style>
  <w:style w:type="character" w:styleId="873" w:customStyle="1">
    <w:name w:val="WW8Num18z8"/>
  </w:style>
  <w:style w:type="character" w:styleId="874" w:customStyle="1">
    <w:name w:val="WW8Num19z0"/>
  </w:style>
  <w:style w:type="character" w:styleId="875" w:customStyle="1">
    <w:name w:val="WW8Num19z1"/>
  </w:style>
  <w:style w:type="character" w:styleId="876" w:customStyle="1">
    <w:name w:val="WW8Num19z2"/>
  </w:style>
  <w:style w:type="character" w:styleId="877" w:customStyle="1">
    <w:name w:val="WW8Num19z3"/>
  </w:style>
  <w:style w:type="character" w:styleId="878" w:customStyle="1">
    <w:name w:val="WW8Num19z4"/>
  </w:style>
  <w:style w:type="character" w:styleId="879" w:customStyle="1">
    <w:name w:val="WW8Num19z5"/>
  </w:style>
  <w:style w:type="character" w:styleId="880" w:customStyle="1">
    <w:name w:val="WW8Num19z6"/>
  </w:style>
  <w:style w:type="character" w:styleId="881" w:customStyle="1">
    <w:name w:val="WW8Num19z7"/>
  </w:style>
  <w:style w:type="character" w:styleId="882" w:customStyle="1">
    <w:name w:val="WW8Num19z8"/>
  </w:style>
  <w:style w:type="character" w:styleId="883" w:customStyle="1">
    <w:name w:val="WW8Num20z0"/>
    <w:rPr>
      <w:rFonts w:hint="default"/>
    </w:rPr>
  </w:style>
  <w:style w:type="character" w:styleId="884" w:customStyle="1">
    <w:name w:val="Основной шрифт абзаца1"/>
  </w:style>
  <w:style w:type="character" w:styleId="885" w:customStyle="1">
    <w:name w:val="Подзаголовок Знак"/>
    <w:rPr>
      <w:rFonts w:ascii="Times New Roman" w:hAnsi="Times New Roman" w:eastAsia="Times New Roman" w:cs="Times New Roman"/>
      <w:b/>
      <w:sz w:val="48"/>
      <w:szCs w:val="20"/>
    </w:rPr>
  </w:style>
  <w:style w:type="character" w:styleId="886" w:customStyle="1">
    <w:name w:val="Абзац списка Знак"/>
    <w:rPr>
      <w:rFonts w:ascii="Times New Roman" w:hAnsi="Times New Roman" w:eastAsia="Times New Roman" w:cs="Times New Roman"/>
      <w:sz w:val="28"/>
      <w:szCs w:val="20"/>
    </w:rPr>
  </w:style>
  <w:style w:type="character" w:styleId="887" w:customStyle="1">
    <w:name w:val="пункт Знак"/>
    <w:rPr>
      <w:rFonts w:ascii="Times New Roman" w:hAnsi="Times New Roman" w:eastAsia="Times New Roman" w:cs="Times New Roman"/>
      <w:sz w:val="24"/>
      <w:szCs w:val="24"/>
    </w:rPr>
  </w:style>
  <w:style w:type="character" w:styleId="888" w:customStyle="1">
    <w:name w:val="абзац Знак"/>
    <w:rPr>
      <w:rFonts w:ascii="Times New Roman" w:hAnsi="Times New Roman" w:eastAsia="Times New Roman" w:cs="Times New Roman"/>
      <w:sz w:val="26"/>
      <w:szCs w:val="26"/>
    </w:rPr>
  </w:style>
  <w:style w:type="character" w:styleId="889" w:customStyle="1">
    <w:name w:val="подпункт Знак"/>
    <w:rPr>
      <w:rFonts w:ascii="Times New Roman" w:hAnsi="Times New Roman" w:eastAsia="Times New Roman" w:cs="Times New Roman"/>
      <w:sz w:val="26"/>
      <w:szCs w:val="26"/>
    </w:rPr>
  </w:style>
  <w:style w:type="character" w:styleId="890" w:customStyle="1">
    <w:name w:val="Текст выноски Знак"/>
    <w:uiPriority w:val="99"/>
    <w:rPr>
      <w:rFonts w:ascii="Tahoma" w:hAnsi="Tahoma" w:eastAsia="Times New Roman" w:cs="Tahoma"/>
      <w:sz w:val="16"/>
      <w:szCs w:val="16"/>
    </w:rPr>
  </w:style>
  <w:style w:type="character" w:styleId="891" w:customStyle="1">
    <w:name w:val="название Знак"/>
    <w:rPr>
      <w:rFonts w:ascii="Times New Roman" w:hAnsi="Times New Roman" w:eastAsia="Times New Roman" w:cs="Times New Roman"/>
      <w:sz w:val="26"/>
      <w:szCs w:val="26"/>
    </w:rPr>
  </w:style>
  <w:style w:type="character" w:styleId="892" w:customStyle="1">
    <w:name w:val="черточка Знак"/>
    <w:rPr>
      <w:rFonts w:ascii="Times New Roman" w:hAnsi="Times New Roman" w:eastAsia="Times New Roman" w:cs="Times New Roman"/>
      <w:sz w:val="24"/>
      <w:szCs w:val="26"/>
    </w:rPr>
  </w:style>
  <w:style w:type="character" w:styleId="893" w:customStyle="1">
    <w:name w:val="под1 Знак"/>
  </w:style>
  <w:style w:type="character" w:styleId="894" w:customStyle="1">
    <w:name w:val="прик Знак"/>
    <w:rPr>
      <w:rFonts w:ascii="Times New Roman" w:hAnsi="Times New Roman" w:eastAsia="Times New Roman" w:cs="Times New Roman"/>
      <w:sz w:val="24"/>
      <w:szCs w:val="24"/>
    </w:rPr>
  </w:style>
  <w:style w:type="character" w:styleId="895" w:customStyle="1">
    <w:name w:val="Верхний колонтитул Знак"/>
    <w:uiPriority w:val="99"/>
    <w:rPr>
      <w:rFonts w:ascii="Calibri" w:hAnsi="Calibri" w:eastAsia="Times New Roman" w:cs="Times New Roman"/>
    </w:rPr>
  </w:style>
  <w:style w:type="character" w:styleId="896" w:customStyle="1">
    <w:name w:val="пункты Знак"/>
    <w:rPr>
      <w:rFonts w:ascii="Times New Roman" w:hAnsi="Times New Roman" w:eastAsia="Times New Roman" w:cs="Times New Roman"/>
      <w:b/>
      <w:sz w:val="26"/>
      <w:szCs w:val="26"/>
    </w:rPr>
  </w:style>
  <w:style w:type="character" w:styleId="897" w:customStyle="1">
    <w:name w:val="приложение2 Знак"/>
    <w:rPr>
      <w:rFonts w:ascii="Times New Roman" w:hAnsi="Times New Roman" w:eastAsia="Times New Roman" w:cs="Times New Roman"/>
      <w:i/>
      <w:sz w:val="26"/>
      <w:szCs w:val="26"/>
      <w:lang w:bidi="hi-IN"/>
    </w:rPr>
  </w:style>
  <w:style w:type="character" w:styleId="898" w:customStyle="1">
    <w:name w:val="середина1 Знак"/>
    <w:rPr>
      <w:rFonts w:ascii="Times New Roman" w:hAnsi="Times New Roman" w:eastAsia="Times New Roman" w:cs="Times New Roman"/>
      <w:b/>
      <w:sz w:val="28"/>
      <w:szCs w:val="28"/>
    </w:rPr>
  </w:style>
  <w:style w:type="character" w:styleId="899" w:customStyle="1">
    <w:name w:val="текст Знак"/>
    <w:rPr>
      <w:rFonts w:ascii="Times New Roman" w:hAnsi="Times New Roman" w:eastAsia="Times New Roman" w:cs="Times New Roman"/>
      <w:sz w:val="24"/>
      <w:szCs w:val="24"/>
      <w:lang w:bidi="hi-IN"/>
    </w:rPr>
  </w:style>
  <w:style w:type="character" w:styleId="900" w:customStyle="1">
    <w:name w:val="абз Знак"/>
  </w:style>
  <w:style w:type="character" w:styleId="901" w:customStyle="1">
    <w:name w:val="приложение Знак"/>
    <w:rPr>
      <w:rFonts w:ascii="Times New Roman" w:hAnsi="Times New Roman" w:eastAsia="Times New Roman" w:cs="Times New Roman"/>
    </w:rPr>
  </w:style>
  <w:style w:type="character" w:styleId="902" w:customStyle="1">
    <w:name w:val="приложение1 Знак"/>
    <w:rPr>
      <w:rFonts w:ascii="Times New Roman" w:hAnsi="Times New Roman" w:eastAsia="Times New Roman" w:cs="Times New Roman"/>
      <w:sz w:val="28"/>
      <w:szCs w:val="28"/>
    </w:rPr>
  </w:style>
  <w:style w:type="character" w:styleId="903" w:customStyle="1">
    <w:name w:val="Нижний колонтитул Знак"/>
    <w:uiPriority w:val="99"/>
    <w:rPr>
      <w:rFonts w:ascii="Times New Roman" w:hAnsi="Times New Roman" w:eastAsia="Times New Roman" w:cs="Times New Roman"/>
      <w:sz w:val="28"/>
    </w:rPr>
  </w:style>
  <w:style w:type="character" w:styleId="904" w:customStyle="1">
    <w:name w:val="середина2 Знак"/>
    <w:rPr>
      <w:rFonts w:ascii="Times New Roman" w:hAnsi="Times New Roman" w:eastAsia="Times New Roman" w:cs="Times New Roman"/>
      <w:b w:val="0"/>
      <w:sz w:val="28"/>
      <w:szCs w:val="28"/>
    </w:rPr>
  </w:style>
  <w:style w:type="character" w:styleId="905" w:customStyle="1">
    <w:name w:val="Текст сноски Знак"/>
    <w:rPr>
      <w:rFonts w:ascii="Times New Roman" w:hAnsi="Times New Roman" w:eastAsia="Times New Roman" w:cs="Times New Roman"/>
    </w:rPr>
  </w:style>
  <w:style w:type="character" w:styleId="906" w:customStyle="1">
    <w:name w:val="Символ сноски"/>
    <w:rPr>
      <w:vertAlign w:val="superscript"/>
    </w:rPr>
  </w:style>
  <w:style w:type="character" w:styleId="907" w:customStyle="1">
    <w:name w:val="Знак примечания1"/>
    <w:rPr>
      <w:sz w:val="16"/>
      <w:szCs w:val="16"/>
    </w:rPr>
  </w:style>
  <w:style w:type="character" w:styleId="908" w:customStyle="1">
    <w:name w:val="Текст примечания Знак"/>
    <w:rPr>
      <w:rFonts w:ascii="Times New Roman" w:hAnsi="Times New Roman" w:eastAsia="Times New Roman" w:cs="Times New Roman"/>
    </w:rPr>
  </w:style>
  <w:style w:type="character" w:styleId="909" w:customStyle="1">
    <w:name w:val="Тема примечания Знак"/>
    <w:rPr>
      <w:rFonts w:ascii="Times New Roman" w:hAnsi="Times New Roman" w:eastAsia="Times New Roman" w:cs="Times New Roman"/>
      <w:b/>
      <w:bCs/>
    </w:rPr>
  </w:style>
  <w:style w:type="character" w:styleId="910" w:customStyle="1">
    <w:name w:val="середина Знак"/>
    <w:rPr>
      <w:rFonts w:ascii="Times New Roman" w:hAnsi="Times New Roman" w:eastAsia="Times New Roman" w:cs="Times New Roman"/>
      <w:sz w:val="26"/>
      <w:szCs w:val="26"/>
      <w:lang w:bidi="hi-IN"/>
    </w:rPr>
  </w:style>
  <w:style w:type="character" w:styleId="911" w:customStyle="1">
    <w:name w:val="дефис Знак"/>
  </w:style>
  <w:style w:type="character" w:styleId="912" w:customStyle="1">
    <w:name w:val="Абзац Знак"/>
    <w:rPr>
      <w:rFonts w:ascii="Times New Roman" w:hAnsi="Times New Roman" w:eastAsia="Times New Roman" w:cs="Times New Roman"/>
      <w:sz w:val="24"/>
      <w:szCs w:val="24"/>
    </w:rPr>
  </w:style>
  <w:style w:type="character" w:styleId="913" w:customStyle="1">
    <w:name w:val="подпись Знак"/>
    <w:rPr>
      <w:rFonts w:ascii="Times New Roman" w:hAnsi="Times New Roman" w:eastAsia="Times New Roman" w:cs="Times New Roman"/>
      <w:sz w:val="26"/>
      <w:szCs w:val="26"/>
    </w:rPr>
  </w:style>
  <w:style w:type="character" w:styleId="914" w:customStyle="1">
    <w:name w:val="дата Знак"/>
  </w:style>
  <w:style w:type="character" w:styleId="915" w:customStyle="1">
    <w:name w:val="Без интервала Знак"/>
    <w:rPr>
      <w:rFonts w:ascii="Times New Roman" w:hAnsi="Times New Roman" w:eastAsia="Times New Roman" w:cs="Times New Roman"/>
      <w:sz w:val="28"/>
    </w:rPr>
  </w:style>
  <w:style w:type="character" w:styleId="916" w:customStyle="1">
    <w:name w:val="Заголовок 1 Знак"/>
    <w:uiPriority w:val="9"/>
    <w:rPr>
      <w:rFonts w:ascii="Cambria" w:hAnsi="Cambria" w:eastAsia="Times New Roman" w:cs="Cambria"/>
      <w:b/>
      <w:bCs/>
      <w:sz w:val="32"/>
      <w:szCs w:val="32"/>
    </w:rPr>
  </w:style>
  <w:style w:type="character" w:styleId="917" w:customStyle="1">
    <w:name w:val="Основной текст Знак"/>
    <w:rPr>
      <w:rFonts w:ascii="Times New Roman" w:hAnsi="Times New Roman" w:eastAsia="Times New Roman" w:cs="Times New Roman"/>
      <w:sz w:val="24"/>
      <w:szCs w:val="24"/>
      <w:lang w:bidi="hi-IN"/>
    </w:rPr>
  </w:style>
  <w:style w:type="character" w:styleId="918" w:customStyle="1">
    <w:name w:val="Основной текст с отступом Знак"/>
    <w:rPr>
      <w:rFonts w:ascii="Times New Roman" w:hAnsi="Times New Roman" w:eastAsia="Times New Roman" w:cs="Times New Roman"/>
      <w:sz w:val="24"/>
      <w:szCs w:val="24"/>
      <w:lang w:bidi="hi-IN"/>
    </w:rPr>
  </w:style>
  <w:style w:type="paragraph" w:styleId="919" w:customStyle="1">
    <w:name w:val="Heading"/>
    <w:basedOn w:val="751"/>
    <w:next w:val="765"/>
    <w:pPr>
      <w:jc w:val="left"/>
      <w:keepNext/>
      <w:spacing w:before="240" w:line="100" w:lineRule="atLeast"/>
      <w:widowControl w:val="off"/>
    </w:pPr>
    <w:rPr>
      <w:rFonts w:ascii="Arial" w:hAnsi="Arial" w:cs="Arial"/>
      <w:b/>
      <w:bCs/>
      <w:lang w:bidi="hi-IN"/>
    </w:rPr>
  </w:style>
  <w:style w:type="paragraph" w:styleId="920" w:customStyle="1">
    <w:name w:val="Index"/>
    <w:basedOn w:val="751"/>
    <w:pPr>
      <w:suppressLineNumbers/>
    </w:pPr>
  </w:style>
  <w:style w:type="paragraph" w:styleId="921" w:customStyle="1">
    <w:name w:val="Название объекта2"/>
    <w:basedOn w:val="751"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922" w:customStyle="1">
    <w:name w:val="Указатель2"/>
    <w:basedOn w:val="751"/>
    <w:pPr>
      <w:suppressLineNumbers/>
    </w:pPr>
    <w:rPr>
      <w:rFonts w:cs="Arial"/>
    </w:rPr>
  </w:style>
  <w:style w:type="paragraph" w:styleId="923" w:customStyle="1">
    <w:name w:val="Название объекта1"/>
    <w:basedOn w:val="751"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924" w:customStyle="1">
    <w:name w:val="Указатель1"/>
    <w:basedOn w:val="751"/>
    <w:pPr>
      <w:suppressLineNumbers/>
    </w:pPr>
    <w:rPr>
      <w:rFonts w:cs="Arial"/>
    </w:rPr>
  </w:style>
  <w:style w:type="paragraph" w:styleId="925">
    <w:name w:val="List Paragraph"/>
    <w:basedOn w:val="751"/>
    <w:uiPriority w:val="34"/>
    <w:qFormat/>
    <w:pPr>
      <w:contextualSpacing/>
      <w:ind w:left="720"/>
    </w:pPr>
    <w:rPr>
      <w:szCs w:val="20"/>
    </w:rPr>
  </w:style>
  <w:style w:type="paragraph" w:styleId="926" w:customStyle="1">
    <w:name w:val="пункт"/>
    <w:basedOn w:val="925"/>
    <w:pPr>
      <w:ind w:left="0" w:firstLine="851"/>
      <w:jc w:val="both"/>
    </w:pPr>
    <w:rPr>
      <w:sz w:val="24"/>
      <w:szCs w:val="24"/>
    </w:rPr>
  </w:style>
  <w:style w:type="paragraph" w:styleId="927" w:customStyle="1">
    <w:name w:val="абзац"/>
    <w:basedOn w:val="751"/>
    <w:pPr>
      <w:ind w:firstLine="709"/>
      <w:jc w:val="both"/>
    </w:pPr>
    <w:rPr>
      <w:sz w:val="26"/>
      <w:szCs w:val="26"/>
    </w:rPr>
  </w:style>
  <w:style w:type="paragraph" w:styleId="928">
    <w:name w:val="No Spacing"/>
    <w:qFormat/>
    <w:rPr>
      <w:sz w:val="28"/>
      <w:lang w:eastAsia="zh-CN"/>
    </w:rPr>
  </w:style>
  <w:style w:type="paragraph" w:styleId="929" w:customStyle="1">
    <w:name w:val="подпункт"/>
    <w:basedOn w:val="926"/>
    <w:pPr>
      <w:numPr>
        <w:ilvl w:val="0"/>
        <w:numId w:val="2"/>
      </w:numPr>
      <w:tabs>
        <w:tab w:val="left" w:pos="709" w:leader="none"/>
      </w:tabs>
    </w:pPr>
    <w:rPr>
      <w:sz w:val="26"/>
      <w:szCs w:val="26"/>
    </w:rPr>
  </w:style>
  <w:style w:type="paragraph" w:styleId="930" w:customStyle="1">
    <w:name w:val="название"/>
    <w:basedOn w:val="751"/>
    <w:pPr>
      <w:ind w:right="4253"/>
      <w:jc w:val="both"/>
    </w:pPr>
    <w:rPr>
      <w:sz w:val="26"/>
      <w:szCs w:val="26"/>
    </w:rPr>
  </w:style>
  <w:style w:type="paragraph" w:styleId="931" w:customStyle="1">
    <w:name w:val="черточка"/>
    <w:basedOn w:val="929"/>
    <w:pPr>
      <w:numPr>
        <w:ilvl w:val="0"/>
        <w:numId w:val="3"/>
      </w:numPr>
      <w:ind w:left="284" w:hanging="284"/>
      <w:tabs>
        <w:tab w:val="left" w:pos="0" w:leader="none"/>
        <w:tab w:val="left" w:pos="284" w:leader="none"/>
        <w:tab w:val="left" w:pos="709" w:leader="none"/>
      </w:tabs>
    </w:pPr>
    <w:rPr>
      <w:sz w:val="24"/>
    </w:rPr>
  </w:style>
  <w:style w:type="paragraph" w:styleId="932" w:customStyle="1">
    <w:name w:val="под1"/>
    <w:basedOn w:val="929"/>
    <w:pPr>
      <w:ind w:left="0" w:firstLine="567"/>
      <w:tabs>
        <w:tab w:val="left" w:pos="851" w:leader="none"/>
      </w:tabs>
    </w:pPr>
  </w:style>
  <w:style w:type="paragraph" w:styleId="933" w:customStyle="1">
    <w:name w:val="прик"/>
    <w:basedOn w:val="751"/>
    <w:pPr>
      <w:ind w:firstLine="709"/>
      <w:spacing w:after="240"/>
    </w:pPr>
    <w:rPr>
      <w:sz w:val="24"/>
      <w:szCs w:val="24"/>
    </w:rPr>
  </w:style>
  <w:style w:type="paragraph" w:styleId="934" w:customStyle="1">
    <w:name w:val="Верхний и нижний колонтитулы"/>
    <w:basedOn w:val="751"/>
    <w:pPr>
      <w:tabs>
        <w:tab w:val="center" w:pos="4819" w:leader="none"/>
        <w:tab w:val="right" w:pos="9638" w:leader="none"/>
      </w:tabs>
      <w:suppressLineNumbers/>
    </w:pPr>
  </w:style>
  <w:style w:type="paragraph" w:styleId="935" w:customStyle="1">
    <w:name w:val="Header and Footer"/>
    <w:basedOn w:val="751"/>
    <w:pPr>
      <w:tabs>
        <w:tab w:val="center" w:pos="4819" w:leader="none"/>
        <w:tab w:val="right" w:pos="9638" w:leader="none"/>
      </w:tabs>
      <w:suppressLineNumbers/>
    </w:pPr>
  </w:style>
  <w:style w:type="paragraph" w:styleId="936" w:customStyle="1">
    <w:name w:val="пункты"/>
    <w:basedOn w:val="926"/>
    <w:pPr>
      <w:ind w:left="1920" w:hanging="360"/>
      <w:tabs>
        <w:tab w:val="left" w:pos="709" w:leader="none"/>
        <w:tab w:val="left" w:pos="1560" w:leader="none"/>
      </w:tabs>
    </w:pPr>
    <w:rPr>
      <w:b/>
      <w:sz w:val="26"/>
      <w:szCs w:val="26"/>
    </w:rPr>
  </w:style>
  <w:style w:type="paragraph" w:styleId="937" w:customStyle="1">
    <w:name w:val="приложение2"/>
    <w:basedOn w:val="751"/>
    <w:pPr>
      <w:ind w:left="5103"/>
      <w:jc w:val="right"/>
      <w:tabs>
        <w:tab w:val="left" w:pos="1100" w:leader="none"/>
      </w:tabs>
    </w:pPr>
    <w:rPr>
      <w:i/>
      <w:sz w:val="26"/>
      <w:szCs w:val="26"/>
      <w:lang w:bidi="hi-IN"/>
    </w:rPr>
  </w:style>
  <w:style w:type="paragraph" w:styleId="938" w:customStyle="1">
    <w:name w:val="середина1"/>
    <w:basedOn w:val="751"/>
    <w:rPr>
      <w:b/>
    </w:rPr>
  </w:style>
  <w:style w:type="paragraph" w:styleId="939" w:customStyle="1">
    <w:name w:val="текст"/>
    <w:basedOn w:val="927"/>
    <w:pPr>
      <w:ind w:firstLine="0"/>
    </w:pPr>
    <w:rPr>
      <w:sz w:val="24"/>
      <w:szCs w:val="24"/>
      <w:lang w:bidi="hi-IN"/>
    </w:rPr>
  </w:style>
  <w:style w:type="paragraph" w:styleId="940" w:customStyle="1">
    <w:name w:val="Default"/>
    <w:rPr>
      <w:rFonts w:eastAsia="Calibri"/>
      <w:color w:val="000000"/>
      <w:sz w:val="24"/>
      <w:szCs w:val="24"/>
      <w:lang w:eastAsia="zh-CN"/>
    </w:rPr>
  </w:style>
  <w:style w:type="paragraph" w:styleId="941" w:customStyle="1">
    <w:name w:val="абз"/>
    <w:basedOn w:val="927"/>
    <w:pPr>
      <w:spacing w:after="120"/>
    </w:pPr>
  </w:style>
  <w:style w:type="paragraph" w:styleId="942" w:customStyle="1">
    <w:name w:val="приложение"/>
    <w:basedOn w:val="751"/>
    <w:pPr>
      <w:ind w:left="3969"/>
      <w:jc w:val="right"/>
      <w:pageBreakBefore/>
    </w:pPr>
    <w:rPr>
      <w:sz w:val="20"/>
      <w:szCs w:val="20"/>
    </w:rPr>
  </w:style>
  <w:style w:type="paragraph" w:styleId="943" w:customStyle="1">
    <w:name w:val="приложение1"/>
    <w:basedOn w:val="751"/>
    <w:pPr>
      <w:ind w:left="5103"/>
      <w:jc w:val="right"/>
      <w:pageBreakBefore/>
      <w:spacing w:after="240"/>
      <w:tabs>
        <w:tab w:val="left" w:pos="1100" w:leader="none"/>
      </w:tabs>
    </w:pPr>
  </w:style>
  <w:style w:type="paragraph" w:styleId="944" w:customStyle="1">
    <w:name w:val="середина2"/>
    <w:basedOn w:val="938"/>
    <w:rPr>
      <w:b w:val="0"/>
    </w:rPr>
  </w:style>
  <w:style w:type="paragraph" w:styleId="945" w:customStyle="1">
    <w:name w:val="середина"/>
    <w:basedOn w:val="751"/>
    <w:rPr>
      <w:sz w:val="26"/>
      <w:szCs w:val="26"/>
      <w:lang w:bidi="hi-IN"/>
    </w:rPr>
  </w:style>
  <w:style w:type="paragraph" w:styleId="946" w:customStyle="1">
    <w:name w:val="дефис"/>
    <w:basedOn w:val="931"/>
  </w:style>
  <w:style w:type="paragraph" w:styleId="947" w:customStyle="1">
    <w:name w:val="подпись"/>
    <w:basedOn w:val="751"/>
    <w:rPr>
      <w:sz w:val="26"/>
      <w:szCs w:val="26"/>
    </w:rPr>
  </w:style>
  <w:style w:type="paragraph" w:styleId="948" w:customStyle="1">
    <w:name w:val="Абзац"/>
    <w:basedOn w:val="751"/>
    <w:pPr>
      <w:ind w:firstLine="720"/>
      <w:jc w:val="both"/>
      <w:spacing w:line="276" w:lineRule="auto"/>
    </w:pPr>
    <w:rPr>
      <w:sz w:val="24"/>
      <w:szCs w:val="24"/>
    </w:rPr>
  </w:style>
  <w:style w:type="paragraph" w:styleId="949" w:customStyle="1">
    <w:name w:val="дата"/>
    <w:basedOn w:val="936"/>
    <w:pPr>
      <w:ind w:left="851" w:hanging="567"/>
    </w:pPr>
  </w:style>
  <w:style w:type="paragraph" w:styleId="950" w:customStyle="1">
    <w:name w:val="Текст1"/>
    <w:basedOn w:val="751"/>
    <w:pPr>
      <w:jc w:val="left"/>
      <w:spacing w:line="100" w:lineRule="atLeast"/>
    </w:pPr>
    <w:rPr>
      <w:rFonts w:ascii="Courier New" w:hAnsi="Courier New" w:cs="Courier New"/>
      <w:sz w:val="20"/>
      <w:szCs w:val="20"/>
      <w:lang w:bidi="hi-IN"/>
    </w:rPr>
  </w:style>
  <w:style w:type="paragraph" w:styleId="951" w:customStyle="1">
    <w:name w:val="Без интервала1"/>
    <w:pPr>
      <w:spacing w:line="100" w:lineRule="atLeast"/>
    </w:pPr>
    <w:rPr>
      <w:sz w:val="24"/>
      <w:szCs w:val="24"/>
      <w:lang w:eastAsia="zh-CN" w:bidi="hi-IN"/>
    </w:rPr>
  </w:style>
  <w:style w:type="paragraph" w:styleId="952" w:customStyle="1">
    <w:name w:val="Содержимое таблицы"/>
    <w:basedOn w:val="751"/>
    <w:pPr>
      <w:jc w:val="left"/>
      <w:spacing w:line="100" w:lineRule="atLeast"/>
      <w:widowControl w:val="off"/>
      <w:suppressLineNumbers/>
    </w:pPr>
    <w:rPr>
      <w:rFonts w:cs="Tahoma"/>
      <w:color w:val="000000"/>
      <w:sz w:val="24"/>
      <w:szCs w:val="24"/>
      <w:lang w:val="en-US" w:bidi="hi-IN"/>
    </w:rPr>
  </w:style>
  <w:style w:type="paragraph" w:styleId="953" w:customStyle="1">
    <w:name w:val="Заголовок таблицы"/>
    <w:basedOn w:val="952"/>
    <w:pPr>
      <w:jc w:val="center"/>
    </w:pPr>
    <w:rPr>
      <w:b/>
      <w:bCs/>
    </w:rPr>
  </w:style>
  <w:style w:type="paragraph" w:styleId="954" w:customStyle="1">
    <w:name w:val="Table Contents"/>
    <w:basedOn w:val="751"/>
    <w:pPr>
      <w:widowControl w:val="off"/>
      <w:suppressLineNumbers/>
    </w:pPr>
  </w:style>
  <w:style w:type="paragraph" w:styleId="955" w:customStyle="1">
    <w:name w:val="Table Heading"/>
    <w:basedOn w:val="954"/>
    <w:rPr>
      <w:b/>
      <w:bCs/>
    </w:rPr>
  </w:style>
  <w:style w:type="paragraph" w:styleId="956" w:customStyle="1">
    <w:name w:val="msonormal"/>
    <w:basedOn w:val="751"/>
    <w:pPr>
      <w:jc w:val="left"/>
      <w:spacing w:before="100" w:beforeAutospacing="1" w:after="100" w:afterAutospacing="1"/>
    </w:pPr>
    <w:rPr>
      <w:sz w:val="24"/>
      <w:szCs w:val="24"/>
      <w:lang w:eastAsia="ru-RU"/>
    </w:rPr>
  </w:style>
  <w:style w:type="character" w:styleId="957" w:customStyle="1">
    <w:name w:val="Заголовок 2 Знак"/>
    <w:link w:val="753"/>
    <w:uiPriority w:val="9"/>
    <w:rPr>
      <w:b/>
      <w:bCs/>
      <w:sz w:val="36"/>
      <w:szCs w:val="36"/>
    </w:rPr>
  </w:style>
  <w:style w:type="character" w:styleId="958" w:customStyle="1">
    <w:name w:val="Заголовок 3 Знак"/>
    <w:link w:val="754"/>
    <w:uiPriority w:val="9"/>
    <w:semiHidden/>
    <w:rPr>
      <w:rFonts w:ascii="Calibri Light" w:hAnsi="Calibri Light"/>
      <w:color w:val="1f3763"/>
      <w:sz w:val="24"/>
      <w:szCs w:val="24"/>
      <w:lang w:eastAsia="en-US"/>
    </w:rPr>
  </w:style>
  <w:style w:type="table" w:styleId="959">
    <w:name w:val="Table Grid"/>
    <w:basedOn w:val="756"/>
    <w:uiPriority w:val="39"/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0" w:customStyle="1">
    <w:name w:val="Название1"/>
    <w:basedOn w:val="751"/>
    <w:pPr>
      <w:jc w:val="left"/>
      <w:spacing w:before="100" w:beforeAutospacing="1" w:after="100" w:afterAutospacing="1"/>
    </w:pPr>
    <w:rPr>
      <w:sz w:val="24"/>
      <w:szCs w:val="24"/>
      <w:lang w:eastAsia="ru-RU"/>
    </w:rPr>
  </w:style>
  <w:style w:type="paragraph" w:styleId="961" w:customStyle="1">
    <w:name w:val="parameter"/>
    <w:basedOn w:val="751"/>
    <w:pPr>
      <w:jc w:val="left"/>
      <w:spacing w:before="100" w:beforeAutospacing="1" w:after="100" w:afterAutospacing="1"/>
    </w:pPr>
    <w:rPr>
      <w:sz w:val="24"/>
      <w:szCs w:val="24"/>
      <w:lang w:eastAsia="ru-RU"/>
    </w:rPr>
  </w:style>
  <w:style w:type="paragraph" w:styleId="962" w:customStyle="1">
    <w:name w:val="parametervalue"/>
    <w:basedOn w:val="751"/>
    <w:pPr>
      <w:jc w:val="left"/>
      <w:spacing w:before="100" w:beforeAutospacing="1" w:after="100" w:afterAutospacing="1"/>
    </w:pPr>
    <w:rPr>
      <w:sz w:val="24"/>
      <w:szCs w:val="24"/>
      <w:lang w:eastAsia="ru-RU"/>
    </w:rPr>
  </w:style>
  <w:style w:type="character" w:styleId="963">
    <w:name w:val="Strong"/>
    <w:uiPriority w:val="22"/>
    <w:qFormat/>
    <w:rPr>
      <w:b/>
      <w:bCs/>
    </w:rPr>
  </w:style>
  <w:style w:type="paragraph" w:styleId="964" w:customStyle="1">
    <w:name w:val="Название объекта3"/>
    <w:basedOn w:val="751"/>
    <w:pPr>
      <w:jc w:val="left"/>
      <w:spacing w:before="100" w:beforeAutospacing="1" w:after="100" w:afterAutospacing="1"/>
    </w:pPr>
    <w:rPr>
      <w:sz w:val="24"/>
      <w:szCs w:val="24"/>
      <w:lang w:eastAsia="ru-RU"/>
    </w:rPr>
  </w:style>
  <w:style w:type="numbering" w:styleId="965" w:customStyle="1">
    <w:name w:val="Нет списка1"/>
    <w:next w:val="757"/>
    <w:uiPriority w:val="99"/>
    <w:semiHidden/>
    <w:unhideWhenUsed/>
  </w:style>
  <w:style w:type="numbering" w:styleId="966" w:customStyle="1">
    <w:name w:val="Нет списка2"/>
    <w:next w:val="757"/>
    <w:uiPriority w:val="99"/>
    <w:semiHidden/>
    <w:unhideWhenUsed/>
  </w:style>
  <w:style w:type="numbering" w:styleId="967" w:customStyle="1">
    <w:name w:val="Нет списка3"/>
    <w:next w:val="757"/>
    <w:uiPriority w:val="99"/>
    <w:semiHidden/>
    <w:unhideWhenUsed/>
  </w:style>
  <w:style w:type="character" w:styleId="968">
    <w:name w:val="FollowedHyperlink"/>
    <w:uiPriority w:val="99"/>
    <w:semiHidden/>
    <w:unhideWhenUsed/>
    <w:rPr>
      <w:color w:val="954f72"/>
      <w:u w:val="single"/>
    </w:rPr>
  </w:style>
  <w:style w:type="paragraph" w:styleId="969" w:customStyle="1">
    <w:name w:val="xl66"/>
    <w:basedOn w:val="751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970" w:customStyle="1">
    <w:name w:val="xl67"/>
    <w:basedOn w:val="751"/>
    <w:pPr>
      <w:spacing w:before="100" w:beforeAutospacing="1" w:after="100" w:afterAutospacing="1"/>
      <w:pBdr>
        <w:top w:val="single" w:color="000000" w:sz="8" w:space="0"/>
        <w:left w:val="single" w:color="000000" w:sz="8" w:space="0"/>
      </w:pBdr>
    </w:pPr>
    <w:rPr>
      <w:b/>
      <w:bCs/>
      <w:color w:val="000000"/>
      <w:sz w:val="14"/>
      <w:szCs w:val="14"/>
      <w:lang w:eastAsia="ru-RU"/>
    </w:rPr>
  </w:style>
  <w:style w:type="paragraph" w:styleId="971" w:customStyle="1">
    <w:name w:val="xl68"/>
    <w:basedOn w:val="751"/>
    <w:pPr>
      <w:spacing w:before="100" w:beforeAutospacing="1" w:after="100" w:afterAutospacing="1"/>
      <w:pBdr>
        <w:top w:val="single" w:color="000000" w:sz="8" w:space="0"/>
      </w:pBdr>
    </w:pPr>
    <w:rPr>
      <w:b/>
      <w:bCs/>
      <w:color w:val="000000"/>
      <w:sz w:val="14"/>
      <w:szCs w:val="14"/>
      <w:lang w:eastAsia="ru-RU"/>
    </w:rPr>
  </w:style>
  <w:style w:type="paragraph" w:styleId="972" w:customStyle="1">
    <w:name w:val="xl69"/>
    <w:basedOn w:val="751"/>
    <w:pPr>
      <w:spacing w:before="100" w:beforeAutospacing="1" w:after="100" w:afterAutospacing="1"/>
      <w:pBdr>
        <w:top w:val="single" w:color="000000" w:sz="8" w:space="0"/>
        <w:right w:val="single" w:color="000000" w:sz="8" w:space="0"/>
      </w:pBdr>
    </w:pPr>
    <w:rPr>
      <w:b/>
      <w:bCs/>
      <w:color w:val="000000"/>
      <w:sz w:val="14"/>
      <w:szCs w:val="14"/>
      <w:lang w:eastAsia="ru-RU"/>
    </w:rPr>
  </w:style>
  <w:style w:type="paragraph" w:styleId="973" w:customStyle="1">
    <w:name w:val="xl70"/>
    <w:basedOn w:val="751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  <w:sz w:val="14"/>
      <w:szCs w:val="14"/>
      <w:lang w:eastAsia="ru-RU"/>
    </w:rPr>
  </w:style>
  <w:style w:type="paragraph" w:styleId="974" w:customStyle="1">
    <w:name w:val="xl71"/>
    <w:basedOn w:val="751"/>
    <w:pPr>
      <w:jc w:val="lef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  <w:lang w:eastAsia="ru-RU"/>
    </w:rPr>
  </w:style>
  <w:style w:type="paragraph" w:styleId="975" w:customStyle="1">
    <w:name w:val="xl72"/>
    <w:basedOn w:val="751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color w:val="000000"/>
      <w:sz w:val="14"/>
      <w:szCs w:val="14"/>
      <w:lang w:eastAsia="ru-RU"/>
    </w:rPr>
  </w:style>
  <w:style w:type="paragraph" w:styleId="976" w:customStyle="1">
    <w:name w:val="xl73"/>
    <w:basedOn w:val="751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color w:val="000000"/>
      <w:sz w:val="14"/>
      <w:szCs w:val="14"/>
      <w:lang w:eastAsia="ru-RU"/>
    </w:rPr>
  </w:style>
  <w:style w:type="paragraph" w:styleId="977" w:customStyle="1">
    <w:name w:val="xl74"/>
    <w:basedOn w:val="751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  <w:sz w:val="14"/>
      <w:szCs w:val="14"/>
      <w:lang w:eastAsia="ru-RU"/>
    </w:rPr>
  </w:style>
  <w:style w:type="paragraph" w:styleId="978" w:customStyle="1">
    <w:name w:val="xl65"/>
    <w:basedOn w:val="751"/>
    <w:pPr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000000"/>
      <w:sz w:val="14"/>
      <w:szCs w:val="14"/>
      <w:lang w:eastAsia="ru-RU"/>
    </w:rPr>
  </w:style>
  <w:style w:type="paragraph" w:styleId="979" w:customStyle="1">
    <w:name w:val="xl75"/>
    <w:basedOn w:val="751"/>
    <w:pPr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b/>
      <w:bCs/>
      <w:color w:val="000000"/>
      <w:sz w:val="14"/>
      <w:szCs w:val="14"/>
      <w:lang w:eastAsia="ru-RU"/>
    </w:rPr>
  </w:style>
  <w:style w:type="paragraph" w:styleId="980" w:customStyle="1">
    <w:name w:val="xl76"/>
    <w:basedOn w:val="751"/>
    <w:pPr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8" w:space="0"/>
      </w:pBdr>
    </w:pPr>
    <w:rPr>
      <w:b/>
      <w:bCs/>
      <w:color w:val="000000"/>
      <w:sz w:val="14"/>
      <w:szCs w:val="14"/>
      <w:lang w:eastAsia="ru-RU"/>
    </w:rPr>
  </w:style>
  <w:style w:type="paragraph" w:styleId="981" w:customStyle="1">
    <w:name w:val="xl77"/>
    <w:basedOn w:val="751"/>
    <w:pPr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</w:pBdr>
    </w:pPr>
    <w:rPr>
      <w:b/>
      <w:bCs/>
      <w:color w:val="000000"/>
      <w:sz w:val="14"/>
      <w:szCs w:val="14"/>
      <w:lang w:eastAsia="ru-RU"/>
    </w:rPr>
  </w:style>
  <w:style w:type="paragraph" w:styleId="982" w:customStyle="1">
    <w:name w:val="xl78"/>
    <w:basedOn w:val="751"/>
    <w:pPr>
      <w:spacing w:before="100" w:beforeAutospacing="1" w:after="100" w:afterAutospacing="1"/>
      <w:pBdr>
        <w:top w:val="single" w:color="000000" w:sz="8" w:space="0"/>
        <w:bottom w:val="single" w:color="000000" w:sz="8" w:space="0"/>
      </w:pBdr>
    </w:pPr>
    <w:rPr>
      <w:b/>
      <w:bCs/>
      <w:color w:val="000000"/>
      <w:sz w:val="14"/>
      <w:szCs w:val="14"/>
      <w:lang w:eastAsia="ru-RU"/>
    </w:rPr>
  </w:style>
  <w:style w:type="paragraph" w:styleId="983" w:customStyle="1">
    <w:name w:val="xl79"/>
    <w:basedOn w:val="751"/>
    <w:pPr>
      <w:spacing w:before="100" w:beforeAutospacing="1" w:after="100" w:afterAutospacing="1"/>
      <w:pBdr>
        <w:top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000000"/>
      <w:sz w:val="14"/>
      <w:szCs w:val="14"/>
      <w:lang w:eastAsia="ru-RU"/>
    </w:rPr>
  </w:style>
  <w:style w:type="table" w:styleId="984" w:customStyle="1">
    <w:name w:val="Сетка таблицы1"/>
    <w:basedOn w:val="756"/>
    <w:next w:val="959"/>
    <w:uiPriority w:val="39"/>
    <w:rPr>
      <w:rFonts w:ascii="Calibri" w:hAnsi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85" w:customStyle="1">
    <w:name w:val="xl80"/>
    <w:basedOn w:val="751"/>
    <w:pPr>
      <w:jc w:val="left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sz w:val="14"/>
      <w:szCs w:val="14"/>
      <w:lang w:eastAsia="ru-RU"/>
    </w:rPr>
  </w:style>
  <w:style w:type="paragraph" w:styleId="986" w:customStyle="1">
    <w:name w:val="xl81"/>
    <w:basedOn w:val="751"/>
    <w:pPr>
      <w:jc w:val="left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14"/>
      <w:szCs w:val="14"/>
      <w:lang w:eastAsia="ru-RU"/>
    </w:rPr>
  </w:style>
  <w:style w:type="paragraph" w:styleId="987" w:customStyle="1">
    <w:name w:val="xl82"/>
    <w:basedOn w:val="751"/>
    <w:pPr>
      <w:jc w:val="left"/>
      <w:spacing w:before="100" w:beforeAutospacing="1" w:after="100" w:afterAutospacing="1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14"/>
      <w:szCs w:val="14"/>
      <w:lang w:eastAsia="ru-RU"/>
    </w:rPr>
  </w:style>
  <w:style w:type="paragraph" w:styleId="988" w:customStyle="1">
    <w:name w:val="xl83"/>
    <w:basedOn w:val="751"/>
    <w:pPr>
      <w:jc w:val="left"/>
      <w:spacing w:before="100" w:beforeAutospacing="1" w:after="100" w:afterAutospacing="1"/>
      <w:shd w:val="clear" w:color="000000" w:fill="ffffff"/>
    </w:pPr>
    <w:rPr>
      <w:rFonts w:ascii="Arial" w:hAnsi="Arial" w:cs="Arial"/>
      <w:sz w:val="24"/>
      <w:szCs w:val="24"/>
      <w:lang w:eastAsia="ru-RU"/>
    </w:rPr>
  </w:style>
  <w:style w:type="numbering" w:styleId="989" w:customStyle="1">
    <w:name w:val="Нет списка4"/>
    <w:next w:val="757"/>
    <w:uiPriority w:val="99"/>
    <w:semiHidden/>
    <w:unhideWhenUsed/>
  </w:style>
  <w:style w:type="character" w:styleId="990" w:customStyle="1">
    <w:name w:val="apple-converted-space"/>
    <w:basedOn w:val="755"/>
  </w:style>
  <w:style w:type="paragraph" w:styleId="1_1863" w:customStyle="1">
    <w:name w:val="Table Paragraph"/>
    <w:basedOn w:val="659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a.shekhonina</cp:lastModifiedBy>
  <cp:revision>2</cp:revision>
  <dcterms:created xsi:type="dcterms:W3CDTF">2026-09-03T12:36:00Z</dcterms:created>
  <dcterms:modified xsi:type="dcterms:W3CDTF">2026-09-16T13:20:50Z</dcterms:modified>
</cp:coreProperties>
</file>