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2000000">
      <w:pPr>
        <w:pStyle w:val="Style_2"/>
        <w:spacing w:after="0" w:before="0"/>
        <w:ind w:hanging="6" w:left="6"/>
        <w:jc w:val="center"/>
        <w:rPr>
          <w:b w:val="1"/>
        </w:rPr>
      </w:pPr>
      <w:r>
        <w:rPr>
          <w:b w:val="1"/>
          <w:highlight w:val="yellow"/>
        </w:rPr>
        <w:t>МУНИЦИПАЛЬНЫЙ КОНТРАКТ №</w:t>
      </w:r>
      <w:r>
        <w:rPr>
          <w:b w:val="1"/>
        </w:rPr>
        <w:t xml:space="preserve"> </w:t>
      </w:r>
    </w:p>
    <w:p w14:paraId="03000000">
      <w:pPr>
        <w:pStyle w:val="Style_2"/>
        <w:spacing w:after="0" w:before="0"/>
        <w:ind w:hanging="6" w:left="6"/>
        <w:jc w:val="center"/>
        <w:rPr>
          <w:b w:val="1"/>
        </w:rPr>
      </w:pPr>
      <w:bookmarkStart w:id="1" w:name="_Hlk239249824"/>
      <w:r>
        <w:rPr>
          <w:b w:val="1"/>
        </w:rPr>
        <w:t>Выполнение р</w:t>
      </w:r>
      <w:r>
        <w:rPr>
          <w:rStyle w:val="Style_2_ch"/>
          <w:b w:val="1"/>
        </w:rPr>
        <w:t>абот</w:t>
      </w:r>
      <w:bookmarkStart w:id="2" w:name="_Hlk239249574"/>
      <w:r>
        <w:rPr>
          <w:rStyle w:val="Style_2_ch"/>
          <w:b w:val="1"/>
        </w:rPr>
        <w:t xml:space="preserve"> по восстановлению ИТП ГВС в здании общественной бани по адресу: п. Сосново ул. Ленинградская д. 13</w:t>
      </w:r>
    </w:p>
    <w:p w14:paraId="04000000">
      <w:pPr>
        <w:pStyle w:val="Style_2"/>
        <w:spacing w:after="0" w:before="0"/>
        <w:ind w:hanging="6" w:left="6"/>
        <w:jc w:val="center"/>
        <w:rPr>
          <w:b w:val="1"/>
        </w:rPr>
      </w:pPr>
      <w:bookmarkEnd w:id="1"/>
      <w:bookmarkEnd w:id="2"/>
      <w:r>
        <w:rPr>
          <w:b w:val="1"/>
        </w:rPr>
        <w:t>ИКЗ:</w:t>
      </w:r>
      <w:r>
        <w:t xml:space="preserve"> </w:t>
      </w:r>
    </w:p>
    <w:p w14:paraId="05000000">
      <w:pPr>
        <w:pStyle w:val="Style_2"/>
        <w:spacing w:after="0" w:before="0"/>
        <w:ind w:firstLine="567" w:left="0"/>
        <w:jc w:val="center"/>
      </w:pPr>
    </w:p>
    <w:p w14:paraId="06000000">
      <w:pPr>
        <w:pStyle w:val="Style_2"/>
        <w:spacing w:after="0" w:before="0"/>
        <w:ind/>
      </w:pPr>
      <w:r>
        <w:t>п.</w:t>
      </w:r>
      <w:r>
        <w:t xml:space="preserve"> </w:t>
      </w:r>
      <w:r>
        <w:t>Сосново</w:t>
      </w:r>
      <w:r>
        <w:t xml:space="preserve">                  </w:t>
      </w:r>
      <w:r>
        <w:t xml:space="preserve">                  </w:t>
      </w:r>
      <w:r>
        <w:t xml:space="preserve">                                 </w:t>
      </w:r>
      <w:r>
        <w:t xml:space="preserve">         </w:t>
      </w:r>
      <w:r>
        <w:t xml:space="preserve">              </w:t>
      </w:r>
      <w:r>
        <w:t xml:space="preserve"> </w:t>
      </w:r>
      <w:r>
        <w:rPr>
          <w:highlight w:val="yellow"/>
        </w:rPr>
        <w:t>«</w:t>
      </w:r>
      <w:r>
        <w:rPr>
          <w:highlight w:val="yellow"/>
        </w:rPr>
        <w:t>___</w:t>
      </w:r>
      <w:r>
        <w:rPr>
          <w:highlight w:val="yellow"/>
        </w:rPr>
        <w:t>»</w:t>
      </w:r>
      <w:r>
        <w:rPr>
          <w:highlight w:val="yellow"/>
        </w:rPr>
        <w:t>_________</w:t>
      </w:r>
      <w:r>
        <w:rPr>
          <w:highlight w:val="yellow"/>
        </w:rPr>
        <w:t xml:space="preserve"> 20</w:t>
      </w:r>
      <w:r>
        <w:rPr>
          <w:highlight w:val="yellow"/>
        </w:rPr>
        <w:t>2</w:t>
      </w:r>
      <w:r>
        <w:rPr>
          <w:highlight w:val="yellow"/>
        </w:rPr>
        <w:t>6</w:t>
      </w:r>
      <w:r>
        <w:rPr>
          <w:highlight w:val="yellow"/>
        </w:rPr>
        <w:t>г.</w:t>
      </w:r>
    </w:p>
    <w:p w14:paraId="07000000">
      <w:pPr>
        <w:pStyle w:val="Style_2"/>
        <w:spacing w:after="0" w:before="0"/>
        <w:ind w:firstLine="567" w:left="0"/>
      </w:pPr>
    </w:p>
    <w:p w14:paraId="08000000">
      <w:pPr>
        <w:spacing w:after="60"/>
        <w:ind w:firstLine="0" w:left="0"/>
        <w:jc w:val="both"/>
      </w:pPr>
      <w:r>
        <w:rPr>
          <w:rStyle w:val="Style_2_ch"/>
        </w:rPr>
        <w:t xml:space="preserve">               Муниципальное казенное учреждение «Сосновская служба заказчика»</w:t>
      </w:r>
      <w:r>
        <w:rPr>
          <w:rStyle w:val="Style_2_ch"/>
        </w:rPr>
        <w:t>, именуемое в дальнейшем «Заказчик», в лице генерального директора Веселовой Оксаны Александровны</w:t>
      </w:r>
      <w:r>
        <w:rPr>
          <w:rStyle w:val="Style_2_ch"/>
        </w:rPr>
        <w:t>,</w:t>
      </w:r>
      <w:r>
        <w:rPr>
          <w:rStyle w:val="Style_2_ch"/>
        </w:rPr>
        <w:t xml:space="preserve"> действующего на основании Устава</w:t>
      </w:r>
      <w:r>
        <w:rPr>
          <w:rStyle w:val="Style_2_ch"/>
        </w:rPr>
        <w:t xml:space="preserve">, с одной </w:t>
      </w:r>
      <w:r>
        <w:rPr>
          <w:rStyle w:val="Style_2_ch"/>
        </w:rPr>
        <w:t xml:space="preserve">стороны и </w:t>
      </w:r>
      <w:r>
        <w:rPr>
          <w:rStyle w:val="Style_2_ch"/>
        </w:rPr>
        <w:t>______________,</w:t>
      </w:r>
      <w:r>
        <w:rPr>
          <w:rStyle w:val="Style_2_ch"/>
        </w:rPr>
        <w:t xml:space="preserve">именуемое в дальнейшем  «Подрядчик», в лице </w:t>
      </w:r>
      <w:r>
        <w:rPr>
          <w:rStyle w:val="Style_2_ch"/>
        </w:rPr>
        <w:t>________________</w:t>
      </w:r>
      <w:r>
        <w:rPr>
          <w:rStyle w:val="Style_2_ch"/>
        </w:rPr>
        <w:t>,</w:t>
      </w:r>
      <w:r>
        <w:rPr>
          <w:rStyle w:val="Style_2_ch"/>
        </w:rPr>
        <w:t>действующего на основании _______________</w:t>
      </w:r>
      <w:r>
        <w:rPr>
          <w:rStyle w:val="Style_2_ch"/>
        </w:rPr>
        <w:t xml:space="preserve"> с</w:t>
      </w:r>
      <w:r>
        <w:rPr>
          <w:rStyle w:val="Style_2_ch"/>
        </w:rPr>
        <w:t xml:space="preserve"> другой стороны, совместно именуемые «Стороны»,</w:t>
      </w:r>
      <w:r>
        <w:rPr>
          <w:rStyle w:val="Style_2_ch"/>
        </w:rPr>
        <w:t xml:space="preserve"> по результатам закупки в Электронном магазине Ленинградской области </w:t>
      </w:r>
      <w:r>
        <w:rPr>
          <w:rStyle w:val="Style_2_ch"/>
        </w:rPr>
        <w:t>№ ___________</w:t>
      </w:r>
      <w:r>
        <w:rPr>
          <w:rStyle w:val="Style_2_ch"/>
        </w:rPr>
        <w:t>с соблюдением требований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заключили настоящий Муниципальный контракт (да</w:t>
      </w:r>
      <w:r>
        <w:rPr>
          <w:rStyle w:val="Style_2_ch"/>
        </w:rPr>
        <w:t>лее – Контракт) о нижеследующем:</w:t>
      </w:r>
    </w:p>
    <w:p w14:paraId="09000000">
      <w:pPr>
        <w:pStyle w:val="Style_2"/>
        <w:spacing w:after="0" w:before="0"/>
        <w:ind/>
        <w:jc w:val="center"/>
        <w:rPr>
          <w:b w:val="1"/>
        </w:rPr>
      </w:pPr>
    </w:p>
    <w:p w14:paraId="0A000000">
      <w:pPr>
        <w:pStyle w:val="Style_2"/>
        <w:spacing w:after="0" w:before="0"/>
        <w:ind/>
        <w:jc w:val="center"/>
      </w:pPr>
      <w:r>
        <w:rPr>
          <w:b w:val="1"/>
        </w:rPr>
        <w:t>1. ПРЕДМЕТ КОНТРАКТА</w:t>
      </w:r>
    </w:p>
    <w:p w14:paraId="0B000000">
      <w:pPr>
        <w:pStyle w:val="Style_2"/>
        <w:spacing w:after="0" w:before="0"/>
        <w:ind w:hanging="6" w:left="6"/>
        <w:jc w:val="both"/>
        <w:rPr>
          <w:b w:val="1"/>
        </w:rPr>
      </w:pPr>
      <w:r>
        <w:t xml:space="preserve">         </w:t>
      </w:r>
      <w:r>
        <w:t>1.1. По настоящему Контракту Подрядч</w:t>
      </w:r>
      <w:r>
        <w:t xml:space="preserve">ик обязуется выполнить работы </w:t>
      </w:r>
      <w:r>
        <w:t>по восстановлению ИТП ГВС в здании общественной бани по адресу: п. Сосново, ул. Ленинградская, д. 13</w:t>
      </w:r>
      <w:r>
        <w:t xml:space="preserve"> </w:t>
      </w:r>
      <w:r>
        <w:t>(далее - «Рабо</w:t>
      </w:r>
      <w:r>
        <w:t xml:space="preserve">ты») на условиях настоящего Контракта, а Заказчик обязуется принять и оплатить выполненные Работы в порядке, установленном настоящим Контрактом. </w:t>
      </w:r>
    </w:p>
    <w:p w14:paraId="0C000000">
      <w:pPr>
        <w:ind w:firstLine="0" w:left="142"/>
        <w:jc w:val="both"/>
      </w:pPr>
      <w:r>
        <w:t xml:space="preserve">       </w:t>
      </w:r>
      <w:r>
        <w:t xml:space="preserve">1.2. </w:t>
      </w:r>
      <w:bookmarkStart w:id="3" w:name="_Hlk204172511"/>
      <w:bookmarkStart w:id="4" w:name="_Hlk227589321"/>
      <w:r>
        <w:t xml:space="preserve">Место выполнения Работ: </w:t>
      </w:r>
      <w:r>
        <w:t>Ленинградская область, Приозерский район</w:t>
      </w:r>
      <w:r>
        <w:t>:</w:t>
      </w:r>
      <w:r>
        <w:t xml:space="preserve"> </w:t>
      </w:r>
    </w:p>
    <w:p w14:paraId="0D000000">
      <w:pPr>
        <w:ind w:firstLine="0" w:left="142"/>
        <w:jc w:val="both"/>
      </w:pPr>
      <w:bookmarkStart w:id="5" w:name="_Hlk228368793"/>
      <w:r>
        <w:t xml:space="preserve">-    </w:t>
      </w:r>
      <w:bookmarkEnd w:id="3"/>
      <w:bookmarkEnd w:id="4"/>
      <w:bookmarkEnd w:id="5"/>
      <w:r>
        <w:t>п. Сосново, ул. Ленинградская, д. 13 (здание общественной бани)</w:t>
      </w:r>
      <w:r>
        <w:t>.</w:t>
      </w:r>
    </w:p>
    <w:p w14:paraId="0E000000">
      <w:pPr>
        <w:pStyle w:val="Style_2"/>
        <w:spacing w:after="0" w:before="0"/>
        <w:ind w:firstLine="567" w:left="0"/>
        <w:jc w:val="both"/>
      </w:pPr>
      <w:r>
        <w:t xml:space="preserve">1.3. </w:t>
      </w:r>
      <w:r>
        <w:t>Наименование, объем и стоимость</w:t>
      </w:r>
      <w:r>
        <w:t xml:space="preserve"> </w:t>
      </w:r>
      <w:r>
        <w:t xml:space="preserve">Работ </w:t>
      </w:r>
      <w:r>
        <w:t>определены</w:t>
      </w:r>
      <w:r>
        <w:t xml:space="preserve"> </w:t>
      </w:r>
      <w:r>
        <w:t>в Локальном сметном расчете</w:t>
      </w:r>
      <w:r>
        <w:t xml:space="preserve"> (Приложение № 1 к Контракту).</w:t>
      </w:r>
    </w:p>
    <w:p w14:paraId="0F000000">
      <w:pPr>
        <w:pStyle w:val="Style_2"/>
        <w:spacing w:after="0" w:before="0"/>
        <w:ind w:firstLine="567" w:left="0"/>
        <w:jc w:val="both"/>
      </w:pPr>
      <w:r>
        <w:t>1.4. Общие требования к выполнению Работ установлены Техническим заданием (Приложение № 2 к Контракту).</w:t>
      </w:r>
    </w:p>
    <w:p w14:paraId="10000000">
      <w:pPr>
        <w:pStyle w:val="Style_2"/>
        <w:spacing w:after="0" w:before="0"/>
        <w:ind w:firstLine="567" w:left="0"/>
        <w:jc w:val="both"/>
      </w:pPr>
      <w:r>
        <w:t>1.</w:t>
      </w:r>
      <w:r>
        <w:t>5</w:t>
      </w:r>
      <w:r>
        <w:t>. Срок выполнения Работ:</w:t>
      </w:r>
    </w:p>
    <w:p w14:paraId="11000000">
      <w:pPr>
        <w:pStyle w:val="Style_2"/>
        <w:numPr>
          <w:numId w:val="1"/>
        </w:numPr>
        <w:spacing w:after="0" w:before="0"/>
        <w:ind/>
        <w:jc w:val="both"/>
      </w:pPr>
      <w:r>
        <w:t>начало выполнения Работ</w:t>
      </w:r>
      <w:r>
        <w:t xml:space="preserve"> – с даты заключения Контракта</w:t>
      </w:r>
      <w:r>
        <w:t>;</w:t>
      </w:r>
    </w:p>
    <w:p w14:paraId="12000000">
      <w:pPr>
        <w:pStyle w:val="Style_2"/>
        <w:numPr>
          <w:numId w:val="2"/>
        </w:numPr>
        <w:spacing w:after="0" w:before="0"/>
        <w:ind/>
        <w:jc w:val="both"/>
      </w:pPr>
      <w:r>
        <w:t xml:space="preserve">окончание </w:t>
      </w:r>
      <w:r>
        <w:t>выполнения Работ</w:t>
      </w:r>
      <w:r>
        <w:t xml:space="preserve"> –</w:t>
      </w:r>
      <w:r>
        <w:t xml:space="preserve"> в течение 10 рабочих дней</w:t>
      </w:r>
      <w:r>
        <w:t>, с возможностью</w:t>
      </w:r>
      <w:r>
        <w:t xml:space="preserve"> досрочного выполнения.</w:t>
      </w:r>
    </w:p>
    <w:p w14:paraId="13000000">
      <w:pPr>
        <w:pStyle w:val="Style_2"/>
        <w:spacing w:after="0" w:before="0"/>
        <w:ind w:firstLine="567" w:left="0"/>
        <w:jc w:val="both"/>
      </w:pPr>
    </w:p>
    <w:p w14:paraId="14000000">
      <w:pPr>
        <w:pStyle w:val="Style_2"/>
        <w:spacing w:after="0" w:before="0"/>
        <w:ind/>
        <w:jc w:val="center"/>
      </w:pPr>
      <w:r>
        <w:rPr>
          <w:b w:val="1"/>
        </w:rPr>
        <w:t>2. ЦЕНА И ПОРЯДОК РАСЧЕТОВ</w:t>
      </w:r>
    </w:p>
    <w:p w14:paraId="15000000">
      <w:pPr>
        <w:pStyle w:val="Style_2"/>
        <w:spacing w:after="0" w:before="0"/>
        <w:ind w:firstLine="567" w:left="0"/>
        <w:jc w:val="both"/>
        <w:rPr>
          <w:shd w:fill="FFD821" w:val="clear"/>
        </w:rPr>
      </w:pPr>
      <w:r>
        <w:t xml:space="preserve">2.1 Общая цена Контракта составляет </w:t>
      </w:r>
      <w:r>
        <w:rPr>
          <w:rStyle w:val="Style_2_ch"/>
          <w:shd w:fill="FFD821" w:val="clear"/>
        </w:rPr>
        <w:t>________________</w:t>
      </w:r>
      <w:r>
        <w:rPr>
          <w:rStyle w:val="Style_2_ch"/>
          <w:shd w:fill="FFD821" w:val="clear"/>
        </w:rPr>
        <w:t xml:space="preserve"> (</w:t>
      </w:r>
      <w:r>
        <w:rPr>
          <w:rStyle w:val="Style_2_ch"/>
          <w:shd w:fill="FFD821" w:val="clear"/>
        </w:rPr>
        <w:t>______________</w:t>
      </w:r>
      <w:r>
        <w:rPr>
          <w:rStyle w:val="Style_2_ch"/>
          <w:shd w:fill="FFD821" w:val="clear"/>
        </w:rPr>
        <w:t xml:space="preserve">) рублей </w:t>
      </w:r>
      <w:r>
        <w:rPr>
          <w:rStyle w:val="Style_2_ch"/>
          <w:shd w:fill="FFD821" w:val="clear"/>
        </w:rPr>
        <w:t>____</w:t>
      </w:r>
      <w:r>
        <w:rPr>
          <w:rStyle w:val="Style_2_ch"/>
          <w:shd w:fill="FFD821" w:val="clear"/>
        </w:rPr>
        <w:t xml:space="preserve"> копе</w:t>
      </w:r>
      <w:r>
        <w:rPr>
          <w:rStyle w:val="Style_2_ch"/>
          <w:shd w:fill="FFD821" w:val="clear"/>
        </w:rPr>
        <w:t>ек</w:t>
      </w:r>
      <w:r>
        <w:rPr>
          <w:rStyle w:val="Style_2_ch"/>
          <w:shd w:fill="FFD821" w:val="clear"/>
        </w:rPr>
        <w:t>,</w:t>
      </w:r>
      <w:r>
        <w:rPr>
          <w:rStyle w:val="Style_2_ch"/>
          <w:shd w:fill="FFD821" w:val="clear"/>
        </w:rPr>
        <w:t xml:space="preserve"> </w:t>
      </w:r>
      <w:r>
        <w:rPr>
          <w:rStyle w:val="Style_2_ch"/>
          <w:shd w:fill="FFD821" w:val="clear"/>
        </w:rPr>
        <w:t xml:space="preserve">в </w:t>
      </w:r>
      <w:r>
        <w:rPr>
          <w:shd w:fill="FFD821" w:val="clear"/>
        </w:rPr>
        <w:t xml:space="preserve">том числе НДС_%, </w:t>
      </w:r>
      <w:r>
        <w:rPr>
          <w:shd w:fill="FFD821" w:val="clear"/>
        </w:rPr>
        <w:t>НДС не облагается</w:t>
      </w:r>
      <w:r>
        <w:rPr>
          <w:shd w:fill="FFD821" w:val="clear"/>
        </w:rPr>
        <w:t>.</w:t>
      </w:r>
      <w:r>
        <w:rPr>
          <w:shd w:fill="FFD821" w:val="clear"/>
        </w:rPr>
        <w:t xml:space="preserve"> </w:t>
      </w:r>
    </w:p>
    <w:p w14:paraId="16000000">
      <w:pPr>
        <w:pStyle w:val="Style_2"/>
        <w:spacing w:after="0" w:before="0"/>
        <w:ind w:firstLine="567" w:left="0"/>
        <w:jc w:val="both"/>
      </w:pPr>
      <w:r>
        <w:t>2.2. Цена Контракта является твердой и определена на весь срок исполнения Контракта за исключением случаев, предусмотренных настоящим Контрактом и действующим законодательством РФ.</w:t>
      </w:r>
    </w:p>
    <w:p w14:paraId="17000000">
      <w:pPr>
        <w:pStyle w:val="Style_2"/>
        <w:spacing w:after="0" w:before="0"/>
        <w:ind w:firstLine="567" w:left="0"/>
        <w:jc w:val="both"/>
      </w:pPr>
      <w:r>
        <w:t xml:space="preserve">2.3. Сумма, </w:t>
      </w:r>
      <w:r>
        <w:t xml:space="preserve">указанная в пункте 2.1. настоящего Контракта, включает в себя все расходы, связанные с исполнением обязательств по нему, </w:t>
      </w:r>
      <w:r>
        <w:t xml:space="preserve">в том числе стоимость материалов, </w:t>
      </w:r>
      <w:r>
        <w:t>необходимых для выполнения Работ, транспортные расходы Подрядчика, расходы на разгрузоч</w:t>
      </w:r>
      <w:r>
        <w:t>но-погрузочные работы, страхование, все налоги и пошлины, подлежащие выплате за счет Подрядчика, а также расходы на уплату иных сборов и других обязательных платежей.</w:t>
      </w:r>
    </w:p>
    <w:p w14:paraId="18000000">
      <w:r>
        <w:t xml:space="preserve">          </w:t>
      </w:r>
      <w:r>
        <w:t>2.4</w:t>
      </w:r>
      <w:r>
        <w:t xml:space="preserve">. </w:t>
      </w:r>
      <w:r>
        <w:t>Источник финансирования Контракта</w:t>
      </w:r>
      <w:r>
        <w:t xml:space="preserve"> за счет средств бюджета Сосновского сельского поселения.</w:t>
      </w:r>
    </w:p>
    <w:p w14:paraId="19000000">
      <w:pPr>
        <w:pStyle w:val="Style_2"/>
        <w:spacing w:after="0" w:before="0"/>
        <w:ind w:firstLine="567" w:left="0"/>
        <w:jc w:val="both"/>
      </w:pPr>
      <w:r>
        <w:t xml:space="preserve">2.5. </w:t>
      </w:r>
      <w:r>
        <w:t xml:space="preserve">Оплата осуществляется в форме безналичного расчета путем перечисления денежных средств на расчетный счет Подрядчика, в течение </w:t>
      </w:r>
      <w:r>
        <w:t xml:space="preserve">не более </w:t>
      </w:r>
      <w:r>
        <w:t>10</w:t>
      </w:r>
      <w:r>
        <w:t xml:space="preserve"> (</w:t>
      </w:r>
      <w:r>
        <w:t>десяти</w:t>
      </w:r>
      <w:r>
        <w:t xml:space="preserve">) </w:t>
      </w:r>
      <w:r>
        <w:t>рабочих</w:t>
      </w:r>
      <w:r>
        <w:t xml:space="preserve"> дней</w:t>
      </w:r>
      <w:r>
        <w:t xml:space="preserve"> с даты подписания Заказчиком Акта о приемке выполненных работ формы КС-2,</w:t>
      </w:r>
      <w:r>
        <w:t xml:space="preserve"> Справки о стоимости выполненных работ и затрат формы КС-3 и на основании счета, счета-фактуры (при наличии), выставленных Подрядчиком.</w:t>
      </w:r>
      <w:r>
        <w:t xml:space="preserve"> </w:t>
      </w:r>
    </w:p>
    <w:p w14:paraId="1A000000">
      <w:pPr>
        <w:pStyle w:val="Style_2"/>
        <w:spacing w:after="0" w:before="0"/>
        <w:ind w:firstLine="567" w:left="0"/>
        <w:jc w:val="both"/>
      </w:pPr>
      <w:r>
        <w:t>2.6. Сумма, подлежащая уплате Заказчиком</w:t>
      </w:r>
      <w:r>
        <w:t xml:space="preserve"> </w:t>
      </w:r>
      <w:r>
        <w:t xml:space="preserve">Подрядчику - </w:t>
      </w:r>
      <w:r>
        <w:t>юридическому лицу или физическому лицу, в том числе зарегистрированному в качестве индивидуального предпринимателя, уменьшается на размер налогов</w:t>
      </w:r>
      <w:r>
        <w:t xml:space="preserve">, сборов и иных обязательных платежей в бюджеты бюджетной системы Российской Федерации, связанных с оплатой </w:t>
      </w:r>
      <w:r>
        <w:t>К</w:t>
      </w:r>
      <w:r>
        <w:t xml:space="preserve">онтракта, если в соответствии с </w:t>
      </w:r>
      <w:r>
        <w:fldChar w:fldCharType="begin"/>
      </w:r>
      <w:r>
        <w:instrText>HYPERLINK "garantF1://10800200.1"</w:instrText>
      </w:r>
      <w:r>
        <w:fldChar w:fldCharType="separate"/>
      </w:r>
      <w:r>
        <w:t>законодательством</w:t>
      </w:r>
      <w:r>
        <w:fldChar w:fldCharType="end"/>
      </w:r>
      <w:r>
        <w:t xml:space="preserve"> Российской Федерации о налогах и сборах такие налоги, сборы и иные обязательные платежи подлежат уплате в бюджеты бюджетн</w:t>
      </w:r>
      <w:r>
        <w:t>ой системы Российской Федерации З</w:t>
      </w:r>
      <w:r>
        <w:t>аказчиком.</w:t>
      </w:r>
    </w:p>
    <w:p w14:paraId="1B000000">
      <w:pPr>
        <w:pStyle w:val="Style_2"/>
        <w:spacing w:after="0" w:before="0"/>
        <w:ind w:firstLine="567" w:left="0"/>
        <w:jc w:val="both"/>
      </w:pPr>
    </w:p>
    <w:p w14:paraId="1C000000">
      <w:pPr>
        <w:pStyle w:val="Style_2"/>
        <w:spacing w:after="0" w:before="0"/>
        <w:ind w:firstLine="567" w:left="0"/>
        <w:jc w:val="both"/>
      </w:pPr>
    </w:p>
    <w:p w14:paraId="1D000000">
      <w:pPr>
        <w:pStyle w:val="Style_2"/>
        <w:spacing w:after="0" w:before="0"/>
        <w:ind w:firstLine="567" w:left="0"/>
        <w:jc w:val="both"/>
      </w:pPr>
    </w:p>
    <w:p w14:paraId="1E000000">
      <w:pPr>
        <w:pStyle w:val="Style_2"/>
        <w:spacing w:after="0" w:before="0"/>
        <w:ind/>
        <w:jc w:val="center"/>
        <w:rPr>
          <w:b w:val="1"/>
        </w:rPr>
      </w:pPr>
      <w:r>
        <w:rPr>
          <w:b w:val="1"/>
        </w:rPr>
        <w:t>3. ПРАВА И ОБЯЗАННОСТИ СТОРОН</w:t>
      </w:r>
    </w:p>
    <w:p w14:paraId="1F000000">
      <w:pPr>
        <w:pStyle w:val="Style_2"/>
        <w:spacing w:after="0" w:before="0"/>
        <w:ind w:firstLine="567" w:left="0"/>
        <w:jc w:val="both"/>
      </w:pPr>
      <w:r>
        <w:rPr>
          <w:b w:val="1"/>
        </w:rPr>
        <w:t>3.1. Заказчик обязуется:</w:t>
      </w:r>
    </w:p>
    <w:p w14:paraId="20000000">
      <w:pPr>
        <w:pStyle w:val="Style_2"/>
        <w:spacing w:after="0" w:before="0"/>
        <w:ind w:firstLine="567" w:left="0"/>
        <w:jc w:val="both"/>
      </w:pPr>
      <w:r>
        <w:t xml:space="preserve">3.1.1. Обеспечить Подрядчику доступ на Объект в объеме и в сроки, необходимые для </w:t>
      </w:r>
      <w:r>
        <w:t xml:space="preserve">выполнения </w:t>
      </w:r>
      <w:r>
        <w:t xml:space="preserve">Работ по настоящему Контракту. </w:t>
      </w:r>
    </w:p>
    <w:p w14:paraId="21000000">
      <w:pPr>
        <w:pStyle w:val="Style_2"/>
        <w:spacing w:after="0" w:before="0"/>
        <w:ind w:firstLine="567" w:left="0"/>
        <w:jc w:val="both"/>
      </w:pPr>
      <w:r>
        <w:t>3.1.</w:t>
      </w:r>
      <w:r>
        <w:t>2</w:t>
      </w:r>
      <w:r>
        <w:t>. По факту выполнения Работ в полном объеме приня</w:t>
      </w:r>
      <w:r>
        <w:t xml:space="preserve">ть Работы по Объекту в течение </w:t>
      </w:r>
      <w:r>
        <w:t>10</w:t>
      </w:r>
      <w:r>
        <w:t xml:space="preserve"> (</w:t>
      </w:r>
      <w:r>
        <w:t>десяти</w:t>
      </w:r>
      <w:r>
        <w:t>) рабочих дней с даты получения от Подрядчика</w:t>
      </w:r>
      <w:r>
        <w:t xml:space="preserve"> </w:t>
      </w:r>
      <w:r>
        <w:t>Акта о приемке выполненных работ формы КС-2, Справки о стоимости выполненных работ и затрат формы КС-3</w:t>
      </w:r>
      <w:r>
        <w:t xml:space="preserve">, </w:t>
      </w:r>
      <w:r>
        <w:t>а в случае ненадлежащего выполнения Работ Подрядчиком составить мотивированный отказ от принятия выполненных Работ.</w:t>
      </w:r>
    </w:p>
    <w:p w14:paraId="22000000">
      <w:pPr>
        <w:pStyle w:val="Style_2"/>
        <w:spacing w:after="0" w:before="0"/>
        <w:ind w:firstLine="567" w:left="0"/>
        <w:jc w:val="both"/>
      </w:pPr>
      <w:r>
        <w:t>3.1.3. Осуществлять контроль за исполнением Подрядчиком условий Контракта.</w:t>
      </w:r>
    </w:p>
    <w:p w14:paraId="23000000">
      <w:pPr>
        <w:pStyle w:val="Style_2"/>
        <w:spacing w:after="0" w:before="0"/>
        <w:ind w:firstLine="567" w:left="0"/>
        <w:jc w:val="both"/>
        <w:rPr>
          <w:b w:val="1"/>
        </w:rPr>
      </w:pPr>
      <w:r>
        <w:t>3.1.</w:t>
      </w:r>
      <w:r>
        <w:t>4</w:t>
      </w:r>
      <w:r>
        <w:t>. Оплатить</w:t>
      </w:r>
      <w:r>
        <w:t xml:space="preserve"> Подрядчику выполненные Работы в порядке, установленном настоящим Контрактом.</w:t>
      </w:r>
    </w:p>
    <w:p w14:paraId="24000000">
      <w:pPr>
        <w:pStyle w:val="Style_2"/>
        <w:spacing w:after="0" w:before="0"/>
        <w:ind w:firstLine="567" w:left="0"/>
        <w:jc w:val="both"/>
      </w:pPr>
      <w:r>
        <w:rPr>
          <w:b w:val="1"/>
        </w:rPr>
        <w:t>3.2. Подрядчик обязуется:</w:t>
      </w:r>
    </w:p>
    <w:p w14:paraId="25000000">
      <w:pPr>
        <w:pStyle w:val="Style_2"/>
        <w:spacing w:after="0" w:before="0"/>
        <w:ind w:firstLine="567" w:left="0"/>
        <w:jc w:val="both"/>
      </w:pPr>
      <w:r>
        <w:t xml:space="preserve">3.2.1. Выполнить Работы </w:t>
      </w:r>
      <w:r>
        <w:t xml:space="preserve">качественно </w:t>
      </w:r>
      <w:r>
        <w:t>в объеме и в срок, предусмотренные настоящим Контрактом</w:t>
      </w:r>
      <w:r>
        <w:t>.</w:t>
      </w:r>
    </w:p>
    <w:p w14:paraId="26000000">
      <w:pPr>
        <w:ind w:firstLine="567" w:left="0"/>
        <w:jc w:val="both"/>
      </w:pPr>
      <w:r>
        <w:t>3.2.2. Представлять по требованию Заказчика информацию о ходе исполнения выполняемых Работ.</w:t>
      </w:r>
    </w:p>
    <w:p w14:paraId="27000000">
      <w:pPr>
        <w:ind w:firstLine="567" w:left="0"/>
        <w:jc w:val="both"/>
      </w:pPr>
      <w:r>
        <w:t>3.2.</w:t>
      </w:r>
      <w:r>
        <w:t>3</w:t>
      </w:r>
      <w:r>
        <w:t>. При наличии скрытых работ известить Заказчика о готовности скрытых работ (работ, скрываемых последующими работами и конструкциями, качество и точность которых невозможно определить после выполнения последующих работ)</w:t>
      </w:r>
      <w:r>
        <w:t xml:space="preserve"> не менее, чем за 48 часов до начала приёмки соответствующих работ. Факт выполнения работ подтверждается путём оформления акта на выполненные скрытые работы. Приступать к выполнению последующих работ допустимо только после приемки Заказчиком скрытых работ и составления актов освидетельствования этих Работ. Если закрытие Работ выполнено без подтверждения Заказчика, в случае, когда он не был информирован об этом, Подрядчик обязан за свой счет вскрыть любую часть скрытых работ, согласно указанию Заказчика, а з</w:t>
      </w:r>
      <w:r>
        <w:t>атем восстановить ее за свой счет, при этом ответственность за просрочку Подрядчик несет в полном объеме в соответствии с условиями настоящего Контракта.</w:t>
      </w:r>
    </w:p>
    <w:p w14:paraId="28000000">
      <w:pPr>
        <w:ind w:firstLine="567" w:left="0"/>
        <w:jc w:val="both"/>
      </w:pPr>
      <w:r>
        <w:t>3.2.</w:t>
      </w:r>
      <w:r>
        <w:t>4</w:t>
      </w:r>
      <w:r>
        <w:t xml:space="preserve">. </w:t>
      </w:r>
      <w:r>
        <w:t xml:space="preserve">Безвозмездно устранять по требованию Заказчика все выявленные недостатки, если в процессе выполнения работ Подрядчик допустил отступление от условий </w:t>
      </w:r>
      <w:r>
        <w:t>К</w:t>
      </w:r>
      <w:r>
        <w:t>онтракта, ухудшившее их качество.</w:t>
      </w:r>
    </w:p>
    <w:p w14:paraId="29000000">
      <w:pPr>
        <w:ind w:firstLine="567" w:left="0"/>
        <w:jc w:val="both"/>
      </w:pPr>
      <w:r>
        <w:t>3.2.</w:t>
      </w:r>
      <w:r>
        <w:t>5</w:t>
      </w:r>
      <w:r>
        <w:t xml:space="preserve">. </w:t>
      </w:r>
      <w:r>
        <w:t xml:space="preserve">В течение 2 (двух) дней со дня выполнения Работ на Объекте в полном объеме направить Заказчику письменное уведомление о завершении Работ и готовности Объекта к </w:t>
      </w:r>
      <w:r>
        <w:t>приемке, а также предоставить</w:t>
      </w:r>
      <w:r>
        <w:t xml:space="preserve"> Заказчику</w:t>
      </w:r>
      <w:r>
        <w:t xml:space="preserve"> </w:t>
      </w:r>
      <w:r>
        <w:t>Акт о приемке выполненных работ формы КС-2 (2 экземпляра), Справку о стоимости выполненных работ и затрат формы КС-3 (2 экземпляра), исполнительную документацию</w:t>
      </w:r>
      <w:r>
        <w:t>.</w:t>
      </w:r>
    </w:p>
    <w:p w14:paraId="2A000000">
      <w:pPr>
        <w:pStyle w:val="Style_2"/>
        <w:spacing w:after="0" w:before="0"/>
        <w:ind w:firstLine="567" w:left="0"/>
        <w:jc w:val="both"/>
        <w:rPr>
          <w:b w:val="1"/>
        </w:rPr>
      </w:pPr>
      <w:r>
        <w:rPr>
          <w:b w:val="1"/>
        </w:rPr>
        <w:t xml:space="preserve">3.3. </w:t>
      </w:r>
      <w:r>
        <w:rPr>
          <w:b w:val="1"/>
        </w:rPr>
        <w:t>Заказчик имеет право:</w:t>
      </w:r>
    </w:p>
    <w:p w14:paraId="2B000000">
      <w:pPr>
        <w:pStyle w:val="Style_2"/>
        <w:spacing w:after="0" w:before="0"/>
        <w:ind w:firstLine="567" w:left="0"/>
        <w:jc w:val="both"/>
      </w:pPr>
      <w:r>
        <w:t>3.3.1. Б</w:t>
      </w:r>
      <w:r>
        <w:t>еспрепятственного доступа ко всем вида</w:t>
      </w:r>
      <w:r>
        <w:t>м Работ в течение всего периода их выполнения в ходе осуществления Заказчиком контроля за исполнением Подрядчиком условий Контракта</w:t>
      </w:r>
      <w:r>
        <w:t>.</w:t>
      </w:r>
    </w:p>
    <w:p w14:paraId="2C000000">
      <w:pPr>
        <w:pStyle w:val="Style_2"/>
        <w:spacing w:after="0" w:before="0"/>
        <w:ind w:firstLine="567" w:left="0"/>
        <w:jc w:val="both"/>
      </w:pPr>
      <w:r>
        <w:t>3.3.2. Получать от Подрядчика устные и письменные объяснения о ходе исполнения обязательств по настоящем</w:t>
      </w:r>
      <w:r>
        <w:t>у Контракту.</w:t>
      </w:r>
    </w:p>
    <w:p w14:paraId="2D000000">
      <w:pPr>
        <w:pStyle w:val="Style_2"/>
        <w:spacing w:after="0" w:before="0"/>
        <w:ind w:firstLine="567" w:left="0"/>
        <w:jc w:val="both"/>
        <w:rPr>
          <w:b w:val="1"/>
        </w:rPr>
      </w:pPr>
      <w:r>
        <w:rPr>
          <w:b w:val="1"/>
        </w:rPr>
        <w:t xml:space="preserve">3.4. Подрядчик имеет право: </w:t>
      </w:r>
    </w:p>
    <w:p w14:paraId="2E000000">
      <w:pPr>
        <w:pStyle w:val="Style_2"/>
        <w:numPr>
          <w:ilvl w:val="0"/>
          <w:numId w:val="3"/>
        </w:numPr>
        <w:spacing w:after="0" w:before="0"/>
        <w:ind w:firstLine="567" w:left="0"/>
        <w:jc w:val="both"/>
      </w:pPr>
      <w:r>
        <w:t>3.4.1. Выполнить весь объем Работ, предусмотренный Контрактом, досрочно, при этом Подрядчик не вправе требовать увеличения цены Контракта и досрочной оплаты Работ.</w:t>
      </w:r>
    </w:p>
    <w:p w14:paraId="2F000000">
      <w:pPr>
        <w:pStyle w:val="Style_2"/>
        <w:spacing w:after="0" w:before="0"/>
        <w:ind w:firstLine="567" w:left="0"/>
        <w:jc w:val="both"/>
      </w:pPr>
    </w:p>
    <w:p w14:paraId="30000000">
      <w:pPr>
        <w:pStyle w:val="Style_2"/>
        <w:spacing w:after="0" w:before="0"/>
        <w:ind/>
        <w:jc w:val="center"/>
      </w:pPr>
      <w:r>
        <w:rPr>
          <w:b w:val="1"/>
        </w:rPr>
        <w:t>4. ТРЕБОВАНИЕ К РАБОТАМ И ПОРЯДОК ИХ ПРИЕМКИ</w:t>
      </w:r>
    </w:p>
    <w:p w14:paraId="31000000">
      <w:pPr>
        <w:pStyle w:val="Style_2"/>
        <w:spacing w:after="0" w:before="0"/>
        <w:ind w:firstLine="567" w:left="0"/>
        <w:jc w:val="both"/>
      </w:pPr>
      <w:r>
        <w:t>4.1.</w:t>
      </w:r>
      <w:r>
        <w:t xml:space="preserve"> </w:t>
      </w:r>
      <w:r>
        <w:t>Качество выполняемых Работ, их результат должны соответствовать требованиям действующих на территории Российской Федерации государственных стандартов, технических регламентов, строительных норм и правил, и требованиям иной нормативной документации, действующей на территории Российской Федерации, применимой для данного вида Работ.</w:t>
      </w:r>
    </w:p>
    <w:p w14:paraId="32000000">
      <w:pPr>
        <w:pStyle w:val="Style_2"/>
        <w:spacing w:after="0" w:before="0"/>
        <w:ind w:firstLine="567" w:left="0"/>
        <w:jc w:val="both"/>
      </w:pPr>
      <w:r>
        <w:t xml:space="preserve">4.2. </w:t>
      </w:r>
      <w:r>
        <w:t>Подрядчик обязан организовать безопасное выполнение Работ, гарантировать соблюдение сотрудниками Подрядчика трудовой дисциплины, правил пожарной безопасности, охраны окружающ</w:t>
      </w:r>
      <w:r>
        <w:t>ей среды, соблюдение правил санитарии и иных нормативных документов, действующих на территории Российской Федерации. Подрядчик несет полную ответственность по технике безопасности, охране труда, здоровья рабочих. При выполнении Работ Подрядчик должен обеспечить надежность и безопасность выполнения Работ.</w:t>
      </w:r>
    </w:p>
    <w:p w14:paraId="33000000">
      <w:pPr>
        <w:pStyle w:val="Style_2"/>
        <w:spacing w:after="0" w:before="0"/>
        <w:ind w:firstLine="567" w:left="0"/>
        <w:jc w:val="both"/>
      </w:pPr>
      <w:r>
        <w:t xml:space="preserve">4.3. </w:t>
      </w:r>
      <w:r>
        <w:t>Все материалы, используемые при выполнении работ, должны удовлетворять требованиям, предъявляемым к ним в РФ по пожарной безопасности, износостойкости и выделению токсичных веществ, а также должны быть</w:t>
      </w:r>
      <w:r>
        <w:t xml:space="preserve"> новыми, раннее не использованными, соответствовать требованиям ГОСТ, а в случае отсутствия таких требований, требованиям технических регламентов, ТУ, иной нормативно-технической документации, принятой и действующей в Российской Федерации.</w:t>
      </w:r>
    </w:p>
    <w:p w14:paraId="34000000">
      <w:pPr>
        <w:pStyle w:val="Style_2"/>
        <w:spacing w:after="0" w:before="0"/>
        <w:ind w:firstLine="567" w:left="0"/>
        <w:jc w:val="both"/>
      </w:pPr>
      <w:r>
        <w:t>Материалы, изделия</w:t>
      </w:r>
      <w:r>
        <w:t>, используемые при выполнении работ, должны быть разрешены к применению на территории Российской Федерации, иметь необходимые разрешительные документы, технические паспорта, сертификаты соответствия, удостоверяющие их качество</w:t>
      </w:r>
      <w:r>
        <w:t xml:space="preserve">, </w:t>
      </w:r>
      <w:r>
        <w:t>если в соответствии с зако</w:t>
      </w:r>
      <w:r>
        <w:t>нодательством РФ такие документы являются обязательными</w:t>
      </w:r>
      <w:r>
        <w:t>. Копии указанных документов должны быть предоставлены Заказчику при приемке Работ</w:t>
      </w:r>
    </w:p>
    <w:p w14:paraId="35000000">
      <w:pPr>
        <w:pStyle w:val="Style_2"/>
        <w:spacing w:after="0" w:before="0"/>
        <w:ind w:firstLine="567" w:left="0"/>
        <w:jc w:val="both"/>
      </w:pPr>
      <w:r>
        <w:t xml:space="preserve">4.4. </w:t>
      </w:r>
      <w:r>
        <w:t>Объём выполн</w:t>
      </w:r>
      <w:r>
        <w:t>енных</w:t>
      </w:r>
      <w:r>
        <w:t xml:space="preserve"> Работ должен соответствовать объёму, предусмотренному Приложением №1 к настоящему Контракту.</w:t>
      </w:r>
    </w:p>
    <w:p w14:paraId="36000000">
      <w:pPr>
        <w:pStyle w:val="Style_2"/>
        <w:spacing w:after="0" w:before="0"/>
        <w:ind w:firstLine="567" w:left="0"/>
        <w:jc w:val="both"/>
      </w:pPr>
      <w:r>
        <w:t>4.</w:t>
      </w:r>
      <w:r>
        <w:t>5</w:t>
      </w:r>
      <w:r>
        <w:t>. Приемка Работ по качеству и количеству осуществляется путем подписания Сторонами</w:t>
      </w:r>
      <w:r>
        <w:t xml:space="preserve"> </w:t>
      </w:r>
      <w:r>
        <w:t>Акта о приемке выполненных работ формы КС-2 и Справки о стоимости выполненных работ и затрат</w:t>
      </w:r>
      <w:r>
        <w:rPr>
          <w:b w:val="1"/>
        </w:rPr>
        <w:t xml:space="preserve"> </w:t>
      </w:r>
      <w:r>
        <w:t>формы КС-3</w:t>
      </w:r>
      <w:r>
        <w:t>.</w:t>
      </w:r>
    </w:p>
    <w:p w14:paraId="37000000">
      <w:pPr>
        <w:pStyle w:val="Style_2"/>
        <w:spacing w:after="0" w:before="0"/>
        <w:ind w:firstLine="567" w:left="0"/>
        <w:jc w:val="both"/>
      </w:pPr>
      <w:r>
        <w:t>4.</w:t>
      </w:r>
      <w:r>
        <w:t>6</w:t>
      </w:r>
      <w:r>
        <w:t xml:space="preserve">. В течение </w:t>
      </w:r>
      <w:r>
        <w:t>10</w:t>
      </w:r>
      <w:r>
        <w:t xml:space="preserve"> (</w:t>
      </w:r>
      <w:r>
        <w:t>десяти</w:t>
      </w:r>
      <w:r>
        <w:t>) рабочих дней с момента представления Заказчику Подрядчиком</w:t>
      </w:r>
      <w:r>
        <w:t xml:space="preserve"> </w:t>
      </w:r>
      <w:r>
        <w:t>Акт</w:t>
      </w:r>
      <w:r>
        <w:t>а</w:t>
      </w:r>
      <w:r>
        <w:t xml:space="preserve"> о приемке выполненных работ формы КС-2 (2</w:t>
      </w:r>
      <w:r>
        <w:t>-х</w:t>
      </w:r>
      <w:r>
        <w:t xml:space="preserve"> экземпляр</w:t>
      </w:r>
      <w:r>
        <w:t>ов</w:t>
      </w:r>
      <w:r>
        <w:t>), Справк</w:t>
      </w:r>
      <w:r>
        <w:t>и</w:t>
      </w:r>
      <w:r>
        <w:t xml:space="preserve"> о стоимости выполненных работ и затрат формы КС-3 (2</w:t>
      </w:r>
      <w:r>
        <w:t>-х</w:t>
      </w:r>
      <w:r>
        <w:t xml:space="preserve"> экземпляр</w:t>
      </w:r>
      <w:r>
        <w:t>ов</w:t>
      </w:r>
      <w:r>
        <w:t>), счет</w:t>
      </w:r>
      <w:r>
        <w:t>а</w:t>
      </w:r>
      <w:r>
        <w:t xml:space="preserve"> на оплату, счет-фактур</w:t>
      </w:r>
      <w:r>
        <w:t>ы</w:t>
      </w:r>
      <w:r>
        <w:t xml:space="preserve"> (при наличии), исполнительн</w:t>
      </w:r>
      <w:r>
        <w:t>ой</w:t>
      </w:r>
      <w:r>
        <w:t xml:space="preserve"> документаци</w:t>
      </w:r>
      <w:r>
        <w:t>и</w:t>
      </w:r>
      <w:r>
        <w:t>, Заказчик проверяет резу</w:t>
      </w:r>
      <w:r>
        <w:t xml:space="preserve">льтаты исполнения Подрядчиком обязательств по настоящему Контракту на предмет соответствия выполненных Работ требованиям и условиям настоящего Контракта. </w:t>
      </w:r>
    </w:p>
    <w:p w14:paraId="38000000">
      <w:pPr>
        <w:pStyle w:val="Style_2"/>
        <w:spacing w:after="0" w:before="0"/>
        <w:ind w:firstLine="567" w:left="0"/>
        <w:jc w:val="both"/>
      </w:pPr>
      <w:r>
        <w:t xml:space="preserve">Приемка Работ осуществляется согласно требованиям действующего законодательства РФ, включая проведение экспертизы выполненных Работ в соответствии с Федеральным законом от 05 апреля 2013 года №44-ФЗ «О </w:t>
      </w:r>
      <w:r>
        <w:t>контрактной системе в сфере закупок товаров, работ, услуг для обеспечения государственных или муниципальных нужд».</w:t>
      </w:r>
    </w:p>
    <w:p w14:paraId="39000000">
      <w:pPr>
        <w:pStyle w:val="Style_2"/>
        <w:spacing w:after="0" w:before="0"/>
        <w:ind w:firstLine="567" w:left="0"/>
        <w:jc w:val="both"/>
      </w:pPr>
      <w:r>
        <w:t>4.</w:t>
      </w:r>
      <w:r>
        <w:t>7</w:t>
      </w:r>
      <w:r>
        <w:t xml:space="preserve">. По результатам проверки исполнения </w:t>
      </w:r>
      <w:r>
        <w:t xml:space="preserve">обязательств Подрядчика по настоящему Контракту Заказчик передает </w:t>
      </w:r>
      <w:r>
        <w:t>Подрядчику соответствующие экземпляры подписанных со своей стороны Акта о приемке выполненных работ формы КС-2, Справки о стоимости выполненных работ и затрат формы КС-3 или мотивированный отказ от их подписания.</w:t>
      </w:r>
    </w:p>
    <w:p w14:paraId="3A000000">
      <w:pPr>
        <w:pStyle w:val="Style_2"/>
        <w:spacing w:after="0" w:before="0"/>
        <w:ind w:firstLine="567" w:left="0"/>
        <w:jc w:val="both"/>
      </w:pPr>
      <w:r>
        <w:t>4.</w:t>
      </w:r>
      <w:r>
        <w:t>8</w:t>
      </w:r>
      <w:r>
        <w:t>. В случае получения мотивированного отказ</w:t>
      </w:r>
      <w:r>
        <w:t xml:space="preserve">а Заказчика, указанного в п. </w:t>
      </w:r>
      <w:r>
        <w:t>4.</w:t>
      </w:r>
      <w:r>
        <w:t>7</w:t>
      </w:r>
      <w:r>
        <w:t>. настоящего Контракта, Подрядчик обязан рассмотреть мотивированный отказ и устранить указанные в нем недостатки (дефекты) в сроки, согласованные с Заказчик</w:t>
      </w:r>
      <w:r>
        <w:t xml:space="preserve">ом. </w:t>
      </w:r>
    </w:p>
    <w:p w14:paraId="3B000000">
      <w:pPr>
        <w:pStyle w:val="Style_2"/>
        <w:spacing w:after="0" w:before="0"/>
        <w:ind w:firstLine="567" w:left="0"/>
        <w:jc w:val="both"/>
      </w:pPr>
      <w:r>
        <w:t>4.</w:t>
      </w:r>
      <w:r>
        <w:t>9</w:t>
      </w:r>
      <w:r>
        <w:t>.</w:t>
      </w:r>
      <w:r>
        <w:t xml:space="preserve"> Датой приемки выполненных работ считается дата подписания Заказчиком Акта о приемке выполненных работ формы КС-2. Подписанные между Заказчиком и Подрядчиком по факту выполнения Работ в полном объеме Акты о приемке выполненных работ формы КС-2, Справки о стоимости выполненных работ и затрат формы КС-3 являются основанием для оплаты выполненных Работ.</w:t>
      </w:r>
    </w:p>
    <w:p w14:paraId="3C000000">
      <w:pPr>
        <w:pStyle w:val="Style_2"/>
        <w:spacing w:after="0" w:before="0"/>
        <w:ind w:firstLine="567" w:left="0"/>
        <w:jc w:val="both"/>
      </w:pPr>
      <w:r>
        <w:t xml:space="preserve">Подрядчик </w:t>
      </w:r>
      <w:r>
        <w:t xml:space="preserve">совместно с </w:t>
      </w:r>
      <w:r>
        <w:t>актом выполненных работ</w:t>
      </w:r>
      <w:r>
        <w:t xml:space="preserve"> предоставляет фотоотчет о проведенных работах </w:t>
      </w:r>
      <w:r>
        <w:t>(фото до и после выполнения работ)</w:t>
      </w:r>
    </w:p>
    <w:p w14:paraId="3D000000">
      <w:pPr>
        <w:pStyle w:val="Style_2"/>
        <w:spacing w:after="0" w:before="0"/>
        <w:ind w:firstLine="567" w:left="0"/>
        <w:jc w:val="both"/>
      </w:pPr>
    </w:p>
    <w:p w14:paraId="3E000000">
      <w:pPr>
        <w:pStyle w:val="Style_2"/>
        <w:spacing w:after="0" w:before="0"/>
        <w:ind/>
        <w:jc w:val="center"/>
      </w:pPr>
      <w:r>
        <w:rPr>
          <w:b w:val="1"/>
        </w:rPr>
        <w:t>5. ГАРАНТИИ</w:t>
      </w:r>
    </w:p>
    <w:p w14:paraId="3F000000">
      <w:pPr>
        <w:pStyle w:val="Style_2"/>
        <w:numPr>
          <w:ilvl w:val="0"/>
          <w:numId w:val="3"/>
        </w:numPr>
        <w:spacing w:after="0" w:before="0"/>
        <w:ind w:firstLine="567" w:left="0"/>
        <w:jc w:val="both"/>
      </w:pPr>
      <w:r>
        <w:t>5.1. Подря</w:t>
      </w:r>
      <w:r>
        <w:t>дчик гарантирует:</w:t>
      </w:r>
    </w:p>
    <w:p w14:paraId="40000000">
      <w:pPr>
        <w:pStyle w:val="Style_2"/>
        <w:numPr>
          <w:ilvl w:val="0"/>
          <w:numId w:val="3"/>
        </w:numPr>
        <w:spacing w:after="0" w:before="0"/>
        <w:ind w:firstLine="567" w:left="0"/>
        <w:jc w:val="both"/>
      </w:pPr>
      <w:r>
        <w:t xml:space="preserve">- надлежащее качество выполнения всех Работ в соответствии с условиями настоящего Контракта и требованиями нормативно-технической документации, действующей на территории Российской Федерации, соответствие качества </w:t>
      </w:r>
      <w:r>
        <w:t xml:space="preserve">используемых </w:t>
      </w:r>
      <w:r>
        <w:t>материалов</w:t>
      </w:r>
      <w:r>
        <w:t>, издели</w:t>
      </w:r>
      <w:r>
        <w:t>й</w:t>
      </w:r>
      <w:r>
        <w:t xml:space="preserve"> и констру</w:t>
      </w:r>
      <w:r>
        <w:t>к</w:t>
      </w:r>
      <w:r>
        <w:t>ци</w:t>
      </w:r>
      <w:r>
        <w:t>й</w:t>
      </w:r>
      <w:r>
        <w:t xml:space="preserve"> строительным нормам и правилам;</w:t>
      </w:r>
    </w:p>
    <w:p w14:paraId="41000000">
      <w:pPr>
        <w:pStyle w:val="Style_2"/>
        <w:numPr>
          <w:ilvl w:val="0"/>
          <w:numId w:val="3"/>
        </w:numPr>
        <w:spacing w:after="0" w:before="0"/>
        <w:ind w:firstLine="567" w:left="0"/>
        <w:jc w:val="both"/>
      </w:pPr>
      <w:r>
        <w:t>- устранение недостатков (дефектов), выявленных при приемке Работ и в период гаранти</w:t>
      </w:r>
      <w:r>
        <w:t>й</w:t>
      </w:r>
      <w:r>
        <w:t>ной эксплуатации результата Работ в согласованный с Заказчиком срок.</w:t>
      </w:r>
    </w:p>
    <w:p w14:paraId="42000000">
      <w:pPr>
        <w:pStyle w:val="Style_2"/>
        <w:numPr>
          <w:ilvl w:val="0"/>
          <w:numId w:val="3"/>
        </w:numPr>
        <w:spacing w:after="0" w:before="0"/>
        <w:ind w:firstLine="567" w:left="0"/>
        <w:jc w:val="both"/>
      </w:pPr>
      <w:r>
        <w:t xml:space="preserve">- объем гарантии качества </w:t>
      </w:r>
      <w:r>
        <w:t xml:space="preserve">Работ </w:t>
      </w:r>
      <w:r>
        <w:t>составляет 100%</w:t>
      </w:r>
      <w:r>
        <w:t>.</w:t>
      </w:r>
    </w:p>
    <w:p w14:paraId="43000000">
      <w:pPr>
        <w:pStyle w:val="Style_2"/>
        <w:numPr>
          <w:ilvl w:val="0"/>
          <w:numId w:val="3"/>
        </w:numPr>
        <w:spacing w:after="0" w:before="0"/>
        <w:ind w:firstLine="567" w:left="0"/>
        <w:jc w:val="both"/>
      </w:pPr>
      <w:r>
        <w:t xml:space="preserve">5.2. Гарантия качества на выполненные Работы составляет </w:t>
      </w:r>
      <w:r>
        <w:rPr>
          <w:b w:val="1"/>
        </w:rPr>
        <w:t>12</w:t>
      </w:r>
      <w:r>
        <w:rPr>
          <w:b w:val="1"/>
        </w:rPr>
        <w:t xml:space="preserve"> месяц</w:t>
      </w:r>
      <w:r>
        <w:rPr>
          <w:b w:val="1"/>
        </w:rPr>
        <w:t>ев</w:t>
      </w:r>
      <w:r>
        <w:t xml:space="preserve"> с момента подписания заказчиком Акта о приемке выполненных работ формы КС-2.</w:t>
      </w:r>
    </w:p>
    <w:p w14:paraId="44000000">
      <w:pPr>
        <w:pStyle w:val="Style_2"/>
        <w:numPr>
          <w:ilvl w:val="0"/>
          <w:numId w:val="3"/>
        </w:numPr>
        <w:spacing w:after="0" w:before="0"/>
        <w:ind w:firstLine="567" w:left="0"/>
        <w:jc w:val="both"/>
      </w:pPr>
      <w:r>
        <w:t>5.3. Если в период гарантийной эксплуатации, установленный пунктом 5.2. настоящего Контракта, обнаружатся недостатки (дефекты) выполненных Работ, допущенные по вине По</w:t>
      </w:r>
      <w:r>
        <w:t>д</w:t>
      </w:r>
      <w:r>
        <w:t>рядчика, то последний обязан их устранить за свой счет и в согласованные с Заказчиком сроки. Гарантийный срок в этом случае продлевается, соответственно, на период устранения дефе</w:t>
      </w:r>
      <w:r>
        <w:t>к</w:t>
      </w:r>
      <w:r>
        <w:t>тов.</w:t>
      </w:r>
    </w:p>
    <w:p w14:paraId="45000000">
      <w:pPr>
        <w:pStyle w:val="Style_2"/>
        <w:numPr>
          <w:ilvl w:val="0"/>
          <w:numId w:val="3"/>
        </w:numPr>
        <w:spacing w:after="0" w:before="0"/>
        <w:ind w:firstLine="567" w:left="0"/>
        <w:jc w:val="both"/>
      </w:pPr>
      <w:r>
        <w:t>При обнаружен</w:t>
      </w:r>
      <w:r>
        <w:t>ии в течение гарантийного срока недостатков (дефектов), Заказчик должен заявить о них Подрядчику в срок не позднее 5 (пяти) рабочих дней с даты их обнаружения. В течение 5 (пяти) рабочих дней после получения Подрядчиком уведомления об обнаруженных недостатках (дефектах) в выполненных Работах, Стороны составляют акт, в котором фиксир</w:t>
      </w:r>
      <w:r>
        <w:t>у</w:t>
      </w:r>
      <w:r>
        <w:t>ются обнаруженные недостатки, сроки их устранения. Для составления соответствующего акта Стороны вправе привлечь экспертную организацию/независимого эксперта в соответствующей о</w:t>
      </w:r>
      <w:r>
        <w:t>б</w:t>
      </w:r>
      <w:r>
        <w:t>ласти. Экспертиза может быть назначена также по требованию любой из Сторон.</w:t>
      </w:r>
    </w:p>
    <w:p w14:paraId="46000000">
      <w:pPr>
        <w:pStyle w:val="Style_2"/>
        <w:numPr>
          <w:ilvl w:val="0"/>
          <w:numId w:val="3"/>
        </w:numPr>
        <w:spacing w:after="0" w:before="0"/>
        <w:ind w:firstLine="567" w:left="0"/>
        <w:jc w:val="both"/>
      </w:pPr>
      <w:r>
        <w:t>5.4. В случае уклонения Подрядчика в течение 5 (пяти) рабочих дней от составления указанного акта Заказчик вправе составить соответствующий акт в одностороннем порядке с пр</w:t>
      </w:r>
      <w:r>
        <w:t>и</w:t>
      </w:r>
      <w:r>
        <w:t>влечением эк</w:t>
      </w:r>
      <w:r>
        <w:t>спертной организации/ независимого эксперта в данной области. При этом расходы на экспертизу несет Подрядчик, за исключением случаев, когда экспертизой установлено отсу</w:t>
      </w:r>
      <w:r>
        <w:t>т</w:t>
      </w:r>
      <w:r>
        <w:t>ствие нарушений Подрядчиком требований настоящего Контракта или причинно-следстве</w:t>
      </w:r>
      <w:r>
        <w:t>нной связи между действиями Подрядчика и обнаруженными недостатками. В указанных случаях расходы на экспертизу несет Сторона, потребовавшая назначение экспертизы, а если она назн</w:t>
      </w:r>
      <w:r>
        <w:t>а</w:t>
      </w:r>
      <w:r>
        <w:t>чена по соглашению между Сторонами, обе Стороны оплачивают экспертизу поровну. Гара</w:t>
      </w:r>
      <w:r>
        <w:t>н</w:t>
      </w:r>
      <w:r>
        <w:t>тийный срок в этом случае продлевается, соответственно, на период устранения дефектов.</w:t>
      </w:r>
    </w:p>
    <w:p w14:paraId="47000000">
      <w:pPr>
        <w:pStyle w:val="Style_2"/>
        <w:numPr>
          <w:ilvl w:val="0"/>
          <w:numId w:val="3"/>
        </w:numPr>
        <w:spacing w:after="0" w:before="0"/>
        <w:ind w:firstLine="567" w:left="0"/>
        <w:jc w:val="both"/>
      </w:pPr>
      <w:r>
        <w:t xml:space="preserve">5.5. Гарантия качества распространяется на все Работы. Подрядчик несет ответственность за все скрытые дефекты, которые не были обнаружены к началу гарантийного периода. </w:t>
      </w:r>
    </w:p>
    <w:p w14:paraId="48000000">
      <w:pPr>
        <w:tabs>
          <w:tab w:leader="none" w:pos="708" w:val="left"/>
          <w:tab w:leader="none" w:pos="1980" w:val="left"/>
        </w:tabs>
        <w:ind w:firstLine="567" w:left="0"/>
        <w:jc w:val="both"/>
      </w:pPr>
      <w:r>
        <w:t>5.6. Гарантийный срок на материалы, изделия, используемые при выполн</w:t>
      </w:r>
      <w:r>
        <w:t>е</w:t>
      </w:r>
      <w:r>
        <w:t>нии Работ, должен составлять не менее срока, установленного производителем таких материалов, изделий.</w:t>
      </w:r>
    </w:p>
    <w:p w14:paraId="49000000">
      <w:pPr>
        <w:pStyle w:val="Style_2"/>
        <w:numPr>
          <w:ilvl w:val="0"/>
          <w:numId w:val="3"/>
        </w:numPr>
        <w:spacing w:after="0" w:before="0"/>
        <w:ind w:firstLine="567" w:left="0"/>
        <w:jc w:val="both"/>
      </w:pPr>
      <w:r>
        <w:t>5.7. Гарантии, предусмотренные настоящим разделом Контракта, не распространяются на случаи преднамеренного повреждения результатов Работ со стороны третьих лиц.</w:t>
      </w:r>
    </w:p>
    <w:p w14:paraId="4A000000">
      <w:pPr>
        <w:pStyle w:val="Style_2"/>
        <w:spacing w:after="0" w:before="0"/>
        <w:ind w:firstLine="567" w:left="0"/>
        <w:jc w:val="both"/>
      </w:pPr>
    </w:p>
    <w:p w14:paraId="4B000000">
      <w:pPr>
        <w:pStyle w:val="Style_2"/>
        <w:spacing w:after="0" w:before="0"/>
        <w:ind/>
        <w:jc w:val="center"/>
      </w:pPr>
      <w:r>
        <w:rPr>
          <w:b w:val="1"/>
        </w:rPr>
        <w:t>6. ОТВЕТС</w:t>
      </w:r>
      <w:r>
        <w:rPr>
          <w:b w:val="1"/>
        </w:rPr>
        <w:t>ТВЕННОСТЬ СТОРОН</w:t>
      </w:r>
    </w:p>
    <w:p w14:paraId="4C000000">
      <w:pPr>
        <w:pStyle w:val="Style_2"/>
        <w:spacing w:after="0" w:before="0"/>
        <w:ind w:firstLine="567" w:left="0"/>
        <w:jc w:val="both"/>
      </w:pPr>
      <w:r>
        <w:t>6.1.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РФ.</w:t>
      </w:r>
    </w:p>
    <w:p w14:paraId="4D000000">
      <w:pPr>
        <w:ind w:firstLine="567" w:left="0"/>
        <w:jc w:val="both"/>
      </w:pPr>
      <w:r>
        <w:t xml:space="preserve">6.2.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Подрядчик вправе потребовать уплаты неустоек (штрафов, пеней). </w:t>
      </w:r>
    </w:p>
    <w:p w14:paraId="4E000000">
      <w:pPr>
        <w:ind w:firstLine="567" w:left="0"/>
        <w:jc w:val="both"/>
      </w:pPr>
      <w:r>
        <w:t xml:space="preserve">6.3. Пеня начисляется за каждый день просрочки исполнения </w:t>
      </w:r>
      <w:r>
        <w:t>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F000000">
      <w:pPr>
        <w:ind w:firstLine="567" w:left="0"/>
        <w:jc w:val="both"/>
      </w:pPr>
      <w:r>
        <w:t>6.4.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</w:t>
      </w:r>
      <w:r>
        <w:t>м. Размер штрафа устанавливается в порядке, установленном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</w:t>
      </w:r>
      <w:r>
        <w:t>ерации от 15.05.2017 № 570 и признании утратившим силу постановления Правительства Российской Федерации от 25.11.2013 № 1063» (далее по тексту – Постановление Правительства РФ № 1042 от 30.08.2017г.).</w:t>
      </w:r>
    </w:p>
    <w:p w14:paraId="50000000">
      <w:pPr>
        <w:ind w:firstLine="567" w:left="0"/>
        <w:jc w:val="both"/>
      </w:pPr>
      <w:r>
        <w:t>6.5.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14:paraId="51000000">
      <w:pPr>
        <w:ind w:firstLine="567" w:left="0"/>
        <w:jc w:val="both"/>
      </w:pPr>
      <w:r>
        <w:t>а) 1000 рублей, если цена контракта не превышает 3 млн. рублей (включительно).</w:t>
      </w:r>
    </w:p>
    <w:p w14:paraId="52000000">
      <w:pPr>
        <w:ind w:firstLine="567" w:left="0"/>
        <w:jc w:val="both"/>
      </w:pPr>
      <w:r>
        <w:t>6.6. В случае про</w:t>
      </w:r>
      <w:r>
        <w:t>срочки исполнения Подрядчиком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Подрядчиком обязательств, предусмотренных Контрактом, Заказчик направляет Подрядчику требование об уплате неустоек (штрафов, пеней).</w:t>
      </w:r>
    </w:p>
    <w:p w14:paraId="53000000">
      <w:pPr>
        <w:ind w:firstLine="540" w:left="0"/>
        <w:jc w:val="both"/>
      </w:pPr>
      <w:r>
        <w:t>6.7. Пеня начисляется за каждый день просрочки исполнения Подрядчиком обязательства, предусмотренного Контрактом, начиная со дня, следующего после дня истечения установленного Контрактом срока исполнен</w:t>
      </w:r>
      <w:r>
        <w:t>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</w:t>
      </w:r>
      <w:r>
        <w:t xml:space="preserve"> </w:t>
      </w:r>
      <w:r>
        <w:t>(отдельного этапа исполнения контракта)</w:t>
      </w:r>
      <w:r>
        <w:t>, уменьшенной на сумму, пропорциональную объему обязательств, предусмотренных Контрактом</w:t>
      </w:r>
      <w:r>
        <w:t xml:space="preserve"> (соответствующим отдельным этапом исполнения контракта) </w:t>
      </w:r>
      <w:r>
        <w:t>и фактически исполненных Подрядчиком.</w:t>
      </w:r>
    </w:p>
    <w:p w14:paraId="54000000">
      <w:pPr>
        <w:ind w:firstLine="567" w:left="0"/>
        <w:jc w:val="both"/>
      </w:pPr>
      <w:r>
        <w:t>6.8. Штрафы начисляются за неисполнение или ненадлежащее исполнение Подрядчиком обязательств, предусмотренных К</w:t>
      </w:r>
      <w:r>
        <w:t>онтрактом, за исключением просрочки исполнения Подрядчиком обязательств (в том числе гарантийного обязательства), предусмотренных Контрактом. Размер штрафа устанавливается контрактом в </w:t>
      </w:r>
      <w:r>
        <w:fldChar w:fldCharType="begin"/>
      </w:r>
      <w:r>
        <w:instrText>HYPERLINK "http://mobileonline.garant.ru/#/document/71757358/entry/1000"</w:instrText>
      </w:r>
      <w:r>
        <w:fldChar w:fldCharType="separate"/>
      </w:r>
      <w:r>
        <w:t>порядке</w:t>
      </w:r>
      <w:r>
        <w:fldChar w:fldCharType="end"/>
      </w:r>
      <w:r>
        <w:t>, установленном Постановлением Правительства РФ № 1042 от 30.08.2017г.</w:t>
      </w:r>
    </w:p>
    <w:p w14:paraId="55000000">
      <w:pPr>
        <w:ind w:firstLine="567" w:left="0"/>
        <w:jc w:val="both"/>
      </w:pPr>
      <w:r>
        <w:t>6.9. За каждый факт неисполнения или ненадлежащего исполнения Подрядчиком обязательств, предусмотренных Контрактом, за исключением просрочки исполнения обязательств (в</w:t>
      </w:r>
      <w:r>
        <w:t xml:space="preserve"> том числе гарантийного обязательства), предусмотренных Контрактом, размер штрафа устанавливается в следующем порядке:</w:t>
      </w:r>
    </w:p>
    <w:p w14:paraId="56000000">
      <w:pPr>
        <w:ind w:firstLine="567" w:left="0"/>
        <w:jc w:val="both"/>
      </w:pPr>
      <w:r>
        <w:t>а) 10 процентов цены контракта (этапа) в случае, если цена контракта (этапа) не превышает 3 млн. рублей.</w:t>
      </w:r>
    </w:p>
    <w:p w14:paraId="57000000">
      <w:pPr>
        <w:ind w:firstLine="567" w:left="0"/>
        <w:jc w:val="both"/>
      </w:pPr>
      <w:r>
        <w:t>6.10. За каждый факт неисполнения или ненадлежащего исполнения Подрядчиком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 w14:paraId="58000000">
      <w:pPr>
        <w:ind w:firstLine="567" w:left="0"/>
        <w:jc w:val="both"/>
      </w:pPr>
      <w:r>
        <w:t>а) 1000 рублей, если цена контра</w:t>
      </w:r>
      <w:r>
        <w:t>кта не превышает 3 млн. рублей.</w:t>
      </w:r>
    </w:p>
    <w:p w14:paraId="59000000">
      <w:pPr>
        <w:ind w:firstLine="567" w:left="0"/>
        <w:jc w:val="both"/>
      </w:pPr>
      <w:r>
        <w:t xml:space="preserve">6.11. Уплата неустоек (пеней, штрафов), предусмотренных настоящим разделом Контракта, не освобождает виновную Сторону от выполнения обязанностей, возложенных на нее настоящим Контрактом. </w:t>
      </w:r>
    </w:p>
    <w:p w14:paraId="5A000000">
      <w:pPr>
        <w:pStyle w:val="Style_2"/>
        <w:spacing w:after="0" w:before="0"/>
        <w:ind w:firstLine="567" w:left="0"/>
        <w:jc w:val="both"/>
      </w:pPr>
      <w:r>
        <w:t>6.12.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B000000">
      <w:pPr>
        <w:pStyle w:val="Style_2"/>
        <w:spacing w:after="0" w:before="0"/>
        <w:ind/>
        <w:jc w:val="center"/>
        <w:rPr>
          <w:b w:val="1"/>
        </w:rPr>
      </w:pPr>
    </w:p>
    <w:p w14:paraId="5C000000">
      <w:pPr>
        <w:pStyle w:val="Style_2"/>
        <w:spacing w:after="0" w:before="0"/>
        <w:ind/>
        <w:jc w:val="center"/>
      </w:pPr>
      <w:r>
        <w:rPr>
          <w:b w:val="1"/>
        </w:rPr>
        <w:t>7. ПОРЯДОК РАЗРЕШЕНИЯ СПОРОВ</w:t>
      </w:r>
    </w:p>
    <w:p w14:paraId="5D000000">
      <w:pPr>
        <w:pStyle w:val="Style_2"/>
        <w:spacing w:after="0" w:before="0"/>
        <w:ind w:firstLine="567" w:left="0"/>
        <w:jc w:val="both"/>
      </w:pPr>
      <w:r>
        <w:t>7.1. Все споры, возникающие</w:t>
      </w:r>
      <w:r>
        <w:t xml:space="preserve"> между Сторонами в связи с исполнением настоящего Контракта, разрешаются путем переговоров. Стороны устанавливают, что все возможные претензии по настоящему Контракту должны быть рассмотрены Сторонами в течение </w:t>
      </w:r>
      <w:r>
        <w:t>10</w:t>
      </w:r>
      <w:r>
        <w:t xml:space="preserve"> (</w:t>
      </w:r>
      <w:r>
        <w:t>десяти</w:t>
      </w:r>
      <w:r>
        <w:t>) рабочих дней с момента получения претензии.</w:t>
      </w:r>
    </w:p>
    <w:p w14:paraId="5E000000">
      <w:pPr>
        <w:pStyle w:val="Style_2"/>
        <w:spacing w:after="0" w:before="0"/>
        <w:ind w:firstLine="567" w:left="0"/>
        <w:jc w:val="both"/>
      </w:pPr>
      <w:r>
        <w:t xml:space="preserve">7.2. При не достижении согласия спор разрешается в судебном порядке в Арбитражном суде </w:t>
      </w:r>
      <w:r>
        <w:t>по месту нахождения Заказчика</w:t>
      </w:r>
      <w:r>
        <w:t>.</w:t>
      </w:r>
    </w:p>
    <w:p w14:paraId="5F000000">
      <w:pPr>
        <w:pStyle w:val="Style_2"/>
        <w:spacing w:after="0" w:before="0"/>
        <w:ind w:firstLine="567" w:left="0"/>
        <w:jc w:val="both"/>
      </w:pPr>
    </w:p>
    <w:p w14:paraId="60000000">
      <w:pPr>
        <w:pStyle w:val="Style_2"/>
        <w:spacing w:after="0" w:before="0"/>
        <w:ind/>
        <w:jc w:val="center"/>
      </w:pPr>
      <w:r>
        <w:rPr>
          <w:b w:val="1"/>
        </w:rPr>
        <w:t>8. ФОРС-МАЖОРНЫЕ ОБСТОЯТЕЛЬСТВА</w:t>
      </w:r>
    </w:p>
    <w:p w14:paraId="61000000">
      <w:pPr>
        <w:pStyle w:val="Style_2"/>
        <w:spacing w:after="0" w:before="0"/>
        <w:ind w:firstLine="567" w:left="0"/>
        <w:jc w:val="both"/>
      </w:pPr>
      <w:r>
        <w:t>8.1. Стороны освобождаются от ответственности за полное или частичное неисполнение какого-либо</w:t>
      </w:r>
      <w:r>
        <w:t xml:space="preserve"> из обязательств, если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таких как, например, наводнение, пожар, землетрясение, а также в случае войны и военных действий или запретов компетентных государственных органов, возникших после заключения настоящего Контракта.</w:t>
      </w:r>
    </w:p>
    <w:p w14:paraId="62000000">
      <w:pPr>
        <w:pStyle w:val="Style_2"/>
        <w:spacing w:after="0" w:before="0"/>
        <w:ind w:firstLine="567" w:left="0"/>
        <w:jc w:val="both"/>
      </w:pPr>
      <w:r>
        <w:t>8.2. Сторона, которая не в состоянии выполнить свои обязательства по причинам форс-мажорных обстоятельств, должна в письменной фо</w:t>
      </w:r>
      <w:r>
        <w:t>рме незамедлительно уведомить другую сторону о начале, ожидаемом сроке действия и прекращения указанных обстоятельств. Факты, содержащиеся в уведомлении, должны быть подтверждены компетентным органом.</w:t>
      </w:r>
    </w:p>
    <w:p w14:paraId="63000000">
      <w:pPr>
        <w:pStyle w:val="Style_2"/>
        <w:spacing w:after="0" w:before="0"/>
        <w:ind w:firstLine="567" w:left="0"/>
        <w:jc w:val="both"/>
      </w:pPr>
      <w:r>
        <w:t>Не уведомление или несвоевременное уведомление не освобождает виновную сторону от ответственности за неисполнение или ненадлежащее исполнение обязательств вследствие указанных обстоятельств.</w:t>
      </w:r>
    </w:p>
    <w:p w14:paraId="64000000">
      <w:pPr>
        <w:pStyle w:val="Style_2"/>
        <w:spacing w:after="0" w:before="0"/>
        <w:ind/>
        <w:jc w:val="center"/>
        <w:rPr>
          <w:b w:val="1"/>
        </w:rPr>
      </w:pPr>
    </w:p>
    <w:p w14:paraId="65000000">
      <w:pPr>
        <w:pStyle w:val="Style_2"/>
        <w:spacing w:after="0" w:before="0"/>
        <w:ind/>
        <w:jc w:val="center"/>
      </w:pPr>
      <w:r>
        <w:rPr>
          <w:b w:val="1"/>
        </w:rPr>
        <w:t>9. ИЗМЕНЕНИЕ И РАСТОРЖЕНИЕ КОНТРАКТА</w:t>
      </w:r>
    </w:p>
    <w:p w14:paraId="66000000">
      <w:pPr>
        <w:pStyle w:val="Style_2"/>
        <w:spacing w:after="0" w:before="0"/>
        <w:ind w:firstLine="567" w:left="0"/>
        <w:jc w:val="both"/>
      </w:pPr>
      <w:r>
        <w:t>9.1. Изменение существенных условий Контракта при его исполнении не допускается, з</w:t>
      </w:r>
      <w:r>
        <w:t>а исключением случаев, предусмотренных положениями статьи 95 Федерального закона от 05.04.2013 №44-ФЗ «О контрактной системе в сфере закупок товаров, работ, услуг для обеспечения государственны</w:t>
      </w:r>
      <w:r>
        <w:t>х</w:t>
      </w:r>
      <w:r>
        <w:t xml:space="preserve"> и муниципальных нужд».</w:t>
      </w:r>
    </w:p>
    <w:p w14:paraId="67000000">
      <w:pPr>
        <w:pStyle w:val="Style_2"/>
        <w:spacing w:after="0" w:before="0"/>
        <w:ind w:firstLine="567" w:left="0"/>
        <w:jc w:val="both"/>
      </w:pPr>
      <w:r>
        <w:t>9.2. Настоящий Контракт может быть расторгнут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РФ.</w:t>
      </w:r>
    </w:p>
    <w:p w14:paraId="68000000">
      <w:pPr>
        <w:pStyle w:val="Style_2"/>
        <w:spacing w:after="0" w:before="0"/>
        <w:ind w:firstLine="567" w:left="0"/>
        <w:jc w:val="both"/>
      </w:pPr>
    </w:p>
    <w:p w14:paraId="69000000">
      <w:pPr>
        <w:pStyle w:val="Style_2"/>
        <w:spacing w:after="0" w:before="0"/>
        <w:ind/>
        <w:jc w:val="center"/>
      </w:pPr>
      <w:r>
        <w:rPr>
          <w:b w:val="1"/>
        </w:rPr>
        <w:t>10. ОСОБЫЕ УСЛОВИЯ НАСТОЯЩЕГО КОНТРАКТА</w:t>
      </w:r>
    </w:p>
    <w:p w14:paraId="6A000000">
      <w:pPr>
        <w:pStyle w:val="Style_2"/>
        <w:spacing w:after="0" w:before="0"/>
        <w:ind w:firstLine="567" w:left="0"/>
        <w:jc w:val="both"/>
      </w:pPr>
      <w:r>
        <w:t>10.1. Все изменения и дополнения к настоящему Конт</w:t>
      </w:r>
      <w:r>
        <w:t>ракту оформляются в письменной форме, подписываются уполномоченными представителями Сторон и являются его неотъемлемыми частями.</w:t>
      </w:r>
    </w:p>
    <w:p w14:paraId="6B000000">
      <w:pPr>
        <w:pStyle w:val="Style_2"/>
        <w:spacing w:after="0" w:before="0"/>
        <w:ind w:firstLine="567" w:left="0"/>
        <w:jc w:val="both"/>
      </w:pPr>
      <w:r>
        <w:t>10.2. При исполнении настоящего Контракта не допускается перемена Подрядчика, за исключением случаев, если новый Подрядчик является правопреемником Подрядчика по настоящему Контракту вследствие реорганизации юридического лица в форме преобразования, слияния или присоединения.</w:t>
      </w:r>
    </w:p>
    <w:p w14:paraId="6C000000">
      <w:pPr>
        <w:pStyle w:val="Style_2"/>
        <w:spacing w:after="0" w:before="0"/>
        <w:ind w:firstLine="567" w:left="0"/>
        <w:jc w:val="both"/>
      </w:pPr>
    </w:p>
    <w:p w14:paraId="6D000000">
      <w:pPr>
        <w:pStyle w:val="Style_2"/>
        <w:spacing w:after="0" w:before="0"/>
        <w:ind/>
        <w:jc w:val="center"/>
      </w:pPr>
      <w:r>
        <w:rPr>
          <w:b w:val="1"/>
        </w:rPr>
        <w:t>11. ПРОЧИЕ УСЛОВИЯ</w:t>
      </w:r>
    </w:p>
    <w:p w14:paraId="6E000000">
      <w:pPr>
        <w:pStyle w:val="Style_2"/>
        <w:spacing w:after="0" w:before="0"/>
        <w:ind w:firstLine="567" w:left="0"/>
        <w:jc w:val="both"/>
      </w:pPr>
      <w:r>
        <w:t>11.1. Настоящий Контракт, вступает в силу с момента его заключения и действует по «31»</w:t>
      </w:r>
      <w:r>
        <w:t xml:space="preserve"> декабря 20</w:t>
      </w:r>
      <w:r>
        <w:t>2</w:t>
      </w:r>
      <w:r>
        <w:t>6</w:t>
      </w:r>
      <w:r>
        <w:t xml:space="preserve"> года</w:t>
      </w:r>
      <w:r>
        <w:t xml:space="preserve">. </w:t>
      </w:r>
      <w:r>
        <w:t>Окончание срока действия Контракта не влечет прекращения неисполненных обязательств Сторон по Контракту, в том числе гарантийных обязательств По</w:t>
      </w:r>
      <w:r>
        <w:t>дрядчика</w:t>
      </w:r>
      <w:r>
        <w:t>.</w:t>
      </w:r>
    </w:p>
    <w:p w14:paraId="6F000000">
      <w:pPr>
        <w:pStyle w:val="Style_2"/>
        <w:spacing w:after="0" w:before="0"/>
        <w:ind w:firstLine="567" w:left="0"/>
        <w:jc w:val="both"/>
      </w:pPr>
      <w:r>
        <w:t>11.2. Действие настоящего Контракта может быть прекращено досрочно в случае полного и надлежащего исполнения Сторонами своих обязательств по настоящему Контракту до наступления срока, указанного в пункте 1</w:t>
      </w:r>
      <w:r>
        <w:t>1</w:t>
      </w:r>
      <w:r>
        <w:t>.1. настоящего Контракта.</w:t>
      </w:r>
    </w:p>
    <w:p w14:paraId="70000000">
      <w:pPr>
        <w:pStyle w:val="Style_2"/>
        <w:spacing w:after="0" w:before="0"/>
        <w:ind w:firstLine="567" w:left="0"/>
        <w:jc w:val="both"/>
      </w:pPr>
      <w:r>
        <w:t>1</w:t>
      </w:r>
      <w:r>
        <w:t>1</w:t>
      </w:r>
      <w:r>
        <w:t>.3. Неотъемлем</w:t>
      </w:r>
      <w:r>
        <w:t>ыми</w:t>
      </w:r>
      <w:r>
        <w:t xml:space="preserve"> част</w:t>
      </w:r>
      <w:r>
        <w:t>ями</w:t>
      </w:r>
      <w:r>
        <w:t xml:space="preserve"> настоящего Контракта явля</w:t>
      </w:r>
      <w:r>
        <w:t>ю</w:t>
      </w:r>
      <w:r>
        <w:t>тся:</w:t>
      </w:r>
    </w:p>
    <w:p w14:paraId="71000000">
      <w:pPr>
        <w:pStyle w:val="Style_2"/>
        <w:spacing w:after="0" w:before="0"/>
        <w:ind w:firstLine="567" w:left="0"/>
        <w:jc w:val="both"/>
      </w:pPr>
      <w:r>
        <w:t>- Приложение №1:</w:t>
      </w:r>
      <w:r>
        <w:t xml:space="preserve"> </w:t>
      </w:r>
      <w:r>
        <w:t>Локальный сметный расчет</w:t>
      </w:r>
      <w:r>
        <w:t>;</w:t>
      </w:r>
    </w:p>
    <w:p w14:paraId="72000000">
      <w:pPr>
        <w:pStyle w:val="Style_2"/>
        <w:spacing w:after="0" w:before="0"/>
        <w:ind w:firstLine="567" w:left="0"/>
        <w:jc w:val="both"/>
      </w:pPr>
      <w:r>
        <w:t>- Пр</w:t>
      </w:r>
      <w:r>
        <w:t>иложение № 2: Техническое задание.</w:t>
      </w:r>
    </w:p>
    <w:p w14:paraId="73000000">
      <w:pPr>
        <w:pStyle w:val="Style_2"/>
        <w:spacing w:after="0" w:before="0"/>
        <w:ind w:firstLine="567" w:left="0"/>
        <w:jc w:val="both"/>
      </w:pPr>
      <w:r>
        <w:t>1</w:t>
      </w:r>
      <w:r>
        <w:t>1</w:t>
      </w:r>
      <w:r>
        <w:t xml:space="preserve">.4. В случаях, не урегулированных настоящим Контрактом, Стороны руководствуются действующим законодательством РФ. </w:t>
      </w:r>
    </w:p>
    <w:p w14:paraId="74000000">
      <w:pPr>
        <w:pStyle w:val="Style_2"/>
        <w:spacing w:after="0" w:before="0"/>
        <w:ind w:firstLine="567" w:left="0"/>
        <w:jc w:val="both"/>
      </w:pPr>
      <w:r>
        <w:t>1</w:t>
      </w:r>
      <w:r>
        <w:t>1</w:t>
      </w:r>
      <w:r>
        <w:t>.5. Настоящий Контракт составлен на русском языке в 2 (двух) экземплярах, по 1 (одному) для каждой из Сторон, имеющих одинаковую юридическую силу.</w:t>
      </w:r>
    </w:p>
    <w:p w14:paraId="75000000">
      <w:pPr>
        <w:pStyle w:val="Style_2"/>
        <w:spacing w:after="0" w:before="0"/>
        <w:ind/>
        <w:jc w:val="center"/>
        <w:rPr>
          <w:b w:val="1"/>
        </w:rPr>
      </w:pPr>
    </w:p>
    <w:p w14:paraId="76000000">
      <w:pPr>
        <w:pStyle w:val="Style_2"/>
        <w:spacing w:after="0" w:before="0"/>
        <w:ind/>
        <w:jc w:val="center"/>
        <w:rPr>
          <w:b w:val="1"/>
        </w:rPr>
      </w:pPr>
    </w:p>
    <w:p w14:paraId="77000000">
      <w:pPr>
        <w:pStyle w:val="Style_2"/>
        <w:spacing w:after="0" w:before="0"/>
        <w:ind/>
        <w:jc w:val="center"/>
        <w:rPr>
          <w:b w:val="1"/>
        </w:rPr>
      </w:pPr>
      <w:r>
        <w:rPr>
          <w:b w:val="1"/>
        </w:rPr>
        <w:t>12. РЕКВИЗИТЫ И ПОДПИСИ СТОРОН</w:t>
      </w:r>
    </w:p>
    <w:p w14:paraId="78000000">
      <w:pPr>
        <w:pStyle w:val="Style_2"/>
        <w:spacing w:after="0" w:before="0"/>
        <w:ind/>
        <w:jc w:val="center"/>
        <w:rPr>
          <w:b w:val="1"/>
        </w:rPr>
      </w:pPr>
    </w:p>
    <w:tbl>
      <w:tblPr>
        <w:tblStyle w:val="Style_3"/>
        <w:tblInd w:type="dxa" w:w="-5"/>
        <w:tblLayout w:type="fixed"/>
      </w:tblPr>
      <w:tblGrid>
        <w:gridCol w:w="5102"/>
        <w:gridCol w:w="4541"/>
      </w:tblGrid>
      <w:tr>
        <w:tc>
          <w:tcPr>
            <w:tcW w:type="dxa" w:w="5102"/>
            <w:tcBorders>
              <w:top w:color="000000" w:sz="4" w:val="single"/>
              <w:left w:color="000000" w:sz="4" w:val="single"/>
              <w:bottom w:color="000000" w:sz="4" w:val="single"/>
            </w:tcBorders>
          </w:tcPr>
          <w:p w14:paraId="79000000">
            <w:pPr>
              <w:pStyle w:val="Style_2"/>
              <w:spacing w:after="0" w:before="0"/>
              <w:ind w:firstLine="5" w:left="0"/>
              <w:jc w:val="both"/>
            </w:pPr>
            <w:r>
              <w:rPr>
                <w:b w:val="1"/>
              </w:rPr>
              <w:t xml:space="preserve">12.1. Заказчик: </w:t>
            </w:r>
          </w:p>
          <w:p w14:paraId="7A000000">
            <w:pPr>
              <w:spacing w:line="276" w:lineRule="auto"/>
              <w:ind/>
              <w:jc w:val="both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 xml:space="preserve">МКУ </w:t>
            </w:r>
            <w:r>
              <w:rPr>
                <w:b w:val="1"/>
                <w:sz w:val="24"/>
              </w:rPr>
              <w:t>«</w:t>
            </w:r>
            <w:r>
              <w:rPr>
                <w:b w:val="1"/>
                <w:sz w:val="24"/>
              </w:rPr>
              <w:t>Сосновская служба заказчика</w:t>
            </w:r>
            <w:r>
              <w:rPr>
                <w:b w:val="1"/>
                <w:sz w:val="24"/>
              </w:rPr>
              <w:t>»</w:t>
            </w:r>
          </w:p>
          <w:p w14:paraId="7B000000">
            <w:pPr>
              <w:spacing w:line="276" w:lineRule="auto"/>
              <w:ind/>
              <w:jc w:val="both"/>
              <w:rPr>
                <w:sz w:val="24"/>
              </w:rPr>
            </w:pPr>
            <w:r>
              <w:rPr>
                <w:sz w:val="24"/>
              </w:rPr>
              <w:t>188730, Ленинградская область, Приозерский район, п.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Сосново, ул. Озерная, д. 1 </w:t>
            </w:r>
          </w:p>
          <w:p w14:paraId="7C000000">
            <w:pPr>
              <w:spacing w:line="276" w:lineRule="auto"/>
              <w:ind/>
              <w:jc w:val="both"/>
              <w:rPr>
                <w:sz w:val="24"/>
              </w:rPr>
            </w:pPr>
            <w:r>
              <w:rPr>
                <w:sz w:val="24"/>
              </w:rPr>
              <w:t>ИНН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4712025789</w:t>
            </w:r>
          </w:p>
          <w:p w14:paraId="7D000000">
            <w:pPr>
              <w:spacing w:line="276" w:lineRule="auto"/>
              <w:ind/>
              <w:rPr>
                <w:sz w:val="24"/>
              </w:rPr>
            </w:pPr>
            <w:r>
              <w:rPr>
                <w:sz w:val="24"/>
              </w:rPr>
              <w:t xml:space="preserve">ОГРН </w:t>
            </w:r>
            <w:r>
              <w:rPr>
                <w:sz w:val="24"/>
              </w:rPr>
              <w:t>1144712000388</w:t>
            </w:r>
          </w:p>
          <w:p w14:paraId="7E000000">
            <w:pPr>
              <w:spacing w:line="276" w:lineRule="auto"/>
              <w:ind/>
              <w:jc w:val="both"/>
              <w:rPr>
                <w:sz w:val="24"/>
              </w:rPr>
            </w:pPr>
            <w:r>
              <w:rPr>
                <w:sz w:val="24"/>
              </w:rPr>
              <w:t>р/с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03231643416394444500</w:t>
            </w:r>
          </w:p>
          <w:p w14:paraId="7F000000">
            <w:pPr>
              <w:ind/>
              <w:jc w:val="both"/>
              <w:rPr>
                <w:sz w:val="24"/>
              </w:rPr>
            </w:pPr>
            <w:r>
              <w:rPr>
                <w:sz w:val="24"/>
              </w:rPr>
              <w:t>Банк</w:t>
            </w:r>
            <w:r>
              <w:rPr>
                <w:sz w:val="24"/>
              </w:rPr>
              <w:t>: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СЕВЕРО-ЗАПАДНОЕ ГУ</w:t>
            </w:r>
            <w:r>
              <w:rPr>
                <w:sz w:val="24"/>
              </w:rPr>
              <w:t xml:space="preserve"> БАНКА РОССИИ//УФК по Ленинградской области г Санкт-Петербург</w:t>
            </w:r>
          </w:p>
          <w:p w14:paraId="80000000">
            <w:pPr>
              <w:spacing w:after="60"/>
              <w:ind/>
              <w:jc w:val="both"/>
              <w:rPr>
                <w:sz w:val="24"/>
              </w:rPr>
            </w:pPr>
            <w:r>
              <w:rPr>
                <w:sz w:val="24"/>
              </w:rPr>
              <w:t xml:space="preserve">БИК </w:t>
            </w:r>
            <w:r>
              <w:rPr>
                <w:sz w:val="24"/>
              </w:rPr>
              <w:t>044030098</w:t>
            </w:r>
          </w:p>
          <w:p w14:paraId="81000000">
            <w:pPr>
              <w:spacing w:after="60"/>
              <w:ind/>
              <w:jc w:val="both"/>
              <w:rPr>
                <w:sz w:val="24"/>
              </w:rPr>
            </w:pPr>
          </w:p>
          <w:p w14:paraId="82000000">
            <w:pPr>
              <w:spacing w:after="60"/>
              <w:ind/>
              <w:jc w:val="both"/>
              <w:rPr>
                <w:sz w:val="24"/>
              </w:rPr>
            </w:pPr>
          </w:p>
          <w:p w14:paraId="83000000">
            <w:pPr>
              <w:spacing w:after="60"/>
              <w:ind/>
              <w:jc w:val="both"/>
              <w:rPr>
                <w:sz w:val="24"/>
              </w:rPr>
            </w:pPr>
          </w:p>
          <w:p w14:paraId="84000000">
            <w:pPr>
              <w:spacing w:after="60"/>
              <w:ind/>
              <w:jc w:val="both"/>
              <w:rPr>
                <w:sz w:val="24"/>
              </w:rPr>
            </w:pPr>
          </w:p>
          <w:p w14:paraId="85000000">
            <w:pPr>
              <w:ind/>
              <w:jc w:val="both"/>
              <w:rPr>
                <w:sz w:val="24"/>
              </w:rPr>
            </w:pPr>
            <w:r>
              <w:rPr>
                <w:sz w:val="24"/>
              </w:rPr>
              <w:t>Генеральный директор</w:t>
            </w:r>
          </w:p>
          <w:p w14:paraId="86000000">
            <w:pPr>
              <w:ind/>
              <w:jc w:val="both"/>
              <w:rPr>
                <w:sz w:val="24"/>
              </w:rPr>
            </w:pPr>
          </w:p>
          <w:p w14:paraId="87000000">
            <w:pPr>
              <w:ind/>
              <w:jc w:val="both"/>
              <w:rPr>
                <w:sz w:val="24"/>
              </w:rPr>
            </w:pPr>
          </w:p>
          <w:p w14:paraId="88000000">
            <w:pPr>
              <w:ind w:right="-132"/>
              <w:jc w:val="both"/>
              <w:rPr>
                <w:sz w:val="24"/>
              </w:rPr>
            </w:pPr>
            <w:r>
              <w:rPr>
                <w:sz w:val="24"/>
              </w:rPr>
              <w:t>_</w:t>
            </w:r>
            <w:r>
              <w:rPr>
                <w:sz w:val="24"/>
              </w:rPr>
              <w:t>______________ /О.А. Веселова</w:t>
            </w:r>
            <w:r>
              <w:rPr>
                <w:sz w:val="24"/>
              </w:rPr>
              <w:t>/</w:t>
            </w:r>
          </w:p>
          <w:p w14:paraId="89000000">
            <w:pPr>
              <w:rPr>
                <w:sz w:val="24"/>
              </w:rPr>
            </w:pPr>
            <w:r>
              <w:rPr>
                <w:sz w:val="24"/>
              </w:rPr>
              <w:t>эцп</w:t>
            </w:r>
          </w:p>
          <w:p w14:paraId="8A000000">
            <w:pPr>
              <w:pStyle w:val="Style_2"/>
              <w:spacing w:after="0" w:before="0"/>
              <w:ind/>
            </w:pPr>
          </w:p>
        </w:tc>
        <w:tc>
          <w:tcPr>
            <w:tcW w:type="dxa" w:w="45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B000000">
            <w:pPr>
              <w:pStyle w:val="Style_2"/>
              <w:spacing w:after="0" w:before="0"/>
              <w:ind/>
            </w:pPr>
            <w:r>
              <w:rPr>
                <w:b w:val="1"/>
              </w:rPr>
              <w:t xml:space="preserve">12.2. Подрядчик: </w:t>
            </w:r>
          </w:p>
          <w:p w14:paraId="8C000000">
            <w:pPr>
              <w:widowControl w:val="0"/>
              <w:ind w:hanging="180" w:left="180" w:right="-1"/>
              <w:jc w:val="both"/>
              <w:rPr>
                <w:b w:val="1"/>
                <w:sz w:val="22"/>
              </w:rPr>
            </w:pPr>
          </w:p>
          <w:p w14:paraId="8D000000">
            <w:pPr>
              <w:widowControl w:val="0"/>
              <w:ind w:hanging="180" w:left="180" w:right="-1"/>
              <w:jc w:val="both"/>
              <w:rPr>
                <w:b w:val="1"/>
                <w:sz w:val="22"/>
              </w:rPr>
            </w:pPr>
          </w:p>
          <w:p w14:paraId="8E000000">
            <w:pPr>
              <w:widowControl w:val="0"/>
              <w:ind w:hanging="180" w:left="180" w:right="-1"/>
              <w:jc w:val="both"/>
              <w:rPr>
                <w:b w:val="1"/>
                <w:sz w:val="22"/>
              </w:rPr>
            </w:pPr>
          </w:p>
          <w:p w14:paraId="8F000000">
            <w:pPr>
              <w:widowControl w:val="0"/>
              <w:ind w:hanging="180" w:left="180" w:right="-1"/>
              <w:jc w:val="both"/>
              <w:rPr>
                <w:b w:val="1"/>
                <w:sz w:val="22"/>
              </w:rPr>
            </w:pPr>
          </w:p>
          <w:p w14:paraId="90000000">
            <w:pPr>
              <w:widowControl w:val="0"/>
              <w:ind w:hanging="180" w:left="180" w:right="-1"/>
              <w:jc w:val="both"/>
              <w:rPr>
                <w:b w:val="1"/>
                <w:sz w:val="22"/>
              </w:rPr>
            </w:pPr>
          </w:p>
          <w:p w14:paraId="91000000">
            <w:pPr>
              <w:widowControl w:val="0"/>
              <w:ind w:hanging="180" w:left="180" w:right="-1"/>
              <w:jc w:val="both"/>
              <w:rPr>
                <w:b w:val="1"/>
                <w:sz w:val="22"/>
              </w:rPr>
            </w:pPr>
          </w:p>
          <w:p w14:paraId="92000000">
            <w:pPr>
              <w:widowControl w:val="0"/>
              <w:ind w:hanging="180" w:left="180" w:right="-1"/>
              <w:jc w:val="both"/>
              <w:rPr>
                <w:b w:val="1"/>
                <w:sz w:val="22"/>
              </w:rPr>
            </w:pPr>
          </w:p>
          <w:p w14:paraId="93000000">
            <w:pPr>
              <w:widowControl w:val="0"/>
              <w:ind w:hanging="180" w:left="180" w:right="-1"/>
              <w:jc w:val="both"/>
              <w:rPr>
                <w:b w:val="1"/>
                <w:sz w:val="22"/>
              </w:rPr>
            </w:pPr>
          </w:p>
          <w:p w14:paraId="94000000">
            <w:pPr>
              <w:widowControl w:val="0"/>
              <w:ind w:hanging="180" w:left="180" w:right="-1"/>
              <w:jc w:val="both"/>
              <w:rPr>
                <w:b w:val="1"/>
                <w:sz w:val="22"/>
              </w:rPr>
            </w:pPr>
          </w:p>
          <w:p w14:paraId="95000000">
            <w:pPr>
              <w:widowControl w:val="0"/>
              <w:ind w:hanging="180" w:left="180" w:right="-1"/>
              <w:jc w:val="both"/>
              <w:rPr>
                <w:b w:val="1"/>
                <w:sz w:val="22"/>
              </w:rPr>
            </w:pPr>
          </w:p>
          <w:p w14:paraId="96000000">
            <w:pPr>
              <w:widowControl w:val="0"/>
              <w:ind w:hanging="180" w:left="180" w:right="-1"/>
              <w:jc w:val="both"/>
              <w:rPr>
                <w:b w:val="1"/>
                <w:sz w:val="22"/>
              </w:rPr>
            </w:pPr>
          </w:p>
          <w:p w14:paraId="97000000">
            <w:pPr>
              <w:widowControl w:val="0"/>
              <w:ind w:hanging="180" w:left="180" w:right="-1"/>
              <w:jc w:val="both"/>
              <w:rPr>
                <w:b w:val="1"/>
                <w:sz w:val="22"/>
              </w:rPr>
            </w:pPr>
          </w:p>
          <w:p w14:paraId="98000000">
            <w:pPr>
              <w:widowControl w:val="0"/>
              <w:ind w:hanging="180" w:left="180" w:right="-1"/>
              <w:jc w:val="both"/>
              <w:rPr>
                <w:b w:val="1"/>
                <w:sz w:val="22"/>
              </w:rPr>
            </w:pPr>
          </w:p>
          <w:p w14:paraId="99000000">
            <w:pPr>
              <w:widowControl w:val="0"/>
              <w:ind w:hanging="180" w:left="180" w:right="-1"/>
              <w:jc w:val="both"/>
              <w:rPr>
                <w:b w:val="1"/>
                <w:sz w:val="22"/>
              </w:rPr>
            </w:pPr>
          </w:p>
          <w:p w14:paraId="9A000000">
            <w:pPr>
              <w:widowControl w:val="0"/>
              <w:ind w:hanging="180" w:left="180" w:right="-1"/>
              <w:jc w:val="both"/>
              <w:rPr>
                <w:b w:val="1"/>
                <w:sz w:val="22"/>
              </w:rPr>
            </w:pPr>
          </w:p>
          <w:p w14:paraId="9B000000">
            <w:pPr>
              <w:widowControl w:val="0"/>
              <w:ind w:hanging="180" w:left="180" w:right="-1"/>
              <w:jc w:val="both"/>
              <w:rPr>
                <w:b w:val="1"/>
                <w:sz w:val="22"/>
              </w:rPr>
            </w:pPr>
          </w:p>
          <w:p w14:paraId="9C000000">
            <w:pPr>
              <w:widowControl w:val="0"/>
              <w:ind w:hanging="180" w:left="180" w:right="-1"/>
              <w:jc w:val="both"/>
              <w:rPr>
                <w:b w:val="1"/>
                <w:sz w:val="22"/>
              </w:rPr>
            </w:pPr>
          </w:p>
          <w:p w14:paraId="9D000000">
            <w:pPr>
              <w:widowControl w:val="0"/>
              <w:ind w:hanging="180" w:left="180" w:right="-1"/>
              <w:jc w:val="both"/>
              <w:rPr>
                <w:b w:val="1"/>
                <w:sz w:val="22"/>
              </w:rPr>
            </w:pPr>
          </w:p>
          <w:p w14:paraId="9E000000">
            <w:pPr>
              <w:widowControl w:val="0"/>
              <w:ind w:right="-1"/>
              <w:jc w:val="both"/>
              <w:rPr>
                <w:color w:val="000000"/>
                <w:sz w:val="22"/>
              </w:rPr>
            </w:pPr>
          </w:p>
          <w:p w14:paraId="9F000000">
            <w:pPr>
              <w:widowControl w:val="0"/>
              <w:ind w:right="-1"/>
              <w:jc w:val="both"/>
              <w:rPr>
                <w:color w:val="000000"/>
                <w:sz w:val="22"/>
              </w:rPr>
            </w:pPr>
          </w:p>
          <w:p w14:paraId="A0000000">
            <w:pPr>
              <w:ind/>
              <w:jc w:val="both"/>
              <w:rPr>
                <w:color w:val="000000"/>
                <w:sz w:val="22"/>
              </w:rPr>
            </w:pPr>
          </w:p>
          <w:p w14:paraId="A1000000">
            <w:pPr>
              <w:ind/>
              <w:jc w:val="both"/>
              <w:rPr>
                <w:color w:val="000000"/>
                <w:sz w:val="22"/>
                <w:highlight w:val="yellow"/>
              </w:rPr>
            </w:pPr>
            <w:r>
              <w:rPr>
                <w:color w:val="000000"/>
                <w:sz w:val="22"/>
                <w:highlight w:val="yellow"/>
              </w:rPr>
              <w:t>___________________ /</w:t>
            </w:r>
            <w:r>
              <w:rPr>
                <w:color w:val="000000"/>
                <w:sz w:val="22"/>
                <w:highlight w:val="yellow"/>
              </w:rPr>
              <w:t>___________</w:t>
            </w:r>
            <w:r>
              <w:rPr>
                <w:color w:val="000000"/>
                <w:sz w:val="22"/>
                <w:highlight w:val="yellow"/>
              </w:rPr>
              <w:t>/</w:t>
            </w:r>
          </w:p>
          <w:p w14:paraId="A2000000">
            <w:pPr>
              <w:pStyle w:val="Style_2"/>
              <w:spacing w:after="0" w:before="0"/>
              <w:ind/>
            </w:pPr>
            <w:r>
              <w:rPr>
                <w:color w:val="000000"/>
                <w:sz w:val="22"/>
              </w:rPr>
              <w:t>эцп</w:t>
            </w:r>
          </w:p>
        </w:tc>
      </w:tr>
    </w:tbl>
    <w:p w14:paraId="A3000000">
      <w:pPr>
        <w:pStyle w:val="Style_2"/>
        <w:spacing w:after="0" w:before="0"/>
        <w:ind/>
        <w:jc w:val="right"/>
      </w:pPr>
    </w:p>
    <w:p w14:paraId="A4000000">
      <w:pPr>
        <w:pStyle w:val="Style_2"/>
        <w:spacing w:after="0" w:before="0"/>
        <w:ind/>
        <w:jc w:val="right"/>
      </w:pPr>
    </w:p>
    <w:p w14:paraId="A5000000">
      <w:pPr>
        <w:pStyle w:val="Style_2"/>
        <w:spacing w:after="0" w:before="0"/>
        <w:ind/>
        <w:jc w:val="right"/>
      </w:pPr>
    </w:p>
    <w:p w14:paraId="A6000000">
      <w:pPr>
        <w:pStyle w:val="Style_2"/>
        <w:spacing w:after="0" w:before="0"/>
        <w:ind/>
        <w:jc w:val="right"/>
      </w:pPr>
    </w:p>
    <w:p w14:paraId="A7000000">
      <w:pPr>
        <w:pStyle w:val="Style_2"/>
        <w:spacing w:after="0" w:before="0"/>
        <w:ind/>
        <w:jc w:val="right"/>
      </w:pPr>
    </w:p>
    <w:p w14:paraId="A8000000">
      <w:pPr>
        <w:pStyle w:val="Style_2"/>
        <w:spacing w:after="0" w:before="0"/>
        <w:ind/>
        <w:jc w:val="right"/>
      </w:pPr>
    </w:p>
    <w:p w14:paraId="A9000000">
      <w:pPr>
        <w:pStyle w:val="Style_2"/>
        <w:spacing w:after="0" w:before="0"/>
        <w:ind/>
        <w:jc w:val="right"/>
      </w:pPr>
    </w:p>
    <w:p w14:paraId="AA000000">
      <w:pPr>
        <w:pStyle w:val="Style_2"/>
        <w:spacing w:after="0" w:before="0"/>
        <w:ind/>
        <w:jc w:val="right"/>
      </w:pPr>
    </w:p>
    <w:p w14:paraId="AB000000">
      <w:pPr>
        <w:pStyle w:val="Style_2"/>
        <w:spacing w:after="0" w:before="0"/>
        <w:ind/>
        <w:jc w:val="right"/>
      </w:pPr>
    </w:p>
    <w:p w14:paraId="AC000000">
      <w:pPr>
        <w:pStyle w:val="Style_2"/>
        <w:spacing w:after="0" w:before="0"/>
        <w:ind/>
        <w:jc w:val="right"/>
      </w:pPr>
    </w:p>
    <w:p w14:paraId="AD000000">
      <w:pPr>
        <w:pStyle w:val="Style_2"/>
        <w:spacing w:after="0" w:before="0"/>
        <w:ind/>
        <w:jc w:val="right"/>
      </w:pPr>
    </w:p>
    <w:p w14:paraId="AE000000">
      <w:pPr>
        <w:pStyle w:val="Style_2"/>
        <w:spacing w:after="0" w:before="0"/>
        <w:ind/>
        <w:jc w:val="right"/>
      </w:pPr>
    </w:p>
    <w:p w14:paraId="AF000000">
      <w:pPr>
        <w:pStyle w:val="Style_2"/>
        <w:spacing w:after="0" w:before="0"/>
        <w:ind/>
        <w:jc w:val="right"/>
      </w:pPr>
    </w:p>
    <w:p w14:paraId="B0000000">
      <w:pPr>
        <w:pStyle w:val="Style_2"/>
        <w:spacing w:after="0" w:before="0"/>
        <w:ind/>
        <w:jc w:val="right"/>
      </w:pPr>
    </w:p>
    <w:p w14:paraId="B1000000">
      <w:pPr>
        <w:pStyle w:val="Style_2"/>
        <w:spacing w:after="0" w:before="0"/>
        <w:ind/>
        <w:jc w:val="right"/>
      </w:pPr>
    </w:p>
    <w:p w14:paraId="B2000000">
      <w:pPr>
        <w:pStyle w:val="Style_2"/>
        <w:spacing w:after="0" w:before="0"/>
        <w:ind/>
        <w:jc w:val="right"/>
      </w:pPr>
    </w:p>
    <w:p w14:paraId="B3000000">
      <w:pPr>
        <w:pStyle w:val="Style_2"/>
        <w:spacing w:after="0" w:before="0"/>
        <w:ind/>
        <w:jc w:val="right"/>
      </w:pPr>
    </w:p>
    <w:p w14:paraId="B4000000">
      <w:pPr>
        <w:pStyle w:val="Style_2"/>
        <w:spacing w:after="0" w:before="0"/>
        <w:ind/>
        <w:jc w:val="right"/>
      </w:pPr>
    </w:p>
    <w:p w14:paraId="B5000000">
      <w:pPr>
        <w:pStyle w:val="Style_2"/>
        <w:spacing w:after="0" w:before="0"/>
        <w:ind/>
        <w:jc w:val="right"/>
      </w:pPr>
    </w:p>
    <w:p w14:paraId="B6000000">
      <w:pPr>
        <w:pStyle w:val="Style_2"/>
        <w:spacing w:after="0" w:before="0"/>
        <w:ind/>
        <w:jc w:val="right"/>
      </w:pPr>
    </w:p>
    <w:p w14:paraId="B7000000">
      <w:pPr>
        <w:pStyle w:val="Style_2"/>
        <w:spacing w:after="0" w:before="0"/>
        <w:ind/>
        <w:jc w:val="right"/>
      </w:pPr>
    </w:p>
    <w:p w14:paraId="B8000000">
      <w:pPr>
        <w:pStyle w:val="Style_2"/>
        <w:spacing w:after="0" w:before="0"/>
        <w:ind/>
      </w:pPr>
    </w:p>
    <w:p w14:paraId="B9000000">
      <w:pPr>
        <w:pStyle w:val="Style_2"/>
        <w:spacing w:after="0" w:before="0"/>
        <w:ind/>
      </w:pPr>
    </w:p>
    <w:p w14:paraId="BA000000">
      <w:pPr>
        <w:pStyle w:val="Style_2"/>
        <w:spacing w:after="0" w:before="0"/>
        <w:ind/>
      </w:pPr>
    </w:p>
    <w:p w14:paraId="BB000000">
      <w:pPr>
        <w:pStyle w:val="Style_2"/>
        <w:spacing w:after="0" w:before="0"/>
        <w:ind/>
        <w:jc w:val="both"/>
      </w:pPr>
    </w:p>
    <w:p w14:paraId="BC000000">
      <w:pPr>
        <w:pStyle w:val="Style_2"/>
        <w:spacing w:after="0" w:before="0"/>
        <w:ind/>
        <w:jc w:val="both"/>
      </w:pPr>
    </w:p>
    <w:p w14:paraId="BD000000">
      <w:pPr>
        <w:pStyle w:val="Style_2"/>
        <w:spacing w:after="0" w:before="0"/>
        <w:ind/>
        <w:jc w:val="both"/>
      </w:pPr>
    </w:p>
    <w:p w14:paraId="BE000000">
      <w:pPr>
        <w:pStyle w:val="Style_2"/>
        <w:spacing w:after="0" w:before="0"/>
        <w:ind/>
        <w:jc w:val="both"/>
      </w:pPr>
    </w:p>
    <w:p w14:paraId="BF000000">
      <w:pPr>
        <w:pStyle w:val="Style_2"/>
        <w:spacing w:after="0" w:before="0"/>
        <w:ind/>
        <w:jc w:val="both"/>
      </w:pPr>
    </w:p>
    <w:p w14:paraId="C0000000">
      <w:pPr>
        <w:pStyle w:val="Style_2"/>
        <w:spacing w:after="0" w:before="0"/>
        <w:ind/>
        <w:jc w:val="right"/>
      </w:pPr>
      <w:r>
        <w:t>Приложение №</w:t>
      </w:r>
      <w:r>
        <w:t>2</w:t>
      </w:r>
      <w:r>
        <w:t xml:space="preserve"> к Контракту </w:t>
      </w:r>
    </w:p>
    <w:p w14:paraId="C1000000">
      <w:pPr>
        <w:pStyle w:val="Style_2"/>
        <w:spacing w:after="0" w:before="0"/>
        <w:ind/>
        <w:jc w:val="right"/>
      </w:pPr>
      <w:r>
        <w:rPr>
          <w:highlight w:val="yellow"/>
        </w:rPr>
        <w:t>№</w:t>
      </w:r>
      <w:r>
        <w:rPr>
          <w:highlight w:val="yellow"/>
        </w:rPr>
        <w:t xml:space="preserve"> </w:t>
      </w:r>
      <w:r>
        <w:rPr>
          <w:highlight w:val="yellow"/>
        </w:rPr>
        <w:t>____</w:t>
      </w:r>
      <w:r>
        <w:rPr>
          <w:highlight w:val="yellow"/>
        </w:rPr>
        <w:t xml:space="preserve"> </w:t>
      </w:r>
      <w:r>
        <w:rPr>
          <w:highlight w:val="yellow"/>
        </w:rPr>
        <w:t>от «</w:t>
      </w:r>
      <w:r>
        <w:rPr>
          <w:highlight w:val="yellow"/>
        </w:rPr>
        <w:t>____</w:t>
      </w:r>
      <w:r>
        <w:rPr>
          <w:highlight w:val="yellow"/>
        </w:rPr>
        <w:t xml:space="preserve">» </w:t>
      </w:r>
      <w:r>
        <w:rPr>
          <w:highlight w:val="yellow"/>
        </w:rPr>
        <w:t>_______</w:t>
      </w:r>
      <w:r>
        <w:rPr>
          <w:highlight w:val="yellow"/>
        </w:rPr>
        <w:t>20</w:t>
      </w:r>
      <w:r>
        <w:rPr>
          <w:highlight w:val="yellow"/>
        </w:rPr>
        <w:t>2</w:t>
      </w:r>
      <w:r>
        <w:rPr>
          <w:highlight w:val="yellow"/>
        </w:rPr>
        <w:t>6</w:t>
      </w:r>
      <w:r>
        <w:rPr>
          <w:highlight w:val="yellow"/>
        </w:rPr>
        <w:t>г.</w:t>
      </w:r>
    </w:p>
    <w:p w14:paraId="C2000000">
      <w:pPr>
        <w:ind w:firstLine="0" w:left="-709"/>
        <w:jc w:val="center"/>
        <w:rPr>
          <w:b w:val="1"/>
          <w:sz w:val="28"/>
        </w:rPr>
      </w:pPr>
      <w:r>
        <w:rPr>
          <w:b w:val="1"/>
          <w:sz w:val="28"/>
        </w:rPr>
        <w:t>Техническое задание</w:t>
      </w:r>
    </w:p>
    <w:p w14:paraId="C3000000">
      <w:pPr>
        <w:pStyle w:val="Style_2"/>
        <w:spacing w:after="0" w:before="0"/>
        <w:ind w:hanging="6" w:left="6"/>
        <w:jc w:val="center"/>
        <w:rPr>
          <w:b w:val="1"/>
        </w:rPr>
      </w:pPr>
      <w:r>
        <w:rPr>
          <w:b w:val="1"/>
        </w:rPr>
        <w:t>Выполнение р</w:t>
      </w:r>
      <w:r>
        <w:rPr>
          <w:rStyle w:val="Style_2_ch"/>
          <w:b w:val="1"/>
        </w:rPr>
        <w:t>абот</w:t>
      </w:r>
      <w:r>
        <w:rPr>
          <w:rStyle w:val="Style_2_ch"/>
          <w:b w:val="1"/>
        </w:rPr>
        <w:t xml:space="preserve"> по восстановлению ИТП ГВС в здании общественной бани по адресу: п. Сосново ул. Ленинградская д. 13</w:t>
      </w:r>
    </w:p>
    <w:p w14:paraId="C4000000">
      <w:pPr>
        <w:rPr>
          <w:b w:val="1"/>
          <w:color w:val="000000"/>
        </w:rPr>
      </w:pPr>
    </w:p>
    <w:p w14:paraId="C5000000">
      <w:pPr>
        <w:spacing w:after="120" w:before="120"/>
        <w:ind w:hanging="120" w:left="120" w:right="120"/>
        <w:jc w:val="both"/>
        <w:rPr>
          <w:rFonts w:ascii="Times New Roman" w:hAnsi="Times New Roman"/>
          <w:b w:val="1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000000"/>
          <w:spacing w:val="0"/>
          <w:sz w:val="24"/>
          <w:highlight w:val="white"/>
        </w:rPr>
        <w:t>1. Общие сведения</w:t>
      </w:r>
    </w:p>
    <w:p w14:paraId="C6000000">
      <w:pPr>
        <w:spacing w:after="120" w:before="120"/>
        <w:ind w:firstLine="0" w:left="0" w:right="12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1.1. Заказчик: МКУ «Сосновская служба заказчика»</w:t>
      </w:r>
    </w:p>
    <w:p w14:paraId="C7000000">
      <w:pPr>
        <w:spacing w:after="120" w:before="120"/>
        <w:ind w:firstLine="0" w:left="0" w:right="12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1.2. Место выполнения работ: п. Сосново, ул. Ленинградская, д. 13, здание бани.</w:t>
      </w:r>
    </w:p>
    <w:p w14:paraId="C8000000">
      <w:pPr>
        <w:spacing w:after="120" w:before="120"/>
        <w:ind w:firstLine="0" w:left="0" w:right="12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1.3. Цель работ:  Восстановление работоспособности индивидуального теплового пункта (ИТП) системы горячего водоснабжения (ГВС).</w:t>
      </w:r>
    </w:p>
    <w:p w14:paraId="C9000000">
      <w:pPr>
        <w:spacing w:after="120" w:before="120"/>
        <w:ind w:firstLine="0" w:left="0" w:right="12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1.4. Причина выполнения работ: Воздействие внешних факторов, естественный износ оборудования.</w:t>
      </w:r>
    </w:p>
    <w:p w14:paraId="CA000000">
      <w:pPr>
        <w:spacing w:after="120" w:before="120"/>
        <w:ind w:firstLine="0" w:left="0" w:right="120"/>
        <w:jc w:val="both"/>
        <w:rPr>
          <w:rFonts w:ascii="Times New Roman" w:hAnsi="Times New Roman"/>
          <w:b w:val="1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000000"/>
          <w:spacing w:val="0"/>
          <w:sz w:val="24"/>
          <w:highlight w:val="white"/>
        </w:rPr>
        <w:t>2. Требования к материалам и оборудованию</w:t>
      </w:r>
    </w:p>
    <w:p w14:paraId="CB000000">
      <w:pPr>
        <w:spacing w:after="120" w:before="120"/>
        <w:ind w:firstLine="0" w:left="0" w:right="12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2.1. Все используемые материалы должны быть новыми, не бывшими в употреблении, иметь сертификаты соответствия и паспорта качества.</w:t>
      </w:r>
    </w:p>
    <w:p w14:paraId="CC000000">
      <w:pPr>
        <w:spacing w:after="120" w:before="120"/>
        <w:ind w:firstLine="0" w:left="0" w:right="12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2.2. Применяемые трубы, арматура и фитинги должны соответствовать диаметрам и типам, указанным в таблице объемов работ.</w:t>
      </w:r>
    </w:p>
    <w:p w14:paraId="CD000000">
      <w:pPr>
        <w:spacing w:after="120" w:before="120"/>
        <w:ind w:firstLine="0" w:left="0" w:right="12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2.3. Замена оборудования на аналоги допускается только по письменному согласованию с Заказчиком.</w:t>
      </w:r>
    </w:p>
    <w:p w14:paraId="CE000000">
      <w:pPr>
        <w:spacing w:after="120" w:before="120"/>
        <w:ind w:hanging="120" w:left="120" w:right="120"/>
        <w:jc w:val="both"/>
        <w:rPr>
          <w:rFonts w:ascii="Times New Roman" w:hAnsi="Times New Roman"/>
          <w:b w:val="1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000000"/>
          <w:spacing w:val="0"/>
          <w:sz w:val="24"/>
          <w:highlight w:val="white"/>
        </w:rPr>
        <w:t>3. Требования к производству работ</w:t>
      </w:r>
    </w:p>
    <w:p w14:paraId="CF000000">
      <w:pPr>
        <w:ind/>
        <w:jc w:val="both"/>
        <w:rPr>
          <w:color w:val="000000"/>
        </w:rPr>
      </w:pPr>
      <w:r>
        <w:rPr>
          <w:color w:val="000000"/>
        </w:rPr>
        <w:t>3.1. Работы должны выполняться в соответствии с требованиями действующих нормативных документов:</w:t>
      </w:r>
    </w:p>
    <w:p w14:paraId="D0000000">
      <w:pPr>
        <w:ind/>
        <w:jc w:val="both"/>
        <w:rPr>
          <w:color w:val="000000"/>
        </w:rPr>
      </w:pPr>
      <w:r>
        <w:rPr>
          <w:color w:val="000000"/>
        </w:rPr>
        <w:t>· СП 510.1325800.2022 «Тепловые пункты и системы внутреннего теплоснабжения» (с учётом Изменения № 1) ;</w:t>
      </w:r>
    </w:p>
    <w:p w14:paraId="D1000000">
      <w:pPr>
        <w:ind/>
        <w:jc w:val="both"/>
        <w:rPr>
          <w:color w:val="000000"/>
        </w:rPr>
      </w:pPr>
      <w:r>
        <w:rPr>
          <w:color w:val="000000"/>
        </w:rPr>
        <w:t>· СП 124.13330.2012 «СНиП 41-02-2003 Тепловые сети» (актуализированная редакция, с учётом Изменений № 2 и № 5) ;</w:t>
      </w:r>
    </w:p>
    <w:p w14:paraId="D2000000">
      <w:pPr>
        <w:ind/>
        <w:jc w:val="both"/>
        <w:rPr>
          <w:color w:val="000000"/>
        </w:rPr>
      </w:pPr>
      <w:r>
        <w:rPr>
          <w:color w:val="000000"/>
        </w:rPr>
        <w:t>· СП 30.13330.2020 «СНиП 2.04.01-85* Внутренний водопровод и канализация зданий»;</w:t>
      </w:r>
    </w:p>
    <w:p w14:paraId="D3000000">
      <w:pPr>
        <w:ind/>
        <w:jc w:val="both"/>
        <w:rPr>
          <w:color w:val="000000"/>
        </w:rPr>
      </w:pPr>
      <w:r>
        <w:rPr>
          <w:color w:val="000000"/>
        </w:rPr>
        <w:t>· СП 60.13330.2020 «СНиП 41-01-2003 Отопление, вентиляция и кондиционирование воздуха»;</w:t>
      </w:r>
    </w:p>
    <w:p w14:paraId="D4000000">
      <w:pPr>
        <w:ind/>
        <w:jc w:val="both"/>
        <w:rPr>
          <w:color w:val="000000"/>
        </w:rPr>
      </w:pPr>
      <w:r>
        <w:rPr>
          <w:color w:val="000000"/>
        </w:rPr>
        <w:t>· СанПиН 1.2.3685-21 (в части требований к качеству воды и безопасности систем ГВС) ;</w:t>
      </w:r>
    </w:p>
    <w:p w14:paraId="D5000000">
      <w:pPr>
        <w:ind/>
        <w:jc w:val="both"/>
        <w:rPr>
          <w:color w:val="000000"/>
        </w:rPr>
      </w:pPr>
      <w:r>
        <w:rPr>
          <w:color w:val="000000"/>
        </w:rPr>
        <w:t>· Правила технической эксплуатации тепловых энергоустановок (утв. Приказом Минэнерго России от 24.03.2003 № 115).</w:t>
      </w:r>
    </w:p>
    <w:p w14:paraId="D6000000">
      <w:pPr>
        <w:ind/>
        <w:jc w:val="both"/>
        <w:rPr>
          <w:color w:val="000000"/>
        </w:rPr>
      </w:pPr>
      <w:r>
        <w:rPr>
          <w:color w:val="000000"/>
        </w:rPr>
        <w:t>3.2. При производстве работ должны соблюдаться требования:</w:t>
      </w:r>
    </w:p>
    <w:p w14:paraId="D7000000">
      <w:pPr>
        <w:ind/>
        <w:jc w:val="both"/>
        <w:rPr>
          <w:color w:val="000000"/>
        </w:rPr>
      </w:pPr>
      <w:r>
        <w:rPr>
          <w:color w:val="000000"/>
        </w:rPr>
        <w:t>· СНиП 12-03-2001 «Безопасность труда в строительстве. Часть 1. Общие требования»;</w:t>
      </w:r>
    </w:p>
    <w:p w14:paraId="D8000000">
      <w:pPr>
        <w:ind/>
        <w:jc w:val="both"/>
        <w:rPr>
          <w:color w:val="000000"/>
        </w:rPr>
      </w:pPr>
      <w:r>
        <w:rPr>
          <w:color w:val="000000"/>
        </w:rPr>
        <w:t>· СНиП 12-04-2002 «Безопасность труда в строительстве. Часть 2. Строительное производство»;</w:t>
      </w:r>
    </w:p>
    <w:p w14:paraId="D9000000">
      <w:pPr>
        <w:ind/>
        <w:jc w:val="both"/>
        <w:rPr>
          <w:color w:val="000000"/>
        </w:rPr>
      </w:pPr>
      <w:r>
        <w:rPr>
          <w:color w:val="000000"/>
        </w:rPr>
        <w:t>· Правила противопожарного режима в Российской Федерации (утв. Постановлением Правительства РФ от 16.09.2020 № 1479).</w:t>
      </w:r>
    </w:p>
    <w:p w14:paraId="DA000000">
      <w:pPr>
        <w:ind/>
        <w:jc w:val="both"/>
        <w:rPr>
          <w:color w:val="000000"/>
        </w:rPr>
      </w:pPr>
      <w:r>
        <w:rPr>
          <w:color w:val="000000"/>
        </w:rPr>
        <w:t>3.3. Подрядчик обязан обеспечить соблюдение техники безопасности, пожарной безопасности и охраны труда на объекте.</w:t>
      </w:r>
    </w:p>
    <w:p w14:paraId="DB000000">
      <w:pPr>
        <w:rPr>
          <w:color w:val="000000"/>
        </w:rPr>
      </w:pPr>
      <w:r>
        <w:rPr>
          <w:color w:val="000000"/>
        </w:rPr>
        <w:t>3.4. Все работы должны быть выполнены в полном объеме и в сроки, установленные контрактом.</w:t>
      </w:r>
    </w:p>
    <w:p w14:paraId="DC000000">
      <w:pPr>
        <w:ind/>
        <w:jc w:val="both"/>
        <w:rPr>
          <w:color w:val="000000"/>
        </w:rPr>
      </w:pPr>
      <w:r>
        <w:rPr>
          <w:color w:val="000000"/>
        </w:rPr>
        <w:t>3.5. После завершения работ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 xml:space="preserve"> необходимо провести испытания системы на герметичность и провести промывку (при необходимости).</w:t>
      </w:r>
    </w:p>
    <w:p w14:paraId="DD000000">
      <w:pPr>
        <w:spacing w:after="120" w:before="120"/>
        <w:ind w:firstLine="0" w:left="0" w:right="120"/>
        <w:jc w:val="both"/>
        <w:rPr>
          <w:rFonts w:ascii="Times New Roman" w:hAnsi="Times New Roman"/>
          <w:b w:val="1"/>
          <w:i w:val="0"/>
          <w:caps w:val="0"/>
          <w:color w:val="000000"/>
          <w:spacing w:val="0"/>
          <w:sz w:val="24"/>
          <w:highlight w:val="white"/>
        </w:rPr>
      </w:pPr>
      <w:r>
        <w:rPr>
          <w:color w:val="000000"/>
        </w:rPr>
        <w:t>3.6. Применяемые материалы и оборудование должны соответствовать требованиям указанных сводов правил. Не допускается применение труб, арматуры и материалов, не соответствующих требованиям СП 124.13330.2012 и СП 510.1325800.2022.</w:t>
      </w:r>
    </w:p>
    <w:p w14:paraId="DE000000">
      <w:pPr>
        <w:spacing w:after="120" w:before="120"/>
        <w:ind w:firstLine="0" w:left="0" w:right="120"/>
        <w:jc w:val="both"/>
        <w:rPr>
          <w:rFonts w:ascii="Times New Roman" w:hAnsi="Times New Roman"/>
          <w:b w:val="1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000000"/>
          <w:spacing w:val="0"/>
          <w:sz w:val="24"/>
          <w:highlight w:val="white"/>
        </w:rPr>
        <w:t>4. Порядок сдачи-приемки работ</w:t>
      </w:r>
    </w:p>
    <w:p w14:paraId="DF000000">
      <w:pPr>
        <w:spacing w:after="120" w:before="120"/>
        <w:ind w:firstLine="0" w:left="0" w:right="12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4.1. По завершении работ Подрядчик предоставляет Заказчику акт выполненных работ (КС-2) и справку о стоимости (КС-3)</w:t>
      </w:r>
      <w:r>
        <w:rPr>
          <w:rFonts w:ascii="Times New Roman" w:hAnsi="Times New Roman"/>
          <w:color w:val="000000"/>
          <w:sz w:val="24"/>
        </w:rPr>
        <w:t>.</w:t>
      </w:r>
    </w:p>
    <w:p w14:paraId="E0000000">
      <w:pPr>
        <w:spacing w:after="120" w:before="120"/>
        <w:ind w:firstLine="0" w:left="0" w:right="120"/>
        <w:jc w:val="both"/>
        <w:rPr>
          <w:rFonts w:ascii="Times New Roman" w:hAnsi="Times New Roman"/>
          <w:b w:val="1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000000"/>
          <w:spacing w:val="0"/>
          <w:sz w:val="24"/>
          <w:highlight w:val="white"/>
        </w:rPr>
        <w:t>5. Гарантийные обязательства</w:t>
      </w:r>
    </w:p>
    <w:p w14:paraId="E1000000">
      <w:pPr>
        <w:spacing w:after="120" w:before="120"/>
        <w:ind w:firstLine="0" w:left="0" w:right="120"/>
        <w:jc w:val="both"/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4"/>
          <w:highlight w:val="white"/>
        </w:rPr>
        <w:t>5.1. Подрядчик гарантирует качество выполненных работ и материалов в течение 12 месяцев с момента подписания акта приемки.</w:t>
      </w:r>
    </w:p>
    <w:p w14:paraId="E2000000">
      <w:pPr>
        <w:ind/>
        <w:jc w:val="both"/>
        <w:rPr>
          <w:b w:val="1"/>
          <w:color w:val="000000"/>
        </w:rPr>
      </w:pPr>
      <w:r>
        <w:rPr>
          <w:b w:val="1"/>
          <w:color w:val="000000"/>
        </w:rPr>
        <w:t>6. Прочие условия</w:t>
      </w:r>
    </w:p>
    <w:p w14:paraId="E3000000">
      <w:pPr>
        <w:ind/>
        <w:jc w:val="both"/>
        <w:rPr>
          <w:color w:val="000000"/>
        </w:rPr>
      </w:pPr>
      <w:r>
        <w:rPr>
          <w:color w:val="000000"/>
        </w:rPr>
        <w:t>6.1. Все изменения и дополнения к ТЗ оформляются дополнительными соглашениями.</w:t>
      </w:r>
      <w:r>
        <w:rPr>
          <w:color w:val="000000"/>
        </w:rPr>
        <w:br/>
      </w:r>
      <w:r>
        <w:rPr>
          <w:color w:val="000000"/>
        </w:rPr>
        <w:t>6.2. Споры и разногласия разрешаются путём переговоров, а при недостижении согласия — в судебном порядке.</w:t>
      </w:r>
    </w:p>
    <w:p w14:paraId="E4000000"/>
    <w:p w14:paraId="E5000000">
      <w:pPr>
        <w:pStyle w:val="Style_2"/>
        <w:spacing w:after="0" w:before="0"/>
        <w:ind/>
      </w:pPr>
      <w:r>
        <w:rPr>
          <w:b w:val="1"/>
          <w:u w:val="single"/>
        </w:rPr>
        <w:t>ЗАКАЗЧИК:</w:t>
      </w:r>
      <w:r>
        <w:t xml:space="preserve">                      </w:t>
      </w:r>
      <w:r>
        <w:t xml:space="preserve">                                                     </w:t>
      </w:r>
      <w:r>
        <w:rPr>
          <w:b w:val="1"/>
          <w:u w:val="single"/>
        </w:rPr>
        <w:t>ПОДРЯДЧИК:</w:t>
      </w:r>
      <w:r>
        <w:rPr>
          <w:sz w:val="22"/>
        </w:rPr>
        <w:tab/>
      </w:r>
    </w:p>
    <w:p w14:paraId="E6000000">
      <w:pPr>
        <w:tabs>
          <w:tab w:leader="none" w:pos="5670" w:val="left"/>
        </w:tabs>
        <w:ind/>
        <w:jc w:val="both"/>
        <w:rPr>
          <w:sz w:val="24"/>
        </w:rPr>
      </w:pPr>
      <w:r>
        <w:rPr>
          <w:sz w:val="24"/>
        </w:rPr>
        <w:t xml:space="preserve">Генеральный директор </w:t>
      </w:r>
    </w:p>
    <w:p w14:paraId="E7000000">
      <w:pPr>
        <w:tabs>
          <w:tab w:leader="none" w:pos="5670" w:val="left"/>
        </w:tabs>
        <w:ind/>
        <w:jc w:val="both"/>
        <w:rPr>
          <w:sz w:val="24"/>
        </w:rPr>
      </w:pPr>
      <w:r>
        <w:rPr>
          <w:sz w:val="24"/>
        </w:rPr>
        <w:t>МКУ «Сосновская служба заказчика»</w:t>
      </w:r>
    </w:p>
    <w:p w14:paraId="E8000000">
      <w:pPr>
        <w:tabs>
          <w:tab w:leader="none" w:pos="5670" w:val="left"/>
        </w:tabs>
        <w:ind/>
        <w:jc w:val="both"/>
        <w:rPr>
          <w:sz w:val="22"/>
        </w:rPr>
      </w:pPr>
    </w:p>
    <w:p w14:paraId="E9000000">
      <w:pPr>
        <w:ind/>
        <w:jc w:val="both"/>
        <w:rPr>
          <w:sz w:val="22"/>
        </w:rPr>
      </w:pPr>
    </w:p>
    <w:p w14:paraId="EA000000">
      <w:pPr>
        <w:pStyle w:val="Style_2"/>
        <w:spacing w:after="0" w:before="0"/>
        <w:ind/>
      </w:pPr>
      <w:r>
        <w:t>______________________/О.А. Веселова/</w:t>
      </w:r>
      <w:r>
        <w:tab/>
      </w:r>
      <w:r>
        <w:tab/>
      </w:r>
      <w:r>
        <w:t xml:space="preserve">   </w:t>
      </w:r>
      <w:r>
        <w:rPr>
          <w:highlight w:val="yellow"/>
        </w:rPr>
        <w:t>___________________/</w:t>
      </w:r>
      <w:r>
        <w:rPr>
          <w:highlight w:val="yellow"/>
        </w:rPr>
        <w:t>____________/</w:t>
      </w:r>
    </w:p>
    <w:p w14:paraId="EB000000">
      <w:pPr>
        <w:pStyle w:val="Style_2"/>
        <w:tabs>
          <w:tab w:leader="none" w:pos="4819" w:val="center"/>
          <w:tab w:leader="none" w:pos="5250" w:val="left"/>
        </w:tabs>
        <w:spacing w:after="0" w:before="0"/>
        <w:ind/>
      </w:pPr>
      <w:r>
        <w:t>эцп</w:t>
      </w:r>
      <w:r>
        <w:tab/>
      </w:r>
      <w:r>
        <w:tab/>
      </w:r>
      <w:r>
        <w:t>эцп</w:t>
      </w:r>
    </w:p>
    <w:p w14:paraId="EC000000">
      <w:pPr>
        <w:pStyle w:val="Style_2"/>
        <w:spacing w:after="0" w:before="0"/>
        <w:ind w:firstLine="567" w:left="0"/>
        <w:jc w:val="both"/>
      </w:pPr>
    </w:p>
    <w:sectPr>
      <w:footerReference r:id="rId1" w:type="default"/>
      <w:pgSz w:h="16838" w:orient="portrait" w:w="11906"/>
      <w:pgMar w:bottom="142" w:footer="720" w:gutter="0" w:header="720" w:left="1418" w:right="850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center"/>
      <w:rPr>
        <w:rFonts w:ascii="Times New Roman" w:hAnsi="Times New Roman"/>
      </w:rPr>
    </w:pPr>
    <w:r>
      <w:rPr>
        <w:rFonts w:ascii="Times New Roman" w:hAnsi="Times New Roman"/>
        <w:highlight w:val="yellow"/>
      </w:rPr>
      <w:t xml:space="preserve">МК № </w:t>
    </w:r>
    <w:r>
      <w:rPr>
        <w:rFonts w:ascii="Times New Roman" w:hAnsi="Times New Roman"/>
        <w:highlight w:val="yellow"/>
      </w:rPr>
      <w:t>_____</w:t>
    </w:r>
    <w:r>
      <w:rPr>
        <w:rFonts w:ascii="Times New Roman" w:hAnsi="Times New Roman"/>
        <w:highlight w:val="yellow"/>
      </w:rPr>
      <w:t xml:space="preserve"> от </w:t>
    </w:r>
    <w:r>
      <w:rPr>
        <w:rFonts w:ascii="Times New Roman" w:hAnsi="Times New Roman"/>
        <w:highlight w:val="yellow"/>
      </w:rPr>
      <w:t>__</w:t>
    </w:r>
    <w:r>
      <w:rPr>
        <w:rFonts w:ascii="Times New Roman" w:hAnsi="Times New Roman"/>
        <w:highlight w:val="yellow"/>
      </w:rPr>
      <w:t>.</w:t>
    </w:r>
    <w:r>
      <w:rPr>
        <w:rFonts w:ascii="Times New Roman" w:hAnsi="Times New Roman"/>
        <w:highlight w:val="yellow"/>
      </w:rPr>
      <w:t>___</w:t>
    </w:r>
    <w:r>
      <w:rPr>
        <w:rFonts w:ascii="Times New Roman" w:hAnsi="Times New Roman"/>
        <w:highlight w:val="yellow"/>
      </w:rPr>
      <w:t>.202</w:t>
    </w:r>
    <w:r>
      <w:rPr>
        <w:rFonts w:ascii="Times New Roman" w:hAnsi="Times New Roman"/>
        <w:highlight w:val="yellow"/>
      </w:rPr>
      <w:t>6</w:t>
    </w:r>
    <w:r>
      <w:rPr>
        <w:rFonts w:ascii="Times New Roman" w:hAnsi="Times New Roman"/>
        <w:highlight w:val="yellow"/>
      </w:rPr>
      <w:t>г.</w:t>
    </w:r>
  </w:p>
</w:ft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1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2">
    <w:lvl w:ilvl="0">
      <w:start w:val="1"/>
      <w:numFmt w:val="decimal"/>
      <w:lvlJc w:val="left"/>
      <w:pPr>
        <w:tabs>
          <w:tab w:leader="none" w:pos="0" w:val="left"/>
        </w:tabs>
        <w:ind w:hanging="432" w:left="432"/>
      </w:pPr>
      <w:rPr>
        <w:b w:val="1"/>
      </w:rPr>
    </w:lvl>
    <w:lvl w:ilvl="1">
      <w:start w:val="1"/>
      <w:numFmt w:val="decimal"/>
      <w:lvlJc w:val="left"/>
      <w:pPr>
        <w:tabs>
          <w:tab w:leader="none" w:pos="0" w:val="left"/>
        </w:tabs>
        <w:ind w:hanging="576" w:left="576"/>
      </w:pPr>
      <w:rPr>
        <w:i w:val="0"/>
      </w:rPr>
    </w:lvl>
    <w:lvl w:ilvl="2">
      <w:start w:val="1"/>
      <w:numFmt w:val="decimal"/>
      <w:lvlJc w:val="left"/>
      <w:pPr>
        <w:tabs>
          <w:tab w:leader="none" w:pos="0" w:val="left"/>
        </w:tabs>
        <w:ind w:hanging="720" w:left="720"/>
      </w:pPr>
    </w:lvl>
    <w:lvl w:ilvl="3">
      <w:start w:val="1"/>
      <w:numFmt w:val="decimal"/>
      <w:lvlJc w:val="left"/>
      <w:pPr>
        <w:tabs>
          <w:tab w:leader="none" w:pos="0" w:val="left"/>
        </w:tabs>
        <w:ind w:hanging="864" w:left="864"/>
      </w:pPr>
    </w:lvl>
    <w:lvl w:ilvl="4">
      <w:start w:val="1"/>
      <w:numFmt w:val="decimal"/>
      <w:lvlJc w:val="left"/>
      <w:pPr>
        <w:tabs>
          <w:tab w:leader="none" w:pos="0" w:val="left"/>
        </w:tabs>
        <w:ind w:hanging="1008" w:left="1008"/>
      </w:pPr>
    </w:lvl>
    <w:lvl w:ilvl="5">
      <w:start w:val="1"/>
      <w:numFmt w:val="decimal"/>
      <w:lvlJc w:val="left"/>
      <w:pPr>
        <w:tabs>
          <w:tab w:leader="none" w:pos="0" w:val="left"/>
        </w:tabs>
        <w:ind w:hanging="1152" w:left="1152"/>
      </w:pPr>
    </w:lvl>
    <w:lvl w:ilvl="6">
      <w:start w:val="1"/>
      <w:numFmt w:val="decimal"/>
      <w:lvlJc w:val="left"/>
      <w:pPr>
        <w:tabs>
          <w:tab w:leader="none" w:pos="0" w:val="left"/>
        </w:tabs>
        <w:ind w:hanging="1296" w:left="1296"/>
      </w:pPr>
    </w:lvl>
    <w:lvl w:ilvl="7">
      <w:start w:val="1"/>
      <w:numFmt w:val="decimal"/>
      <w:lvlJc w:val="left"/>
      <w:pPr>
        <w:tabs>
          <w:tab w:leader="none" w:pos="0" w:val="left"/>
        </w:tabs>
        <w:ind w:hanging="1440" w:left="1440"/>
      </w:pPr>
    </w:lvl>
    <w:lvl w:ilvl="8">
      <w:start w:val="1"/>
      <w:numFmt w:val="decimal"/>
      <w:lvlJc w:val="left"/>
      <w:pPr>
        <w:tabs>
          <w:tab w:leader="none" w:pos="0" w:val="left"/>
        </w:tabs>
        <w:ind w:hanging="1584" w:left="1584"/>
      </w:pPr>
    </w:lvl>
  </w:abstractNum>
  <w:abstractNum w:abstractNumId="3">
    <w:lvl w:ilvl="0">
      <w:start w:val="1"/>
      <w:numFmt w:val="decimal"/>
      <w:pStyle w:val="Style_32"/>
      <w:lvlJc w:val="left"/>
      <w:pPr>
        <w:tabs>
          <w:tab w:leader="none" w:pos="0" w:val="left"/>
        </w:tabs>
        <w:ind w:hanging="432" w:left="432"/>
      </w:pPr>
    </w:lvl>
    <w:lvl w:ilvl="1">
      <w:start w:val="1"/>
      <w:numFmt w:val="decimal"/>
      <w:pStyle w:val="Style_57"/>
      <w:lvlJc w:val="left"/>
      <w:pPr>
        <w:tabs>
          <w:tab w:leader="none" w:pos="0" w:val="left"/>
        </w:tabs>
        <w:ind w:hanging="576" w:left="576"/>
      </w:pPr>
    </w:lvl>
    <w:lvl w:ilvl="2">
      <w:start w:val="1"/>
      <w:numFmt w:val="decimal"/>
      <w:pStyle w:val="Style_15"/>
      <w:lvlJc w:val="left"/>
      <w:pPr>
        <w:tabs>
          <w:tab w:leader="none" w:pos="0" w:val="left"/>
        </w:tabs>
        <w:ind w:hanging="720" w:left="720"/>
      </w:pPr>
    </w:lvl>
    <w:lvl w:ilvl="3">
      <w:start w:val="1"/>
      <w:numFmt w:val="decimal"/>
      <w:lvlJc w:val="left"/>
      <w:pPr>
        <w:tabs>
          <w:tab w:leader="none" w:pos="0" w:val="left"/>
        </w:tabs>
        <w:ind w:firstLine="0" w:left="0"/>
      </w:pPr>
    </w:lvl>
    <w:lvl w:ilvl="4">
      <w:start w:val="1"/>
      <w:numFmt w:val="decimal"/>
      <w:lvlJc w:val="left"/>
      <w:pPr>
        <w:tabs>
          <w:tab w:leader="none" w:pos="0" w:val="left"/>
        </w:tabs>
        <w:ind w:firstLine="0" w:left="0"/>
      </w:pPr>
    </w:lvl>
    <w:lvl w:ilvl="5">
      <w:start w:val="1"/>
      <w:numFmt w:val="decimal"/>
      <w:lvlJc w:val="left"/>
      <w:pPr>
        <w:tabs>
          <w:tab w:leader="none" w:pos="0" w:val="left"/>
        </w:tabs>
        <w:ind w:firstLine="0" w:left="0"/>
      </w:pPr>
    </w:lvl>
    <w:lvl w:ilvl="6">
      <w:start w:val="1"/>
      <w:numFmt w:val="decimal"/>
      <w:lvlJc w:val="left"/>
      <w:pPr>
        <w:tabs>
          <w:tab w:leader="none" w:pos="0" w:val="left"/>
        </w:tabs>
        <w:ind w:firstLine="0" w:left="0"/>
      </w:pPr>
    </w:lvl>
    <w:lvl w:ilvl="7">
      <w:start w:val="1"/>
      <w:numFmt w:val="decimal"/>
      <w:lvlJc w:val="left"/>
      <w:pPr>
        <w:tabs>
          <w:tab w:leader="none" w:pos="0" w:val="left"/>
        </w:tabs>
        <w:ind w:firstLine="0" w:left="0"/>
      </w:pPr>
    </w:lvl>
    <w:lvl w:ilvl="8">
      <w:start w:val="1"/>
      <w:numFmt w:val="decimal"/>
      <w:lvlJc w:val="left"/>
      <w:pPr>
        <w:tabs>
          <w:tab w:leader="none" w:pos="0" w:val="left"/>
        </w:tabs>
        <w:ind w:firstLine="0" w:left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sz w:val="24"/>
    </w:rPr>
  </w:style>
  <w:style w:default="1" w:styleId="Style_4_ch" w:type="character">
    <w:name w:val="Normal"/>
    <w:link w:val="Style_4"/>
    <w:rPr>
      <w:sz w:val="24"/>
    </w:rPr>
  </w:style>
  <w:style w:styleId="Style_5" w:type="paragraph">
    <w:name w:val="List"/>
    <w:basedOn w:val="Style_6"/>
    <w:link w:val="Style_5_ch"/>
  </w:style>
  <w:style w:styleId="Style_5_ch" w:type="character">
    <w:name w:val="List"/>
    <w:basedOn w:val="Style_6_ch"/>
    <w:link w:val="Style_5"/>
  </w:style>
  <w:style w:styleId="Style_7" w:type="paragraph">
    <w:name w:val="Знак Знак6 Знак Знак"/>
    <w:basedOn w:val="Style_4"/>
    <w:link w:val="Style_7_ch"/>
    <w:rPr>
      <w:rFonts w:ascii="Verdana" w:hAnsi="Verdana"/>
    </w:rPr>
  </w:style>
  <w:style w:styleId="Style_7_ch" w:type="character">
    <w:name w:val="Знак Знак6 Знак Знак"/>
    <w:basedOn w:val="Style_4_ch"/>
    <w:link w:val="Style_7"/>
    <w:rPr>
      <w:rFonts w:ascii="Verdana" w:hAnsi="Verdana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6" w:type="paragraph">
    <w:name w:val="Body Text"/>
    <w:basedOn w:val="Style_4"/>
    <w:link w:val="Style_6_ch"/>
    <w:pPr>
      <w:spacing w:after="140" w:before="0" w:line="288" w:lineRule="auto"/>
      <w:ind/>
    </w:pPr>
  </w:style>
  <w:style w:styleId="Style_6_ch" w:type="character">
    <w:name w:val="Body Text"/>
    <w:basedOn w:val="Style_4_ch"/>
    <w:link w:val="Style_6"/>
  </w:style>
  <w:style w:styleId="Style_9" w:type="paragraph">
    <w:name w:val="toc 2"/>
    <w:next w:val="Style_4"/>
    <w:link w:val="Style_9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4"/>
    <w:link w:val="Style_10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4"/>
    <w:link w:val="Style_11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WW-Знак Знак6 Знак Знак Знак Знак"/>
    <w:basedOn w:val="Style_4"/>
    <w:link w:val="Style_12_ch"/>
    <w:rPr>
      <w:rFonts w:ascii="Verdana" w:hAnsi="Verdana"/>
    </w:rPr>
  </w:style>
  <w:style w:styleId="Style_12_ch" w:type="character">
    <w:name w:val="WW-Знак Знак6 Знак Знак Знак Знак"/>
    <w:basedOn w:val="Style_4_ch"/>
    <w:link w:val="Style_12"/>
    <w:rPr>
      <w:rFonts w:ascii="Verdana" w:hAnsi="Verdana"/>
    </w:rPr>
  </w:style>
  <w:style w:styleId="Style_13" w:type="paragraph">
    <w:name w:val="toc 7"/>
    <w:next w:val="Style_4"/>
    <w:link w:val="Style_13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3_ch" w:type="character">
    <w:name w:val="toc 7"/>
    <w:link w:val="Style_13"/>
    <w:rPr>
      <w:rFonts w:ascii="XO Thames" w:hAnsi="XO Thames"/>
      <w:sz w:val="28"/>
    </w:rPr>
  </w:style>
  <w:style w:styleId="Style_14" w:type="paragraph">
    <w:name w:val="WW8Num1z5"/>
    <w:link w:val="Style_14_ch"/>
  </w:style>
  <w:style w:styleId="Style_14_ch" w:type="character">
    <w:name w:val="WW8Num1z5"/>
    <w:link w:val="Style_14"/>
  </w:style>
  <w:style w:styleId="Style_15" w:type="paragraph">
    <w:name w:val="heading 3"/>
    <w:basedOn w:val="Style_16"/>
    <w:next w:val="Style_6"/>
    <w:link w:val="Style_15_ch"/>
    <w:uiPriority w:val="9"/>
    <w:qFormat/>
    <w:pPr>
      <w:numPr>
        <w:ilvl w:val="2"/>
        <w:numId w:val="4"/>
      </w:numPr>
      <w:spacing w:after="120" w:before="140"/>
      <w:ind/>
      <w:outlineLvl w:val="2"/>
    </w:pPr>
    <w:rPr>
      <w:b w:val="1"/>
      <w:sz w:val="28"/>
    </w:rPr>
  </w:style>
  <w:style w:styleId="Style_15_ch" w:type="character">
    <w:name w:val="heading 3"/>
    <w:basedOn w:val="Style_16_ch"/>
    <w:link w:val="Style_15"/>
    <w:rPr>
      <w:b w:val="1"/>
      <w:sz w:val="28"/>
    </w:rPr>
  </w:style>
  <w:style w:styleId="Style_17" w:type="paragraph">
    <w:name w:val=" Знак Знак"/>
    <w:link w:val="Style_17_ch"/>
    <w:rPr>
      <w:rFonts w:ascii="Helvetica" w:hAnsi="Helvetica"/>
      <w:sz w:val="20"/>
    </w:rPr>
  </w:style>
  <w:style w:styleId="Style_17_ch" w:type="character">
    <w:name w:val=" Знак Знак"/>
    <w:link w:val="Style_17"/>
    <w:rPr>
      <w:rFonts w:ascii="Helvetica" w:hAnsi="Helvetica"/>
      <w:sz w:val="20"/>
    </w:rPr>
  </w:style>
  <w:style w:styleId="Style_18" w:type="paragraph">
    <w:name w:val="List Paragraph"/>
    <w:basedOn w:val="Style_4"/>
    <w:link w:val="Style_18_ch"/>
    <w:pPr>
      <w:spacing w:after="0" w:before="0"/>
      <w:ind w:firstLine="0" w:left="720" w:right="0"/>
    </w:pPr>
  </w:style>
  <w:style w:styleId="Style_18_ch" w:type="character">
    <w:name w:val="List Paragraph"/>
    <w:basedOn w:val="Style_4_ch"/>
    <w:link w:val="Style_18"/>
  </w:style>
  <w:style w:styleId="Style_1" w:type="paragraph">
    <w:name w:val="footer"/>
    <w:basedOn w:val="Style_4"/>
    <w:link w:val="Style_1_ch"/>
  </w:style>
  <w:style w:styleId="Style_1_ch" w:type="character">
    <w:name w:val="footer"/>
    <w:basedOn w:val="Style_4_ch"/>
    <w:link w:val="Style_1"/>
  </w:style>
  <w:style w:styleId="Style_19" w:type="paragraph">
    <w:name w:val="header"/>
    <w:basedOn w:val="Style_4"/>
    <w:link w:val="Style_19_ch"/>
  </w:style>
  <w:style w:styleId="Style_19_ch" w:type="character">
    <w:name w:val="header"/>
    <w:basedOn w:val="Style_4_ch"/>
    <w:link w:val="Style_19"/>
  </w:style>
  <w:style w:styleId="Style_20" w:type="paragraph">
    <w:name w:val="WW8Num1z7"/>
    <w:link w:val="Style_20_ch"/>
  </w:style>
  <w:style w:styleId="Style_20_ch" w:type="character">
    <w:name w:val="WW8Num1z7"/>
    <w:link w:val="Style_20"/>
  </w:style>
  <w:style w:styleId="Style_21" w:type="paragraph">
    <w:name w:val="Указатель1"/>
    <w:basedOn w:val="Style_4"/>
    <w:link w:val="Style_21_ch"/>
  </w:style>
  <w:style w:styleId="Style_21_ch" w:type="character">
    <w:name w:val="Указатель1"/>
    <w:basedOn w:val="Style_4_ch"/>
    <w:link w:val="Style_21"/>
  </w:style>
  <w:style w:styleId="Style_22" w:type="paragraph">
    <w:name w:val="Основной шрифт абзаца1"/>
    <w:link w:val="Style_22_ch"/>
  </w:style>
  <w:style w:styleId="Style_22_ch" w:type="character">
    <w:name w:val="Основной шрифт абзаца1"/>
    <w:link w:val="Style_22"/>
  </w:style>
  <w:style w:styleId="Style_23" w:type="paragraph">
    <w:name w:val="WW8Num1z3"/>
    <w:link w:val="Style_23_ch"/>
  </w:style>
  <w:style w:styleId="Style_23_ch" w:type="character">
    <w:name w:val="WW8Num1z3"/>
    <w:link w:val="Style_23"/>
  </w:style>
  <w:style w:styleId="Style_24" w:type="paragraph">
    <w:name w:val="Заголовок таблицы"/>
    <w:basedOn w:val="Style_25"/>
    <w:link w:val="Style_24_ch"/>
    <w:pPr>
      <w:ind/>
      <w:jc w:val="center"/>
    </w:pPr>
    <w:rPr>
      <w:b w:val="1"/>
    </w:rPr>
  </w:style>
  <w:style w:styleId="Style_24_ch" w:type="character">
    <w:name w:val="Заголовок таблицы"/>
    <w:basedOn w:val="Style_25_ch"/>
    <w:link w:val="Style_24"/>
    <w:rPr>
      <w:b w:val="1"/>
    </w:rPr>
  </w:style>
  <w:style w:styleId="Style_26" w:type="paragraph">
    <w:name w:val="toc 3"/>
    <w:next w:val="Style_4"/>
    <w:link w:val="Style_26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6_ch" w:type="character">
    <w:name w:val="toc 3"/>
    <w:link w:val="Style_26"/>
    <w:rPr>
      <w:rFonts w:ascii="XO Thames" w:hAnsi="XO Thames"/>
      <w:sz w:val="28"/>
    </w:rPr>
  </w:style>
  <w:style w:styleId="Style_27" w:type="paragraph">
    <w:name w:val="footnote reference"/>
    <w:link w:val="Style_27_ch"/>
    <w:rPr>
      <w:vertAlign w:val="superscript"/>
    </w:rPr>
  </w:style>
  <w:style w:styleId="Style_27_ch" w:type="character">
    <w:name w:val="footnote reference"/>
    <w:link w:val="Style_27"/>
    <w:rPr>
      <w:vertAlign w:val="superscript"/>
    </w:rPr>
  </w:style>
  <w:style w:styleId="Style_28" w:type="paragraph">
    <w:name w:val="WW8Num1z4"/>
    <w:link w:val="Style_28_ch"/>
  </w:style>
  <w:style w:styleId="Style_28_ch" w:type="character">
    <w:name w:val="WW8Num1z4"/>
    <w:link w:val="Style_28"/>
  </w:style>
  <w:style w:styleId="Style_29" w:type="paragraph">
    <w:name w:val="WW8Num1z8"/>
    <w:link w:val="Style_29_ch"/>
  </w:style>
  <w:style w:styleId="Style_29_ch" w:type="character">
    <w:name w:val="WW8Num1z8"/>
    <w:link w:val="Style_29"/>
  </w:style>
  <w:style w:styleId="Style_30" w:type="paragraph">
    <w:name w:val="heading 5"/>
    <w:next w:val="Style_4"/>
    <w:link w:val="Style_3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30_ch" w:type="character">
    <w:name w:val="heading 5"/>
    <w:link w:val="Style_30"/>
    <w:rPr>
      <w:rFonts w:ascii="XO Thames" w:hAnsi="XO Thames"/>
      <w:b w:val="1"/>
      <w:sz w:val="22"/>
    </w:rPr>
  </w:style>
  <w:style w:styleId="Style_31" w:type="paragraph">
    <w:name w:val="WW8Num1z2"/>
    <w:link w:val="Style_31_ch"/>
  </w:style>
  <w:style w:styleId="Style_31_ch" w:type="character">
    <w:name w:val="WW8Num1z2"/>
    <w:link w:val="Style_31"/>
  </w:style>
  <w:style w:styleId="Style_32" w:type="paragraph">
    <w:name w:val="heading 1"/>
    <w:basedOn w:val="Style_16"/>
    <w:next w:val="Style_6"/>
    <w:link w:val="Style_32_ch"/>
    <w:uiPriority w:val="9"/>
    <w:qFormat/>
    <w:pPr>
      <w:numPr>
        <w:ilvl w:val="0"/>
        <w:numId w:val="4"/>
      </w:numPr>
      <w:spacing w:after="120" w:before="240"/>
      <w:ind/>
      <w:outlineLvl w:val="0"/>
    </w:pPr>
    <w:rPr>
      <w:b w:val="1"/>
      <w:sz w:val="36"/>
    </w:rPr>
  </w:style>
  <w:style w:styleId="Style_32_ch" w:type="character">
    <w:name w:val="heading 1"/>
    <w:basedOn w:val="Style_16_ch"/>
    <w:link w:val="Style_32"/>
    <w:rPr>
      <w:b w:val="1"/>
      <w:sz w:val="36"/>
    </w:rPr>
  </w:style>
  <w:style w:styleId="Style_33" w:type="paragraph">
    <w:name w:val="WW8Num1z0"/>
    <w:link w:val="Style_33_ch"/>
  </w:style>
  <w:style w:styleId="Style_33_ch" w:type="character">
    <w:name w:val="WW8Num1z0"/>
    <w:link w:val="Style_33"/>
  </w:style>
  <w:style w:styleId="Style_34" w:type="paragraph">
    <w:name w:val="Hyperlink"/>
    <w:link w:val="Style_34_ch"/>
    <w:rPr>
      <w:color w:val="0000FF"/>
      <w:u w:val="single"/>
    </w:rPr>
  </w:style>
  <w:style w:styleId="Style_34_ch" w:type="character">
    <w:name w:val="Hyperlink"/>
    <w:link w:val="Style_34"/>
    <w:rPr>
      <w:color w:val="0000FF"/>
      <w:u w:val="single"/>
    </w:rPr>
  </w:style>
  <w:style w:styleId="Style_35" w:type="paragraph">
    <w:name w:val="Footnote"/>
    <w:basedOn w:val="Style_4"/>
    <w:link w:val="Style_35_ch"/>
    <w:pPr>
      <w:widowControl w:val="0"/>
      <w:ind w:hanging="283" w:left="283"/>
    </w:pPr>
    <w:rPr>
      <w:rFonts w:ascii="Times New Roman" w:hAnsi="Times New Roman"/>
    </w:rPr>
  </w:style>
  <w:style w:styleId="Style_35_ch" w:type="character">
    <w:name w:val="Footnote"/>
    <w:basedOn w:val="Style_4_ch"/>
    <w:link w:val="Style_35"/>
    <w:rPr>
      <w:rFonts w:ascii="Times New Roman" w:hAnsi="Times New Roman"/>
    </w:rPr>
  </w:style>
  <w:style w:styleId="Style_36" w:type="paragraph">
    <w:name w:val="toc 1"/>
    <w:next w:val="Style_4"/>
    <w:link w:val="Style_3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36_ch" w:type="character">
    <w:name w:val="toc 1"/>
    <w:link w:val="Style_36"/>
    <w:rPr>
      <w:rFonts w:ascii="XO Thames" w:hAnsi="XO Thames"/>
      <w:b w:val="1"/>
      <w:sz w:val="28"/>
    </w:rPr>
  </w:style>
  <w:style w:styleId="Style_37" w:type="paragraph">
    <w:name w:val="Header and Footer"/>
    <w:link w:val="Style_37_ch"/>
    <w:pPr>
      <w:spacing w:line="240" w:lineRule="auto"/>
      <w:ind/>
      <w:jc w:val="both"/>
    </w:pPr>
    <w:rPr>
      <w:rFonts w:ascii="XO Thames" w:hAnsi="XO Thames"/>
      <w:sz w:val="20"/>
    </w:rPr>
  </w:style>
  <w:style w:styleId="Style_37_ch" w:type="character">
    <w:name w:val="Header and Footer"/>
    <w:link w:val="Style_37"/>
    <w:rPr>
      <w:rFonts w:ascii="XO Thames" w:hAnsi="XO Thames"/>
      <w:sz w:val="20"/>
    </w:rPr>
  </w:style>
  <w:style w:styleId="Style_38" w:type="paragraph">
    <w:name w:val="Цветовое выделение"/>
    <w:link w:val="Style_38_ch"/>
    <w:rPr>
      <w:b w:val="1"/>
      <w:color w:val="26282F"/>
    </w:rPr>
  </w:style>
  <w:style w:styleId="Style_38_ch" w:type="character">
    <w:name w:val="Цветовое выделение"/>
    <w:link w:val="Style_38"/>
    <w:rPr>
      <w:b w:val="1"/>
      <w:color w:val="26282F"/>
    </w:rPr>
  </w:style>
  <w:style w:styleId="Style_2" w:type="paragraph">
    <w:name w:val="Normal (Web)1"/>
    <w:basedOn w:val="Style_4"/>
    <w:link w:val="Style_2_ch"/>
    <w:pPr>
      <w:spacing w:after="119" w:before="280"/>
      <w:ind/>
    </w:pPr>
    <w:rPr>
      <w:rFonts w:ascii="Times New Roman" w:hAnsi="Times New Roman"/>
      <w:sz w:val="24"/>
    </w:rPr>
  </w:style>
  <w:style w:styleId="Style_2_ch" w:type="character">
    <w:name w:val="Normal (Web)1"/>
    <w:basedOn w:val="Style_4_ch"/>
    <w:link w:val="Style_2"/>
    <w:rPr>
      <w:rFonts w:ascii="Times New Roman" w:hAnsi="Times New Roman"/>
      <w:sz w:val="24"/>
    </w:rPr>
  </w:style>
  <w:style w:styleId="Style_39" w:type="paragraph">
    <w:name w:val="toc 9"/>
    <w:next w:val="Style_4"/>
    <w:link w:val="Style_3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39_ch" w:type="character">
    <w:name w:val="toc 9"/>
    <w:link w:val="Style_39"/>
    <w:rPr>
      <w:rFonts w:ascii="XO Thames" w:hAnsi="XO Thames"/>
      <w:sz w:val="28"/>
    </w:rPr>
  </w:style>
  <w:style w:styleId="Style_40" w:type="paragraph">
    <w:name w:val="WW8Num1z1"/>
    <w:link w:val="Style_40_ch"/>
  </w:style>
  <w:style w:styleId="Style_40_ch" w:type="character">
    <w:name w:val="WW8Num1z1"/>
    <w:link w:val="Style_40"/>
  </w:style>
  <w:style w:styleId="Style_41" w:type="paragraph">
    <w:name w:val="Normal (Web)"/>
    <w:basedOn w:val="Style_4"/>
    <w:link w:val="Style_41_ch"/>
    <w:pPr>
      <w:spacing w:after="280" w:before="280"/>
      <w:ind/>
    </w:pPr>
    <w:rPr>
      <w:rFonts w:ascii="Times New Roman" w:hAnsi="Times New Roman"/>
      <w:sz w:val="24"/>
    </w:rPr>
  </w:style>
  <w:style w:styleId="Style_41_ch" w:type="character">
    <w:name w:val="Normal (Web)"/>
    <w:basedOn w:val="Style_4_ch"/>
    <w:link w:val="Style_41"/>
    <w:rPr>
      <w:rFonts w:ascii="Times New Roman" w:hAnsi="Times New Roman"/>
      <w:sz w:val="24"/>
    </w:rPr>
  </w:style>
  <w:style w:styleId="Style_42" w:type="paragraph">
    <w:name w:val="toc 8"/>
    <w:next w:val="Style_4"/>
    <w:link w:val="Style_42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42_ch" w:type="character">
    <w:name w:val="toc 8"/>
    <w:link w:val="Style_42"/>
    <w:rPr>
      <w:rFonts w:ascii="XO Thames" w:hAnsi="XO Thames"/>
      <w:sz w:val="28"/>
    </w:rPr>
  </w:style>
  <w:style w:styleId="Style_43" w:type="paragraph">
    <w:name w:val="Название"/>
    <w:basedOn w:val="Style_16"/>
    <w:next w:val="Style_6"/>
    <w:link w:val="Style_43_ch"/>
    <w:pPr>
      <w:ind/>
      <w:jc w:val="center"/>
    </w:pPr>
    <w:rPr>
      <w:b w:val="1"/>
      <w:sz w:val="56"/>
    </w:rPr>
  </w:style>
  <w:style w:styleId="Style_43_ch" w:type="character">
    <w:name w:val="Название"/>
    <w:basedOn w:val="Style_16_ch"/>
    <w:link w:val="Style_43"/>
    <w:rPr>
      <w:b w:val="1"/>
      <w:sz w:val="56"/>
    </w:rPr>
  </w:style>
  <w:style w:styleId="Style_44" w:type="paragraph">
    <w:name w:val=" Знак Знак1"/>
    <w:link w:val="Style_44_ch"/>
    <w:rPr>
      <w:rFonts w:ascii="Helvetica" w:hAnsi="Helvetica"/>
      <w:sz w:val="20"/>
    </w:rPr>
  </w:style>
  <w:style w:styleId="Style_44_ch" w:type="character">
    <w:name w:val=" Знак Знак1"/>
    <w:link w:val="Style_44"/>
    <w:rPr>
      <w:rFonts w:ascii="Helvetica" w:hAnsi="Helvetica"/>
      <w:sz w:val="20"/>
    </w:rPr>
  </w:style>
  <w:style w:styleId="Style_45" w:type="paragraph">
    <w:name w:val="Блочная цитата"/>
    <w:basedOn w:val="Style_4"/>
    <w:link w:val="Style_45_ch"/>
    <w:pPr>
      <w:spacing w:after="283" w:before="0"/>
      <w:ind w:firstLine="0" w:left="567" w:right="567"/>
    </w:pPr>
  </w:style>
  <w:style w:styleId="Style_45_ch" w:type="character">
    <w:name w:val="Блочная цитата"/>
    <w:basedOn w:val="Style_4_ch"/>
    <w:link w:val="Style_45"/>
  </w:style>
  <w:style w:styleId="Style_46" w:type="paragraph">
    <w:name w:val="WW-Знак Знак6 Знак Знак"/>
    <w:basedOn w:val="Style_4"/>
    <w:link w:val="Style_46_ch"/>
    <w:rPr>
      <w:rFonts w:ascii="Verdana" w:hAnsi="Verdana"/>
    </w:rPr>
  </w:style>
  <w:style w:styleId="Style_46_ch" w:type="character">
    <w:name w:val="WW-Знак Знак6 Знак Знак"/>
    <w:basedOn w:val="Style_4_ch"/>
    <w:link w:val="Style_46"/>
    <w:rPr>
      <w:rFonts w:ascii="Verdana" w:hAnsi="Verdana"/>
    </w:rPr>
  </w:style>
  <w:style w:styleId="Style_25" w:type="paragraph">
    <w:name w:val="Содержимое таблицы"/>
    <w:basedOn w:val="Style_4"/>
    <w:link w:val="Style_25_ch"/>
  </w:style>
  <w:style w:styleId="Style_25_ch" w:type="character">
    <w:name w:val="Содержимое таблицы"/>
    <w:basedOn w:val="Style_4_ch"/>
    <w:link w:val="Style_25"/>
  </w:style>
  <w:style w:styleId="Style_47" w:type="paragraph">
    <w:name w:val="toc 5"/>
    <w:next w:val="Style_4"/>
    <w:link w:val="Style_4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47_ch" w:type="character">
    <w:name w:val="toc 5"/>
    <w:link w:val="Style_47"/>
    <w:rPr>
      <w:rFonts w:ascii="XO Thames" w:hAnsi="XO Thames"/>
      <w:sz w:val="28"/>
    </w:rPr>
  </w:style>
  <w:style w:styleId="Style_48" w:type="paragraph">
    <w:name w:val="Standard"/>
    <w:link w:val="Style_48_ch"/>
    <w:rPr>
      <w:sz w:val="24"/>
    </w:rPr>
  </w:style>
  <w:style w:styleId="Style_48_ch" w:type="character">
    <w:name w:val="Standard"/>
    <w:link w:val="Style_48"/>
    <w:rPr>
      <w:sz w:val="24"/>
    </w:rPr>
  </w:style>
  <w:style w:styleId="Style_49" w:type="paragraph">
    <w:name w:val="Знак Знак6 Знак Знак Знак Знак"/>
    <w:basedOn w:val="Style_4"/>
    <w:link w:val="Style_49_ch"/>
    <w:rPr>
      <w:rFonts w:ascii="Verdana" w:hAnsi="Verdana"/>
    </w:rPr>
  </w:style>
  <w:style w:styleId="Style_49_ch" w:type="character">
    <w:name w:val="Знак Знак6 Знак Знак Знак Знак"/>
    <w:basedOn w:val="Style_4_ch"/>
    <w:link w:val="Style_49"/>
    <w:rPr>
      <w:rFonts w:ascii="Verdana" w:hAnsi="Verdana"/>
    </w:rPr>
  </w:style>
  <w:style w:styleId="Style_50" w:type="paragraph">
    <w:name w:val="Название1"/>
    <w:basedOn w:val="Style_4"/>
    <w:link w:val="Style_50_ch"/>
    <w:pPr>
      <w:spacing w:after="120" w:before="120"/>
      <w:ind/>
    </w:pPr>
    <w:rPr>
      <w:i w:val="1"/>
      <w:sz w:val="24"/>
    </w:rPr>
  </w:style>
  <w:style w:styleId="Style_50_ch" w:type="character">
    <w:name w:val="Название1"/>
    <w:basedOn w:val="Style_4_ch"/>
    <w:link w:val="Style_50"/>
    <w:rPr>
      <w:i w:val="1"/>
      <w:sz w:val="24"/>
    </w:rPr>
  </w:style>
  <w:style w:styleId="Style_51" w:type="paragraph">
    <w:name w:val="Гипертекстовая ссылка"/>
    <w:link w:val="Style_51_ch"/>
    <w:rPr>
      <w:b w:val="1"/>
      <w:color w:val="106BBE"/>
    </w:rPr>
  </w:style>
  <w:style w:styleId="Style_51_ch" w:type="character">
    <w:name w:val="Гипертекстовая ссылка"/>
    <w:link w:val="Style_51"/>
    <w:rPr>
      <w:b w:val="1"/>
      <w:color w:val="106BBE"/>
    </w:rPr>
  </w:style>
  <w:style w:styleId="Style_52" w:type="paragraph">
    <w:name w:val="Subtitle"/>
    <w:basedOn w:val="Style_16"/>
    <w:next w:val="Style_6"/>
    <w:link w:val="Style_52_ch"/>
    <w:uiPriority w:val="11"/>
    <w:qFormat/>
    <w:pPr>
      <w:spacing w:after="120" w:before="60"/>
      <w:ind/>
      <w:jc w:val="center"/>
    </w:pPr>
    <w:rPr>
      <w:sz w:val="36"/>
    </w:rPr>
  </w:style>
  <w:style w:styleId="Style_52_ch" w:type="character">
    <w:name w:val="Subtitle"/>
    <w:basedOn w:val="Style_16_ch"/>
    <w:link w:val="Style_52"/>
    <w:rPr>
      <w:sz w:val="36"/>
    </w:rPr>
  </w:style>
  <w:style w:styleId="Style_53" w:type="paragraph">
    <w:name w:val="ConsNonformat"/>
    <w:link w:val="Style_53_ch"/>
    <w:rPr>
      <w:sz w:val="22"/>
    </w:rPr>
  </w:style>
  <w:style w:styleId="Style_53_ch" w:type="character">
    <w:name w:val="ConsNonformat"/>
    <w:link w:val="Style_53"/>
    <w:rPr>
      <w:sz w:val="22"/>
    </w:rPr>
  </w:style>
  <w:style w:styleId="Style_16" w:type="paragraph">
    <w:name w:val="Title"/>
    <w:basedOn w:val="Style_4"/>
    <w:next w:val="Style_6"/>
    <w:link w:val="Style_16_ch"/>
    <w:uiPriority w:val="10"/>
    <w:qFormat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6_ch" w:type="character">
    <w:name w:val="Title"/>
    <w:basedOn w:val="Style_4_ch"/>
    <w:link w:val="Style_16"/>
    <w:rPr>
      <w:rFonts w:ascii="Liberation Sans" w:hAnsi="Liberation Sans"/>
      <w:sz w:val="28"/>
    </w:rPr>
  </w:style>
  <w:style w:styleId="Style_54" w:type="paragraph">
    <w:name w:val="Body Text Indent"/>
    <w:basedOn w:val="Style_4"/>
    <w:link w:val="Style_54_ch"/>
    <w:pPr>
      <w:spacing w:after="120" w:before="0"/>
      <w:ind w:firstLine="0" w:left="283" w:right="0"/>
    </w:pPr>
  </w:style>
  <w:style w:styleId="Style_54_ch" w:type="character">
    <w:name w:val="Body Text Indent"/>
    <w:basedOn w:val="Style_4_ch"/>
    <w:link w:val="Style_54"/>
  </w:style>
  <w:style w:styleId="Style_55" w:type="paragraph">
    <w:name w:val="heading 4"/>
    <w:basedOn w:val="Style_4"/>
    <w:next w:val="Style_4"/>
    <w:link w:val="Style_55_ch"/>
    <w:uiPriority w:val="9"/>
    <w:qFormat/>
    <w:pPr>
      <w:keepNext w:val="1"/>
      <w:spacing w:after="60" w:before="240"/>
      <w:ind/>
      <w:outlineLvl w:val="3"/>
    </w:pPr>
    <w:rPr>
      <w:rFonts w:ascii="Calibri" w:hAnsi="Calibri"/>
      <w:b w:val="1"/>
      <w:sz w:val="28"/>
    </w:rPr>
  </w:style>
  <w:style w:styleId="Style_55_ch" w:type="character">
    <w:name w:val="heading 4"/>
    <w:basedOn w:val="Style_4_ch"/>
    <w:link w:val="Style_55"/>
    <w:rPr>
      <w:rFonts w:ascii="Calibri" w:hAnsi="Calibri"/>
      <w:b w:val="1"/>
      <w:sz w:val="28"/>
    </w:rPr>
  </w:style>
  <w:style w:styleId="Style_56" w:type="paragraph">
    <w:name w:val="WW8Num1z6"/>
    <w:link w:val="Style_56_ch"/>
  </w:style>
  <w:style w:styleId="Style_56_ch" w:type="character">
    <w:name w:val="WW8Num1z6"/>
    <w:link w:val="Style_56"/>
  </w:style>
  <w:style w:styleId="Style_57" w:type="paragraph">
    <w:name w:val="heading 2"/>
    <w:basedOn w:val="Style_16"/>
    <w:next w:val="Style_6"/>
    <w:link w:val="Style_57_ch"/>
    <w:uiPriority w:val="9"/>
    <w:qFormat/>
    <w:pPr>
      <w:numPr>
        <w:ilvl w:val="1"/>
        <w:numId w:val="4"/>
      </w:numPr>
      <w:spacing w:after="120" w:before="200"/>
      <w:ind/>
      <w:outlineLvl w:val="1"/>
    </w:pPr>
    <w:rPr>
      <w:b w:val="1"/>
      <w:sz w:val="32"/>
    </w:rPr>
  </w:style>
  <w:style w:styleId="Style_57_ch" w:type="character">
    <w:name w:val="heading 2"/>
    <w:basedOn w:val="Style_16_ch"/>
    <w:link w:val="Style_57"/>
    <w:rPr>
      <w:b w:val="1"/>
      <w:sz w:val="32"/>
    </w:rPr>
  </w:style>
  <w:style w:styleId="Style_58" w:type="paragraph">
    <w:name w:val="Сравнение редакций. Добавленный фрагмент"/>
    <w:link w:val="Style_58_ch"/>
    <w:rPr>
      <w:color w:val="000000"/>
      <w:shd w:fill="C1D7FF" w:val="clear"/>
    </w:rPr>
  </w:style>
  <w:style w:styleId="Style_58_ch" w:type="character">
    <w:name w:val="Сравнение редакций. Добавленный фрагмент"/>
    <w:link w:val="Style_58"/>
    <w:rPr>
      <w:color w:val="000000"/>
      <w:shd w:fill="C1D7FF" w:val="clear"/>
    </w:rPr>
  </w:style>
  <w:style w:styleId="Style_59" w:type="table">
    <w:name w:val="Сетка таблицы2"/>
    <w:basedOn w:val="Style_3"/>
    <w:rPr>
      <w:rFonts w:ascii="Calibri" w:hAnsi="Calibri"/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60" w:type="table">
    <w:name w:val="Сетка таблицы1"/>
    <w:basedOn w:val="Style_3"/>
    <w:rPr>
      <w:rFonts w:ascii="Calibri" w:hAnsi="Calibri"/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61" w:type="table">
    <w:name w:val="Table Grid"/>
    <w:basedOn w:val="Style_3"/>
    <w:rPr>
      <w:rFonts w:ascii="Calibri" w:hAnsi="Calibri"/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62" w:type="table">
    <w:name w:val="Сетка таблицы3"/>
    <w:basedOn w:val="Style_3"/>
    <w:rPr>
      <w:rFonts w:ascii="Calibri" w:hAnsi="Calibri"/>
      <w:sz w:val="22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footer1.xml" Type="http://schemas.openxmlformats.org/officeDocument/2006/relationships/foot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MyOffice-CoreFramework-Windows/25-982.666.6545.616.0@RELEASE-DESKTOP-WASSABI_HOME-RC-RENEW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2026-09-23T09:50:41Z</dcterms:modified>
</cp:coreProperties>
</file>