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8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Договор №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96"/>
        <w:gridCol w:w="5040"/>
      </w:tblGrid>
      <w:tr>
        <w:tblPrEx/>
        <w:trPr/>
        <w:tc>
          <w:tcPr>
            <w:tcW w:w="5096" w:type="dxa"/>
            <w:textDirection w:val="lrTb"/>
            <w:noWrap w:val="false"/>
          </w:tcPr>
          <w:p>
            <w:pPr>
              <w:pStyle w:val="786"/>
              <w:jc w:val="left"/>
              <w:spacing w:before="0" w:after="0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 w:bidi="ar-SA"/>
              </w:rPr>
              <w:t xml:space="preserve">Ленинградская область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040" w:type="dxa"/>
            <w:textDirection w:val="lrTb"/>
            <w:noWrap w:val="false"/>
          </w:tcPr>
          <w:p>
            <w:pPr>
              <w:pStyle w:val="786"/>
              <w:jc w:val="right"/>
              <w:spacing w:before="0" w:after="0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 w:bidi="ar-SA"/>
              </w:rPr>
              <w:t xml:space="preserve">«     »                     2026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786"/>
        <w:rPr>
          <w:sz w:val="24"/>
          <w:szCs w:val="24"/>
        </w:rPr>
      </w:pPr>
      <w:r>
        <w:rPr>
          <w:sz w:val="24"/>
          <w:szCs w:val="24"/>
        </w:rPr>
        <w:t xml:space="preserve">г. Кировск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Государственное казенное учреждение Ленинградской области «Ленинградская областная противопожарно-спасательная служба»,</w:t>
      </w:r>
      <w:r>
        <w:rPr>
          <w:sz w:val="24"/>
          <w:szCs w:val="24"/>
        </w:rPr>
        <w:t xml:space="preserve"> (ГКУ «Леноблпожспас)</w:t>
      </w:r>
      <w:r>
        <w:rPr>
          <w:iCs/>
          <w:sz w:val="24"/>
          <w:szCs w:val="24"/>
        </w:rPr>
        <w:t xml:space="preserve">, именуемое в дальнейшем </w:t>
      </w:r>
      <w:r>
        <w:rPr>
          <w:b/>
          <w:sz w:val="24"/>
          <w:szCs w:val="24"/>
        </w:rPr>
        <w:t xml:space="preserve">Заказчик</w:t>
      </w:r>
      <w:r>
        <w:rPr>
          <w:iCs/>
          <w:sz w:val="24"/>
          <w:szCs w:val="24"/>
        </w:rPr>
        <w:t xml:space="preserve">, в лице заместителя начальника учреждения Васильченко Дмитрия Анатольевича, </w:t>
      </w:r>
      <w:r>
        <w:rPr>
          <w:sz w:val="24"/>
          <w:szCs w:val="24"/>
        </w:rPr>
        <w:t xml:space="preserve">действующего на основании Доверенности от 18 октября 2022 года (бланк 47 БА 3509546, зарегистрирована в реестре за № 47/35-н/47-2022-5-303), с одной стороны, 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  <w:highlight w:val="none"/>
        </w:rPr>
      </w:pPr>
      <w:r>
        <w:rPr>
          <w:b/>
          <w:bCs/>
          <w:sz w:val="24"/>
          <w:szCs w:val="23"/>
        </w:rPr>
        <w:t xml:space="preserve">_______________________________</w:t>
      </w:r>
      <w:r>
        <w:rPr>
          <w:sz w:val="24"/>
          <w:szCs w:val="23"/>
        </w:rPr>
        <w:t xml:space="preserve">, в лице ____________________, действующего на основании Устава</w:t>
      </w:r>
      <w:r>
        <w:rPr>
          <w:sz w:val="23"/>
          <w:szCs w:val="23"/>
        </w:rPr>
        <w:t xml:space="preserve">, с другой стороны,</w:t>
      </w:r>
      <w:r>
        <w:rPr>
          <w:sz w:val="24"/>
        </w:rPr>
        <w:t xml:space="preserve"> на основании  п.4 ч.1 ст.93 Федерального закона № 44-ФЗ от 05.04.2013 года, </w:t>
      </w:r>
      <w:r>
        <w:rPr>
          <w:sz w:val="23"/>
          <w:szCs w:val="23"/>
        </w:rPr>
        <w:t xml:space="preserve">заключили настоящий договор о нижеследующем: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1. Предмет договора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1.1. Исполнитель обязуется оказать услуги </w:t>
      </w:r>
      <w:r>
        <w:rPr>
          <w:sz w:val="24"/>
          <w:szCs w:val="24"/>
        </w:rPr>
        <w:t xml:space="preserve">по утилизации аппаратных средств (по </w:t>
      </w:r>
      <w:r>
        <w:rPr>
          <w:sz w:val="24"/>
          <w:szCs w:val="24"/>
        </w:rPr>
        <w:t xml:space="preserve">вывозу и утилизации картриджей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согласно техническому заданию (далее – услуги), а Заказчик обязуется принять оказанные услуги и оплатить их.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.2. Услуги оказываются силами и средствами Исполнителя в течение 3 (трех) рабочих дней с момента получения Исполнителем письменной заявки от Заказчика, составленной в произвольной форме и направленной на электронный адрес Исполнителя: </w:t>
      </w:r>
      <w:r>
        <w:rPr>
          <w:sz w:val="24"/>
          <w:szCs w:val="24"/>
        </w:rPr>
        <w:t xml:space="preserve">________</w:t>
      </w:r>
      <w:r>
        <w:rPr>
          <w:sz w:val="24"/>
          <w:szCs w:val="24"/>
        </w:rPr>
      </w:r>
    </w:p>
    <w:p>
      <w:pPr>
        <w:pStyle w:val="831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1.3. Наименование и стоимость оказываемых услуг указывается в техническом задании (приложение № 1 к Контракту).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1.4. Место сбора картриджей происходит по адресу: Ленинградская область,   г. Кировск, ул. Краснофлотская д. 28.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1.5. В соответствии с п.</w:t>
      </w:r>
      <w:r>
        <w:rPr>
          <w:sz w:val="24"/>
          <w:szCs w:val="24"/>
        </w:rPr>
        <w:t xml:space="preserve"> 30 ч. 1 ст. 12 Федерального закона от 04.05.2011 № 99-ФЗ «О лицензировании отдельных видов деятельности» и постановления Правительства Российской Федерации от 26.12.2020 № 2290 «О лицензировании деятельности по сбору, транспортированию, обработке, утилиза</w:t>
      </w:r>
      <w:r>
        <w:rPr>
          <w:sz w:val="24"/>
          <w:szCs w:val="24"/>
        </w:rPr>
        <w:t xml:space="preserve">ции, обезвреживанию, размещению отходов I - IV классов опасности» Исполнитель должен иметь: действующую лицензию на осуществление деятельности по сбору, транспортированию, обработке, утилизации, обезвреживанию, размещению отходов I - IV классов опасности.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Виды отходов и виды работ: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картриджи печатающих устройств с содержанием тонера менее 7% отработанные (Класс опасности IV).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1.6. ИКЗ: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  <w:t xml:space="preserve">262470603110347060100100030000000242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31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2. Условия оказания услуг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tabs>
          <w:tab w:val="left" w:pos="426" w:leader="none"/>
          <w:tab w:val="clear" w:pos="70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2.1. Услуги оказываются Исполнителем в соответствии с требованиями технического задания (</w:t>
      </w:r>
      <w:hyperlink w:tooltip="#sub_111000" w:anchor="sub_111000" w:history="1">
        <w:r>
          <w:rPr>
            <w:rStyle w:val="826"/>
            <w:color w:val="auto"/>
            <w:sz w:val="24"/>
            <w:szCs w:val="24"/>
            <w:u w:val="none"/>
          </w:rPr>
          <w:t xml:space="preserve">Приложение</w:t>
        </w:r>
      </w:hyperlink>
      <w:r>
        <w:rPr>
          <w:sz w:val="24"/>
          <w:szCs w:val="24"/>
        </w:rPr>
        <w:t xml:space="preserve"> № 1 к Контракту), являющегося неотъемлемой частью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tabs>
          <w:tab w:val="left" w:pos="426" w:leader="none"/>
          <w:tab w:val="clear" w:pos="708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center"/>
        <w:tabs>
          <w:tab w:val="left" w:pos="426" w:leader="none"/>
          <w:tab w:val="clear" w:pos="708" w:leader="none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3. Стоимость оказания услуг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3.1. Цена Договора составляет _________________________________________________</w:t>
      </w:r>
      <w:r>
        <w:rPr>
          <w:bCs/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Цена Договора включает в себя все расходы, связ</w:t>
      </w:r>
      <w:r>
        <w:rPr>
          <w:sz w:val="24"/>
          <w:szCs w:val="24"/>
        </w:rPr>
        <w:t xml:space="preserve">анные с выполнением Исполнителем обязательств по Договору, в том числе налоги,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4. Обязанности сторон.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Исполнитель обязуется: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4.1.1. Оказывать услуги, указанные в п. 1.1. настоящего Договора, на основ</w:t>
      </w:r>
      <w:r>
        <w:rPr>
          <w:sz w:val="24"/>
          <w:szCs w:val="24"/>
        </w:rPr>
        <w:t xml:space="preserve">ании Лицензии по сбору, транспортированию, обработке, утилизации, обезвреживанию, размещению отходов I - IV классов опасности.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4.1.2. Вывезти от Заказчика оборудование по адресу: Ленинградская область, г.Кировск, ул. Краснофлотская д.28.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4.1.3. Выполнить Услуги в полном соответствии с действующими нормами и правилами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4.1.4. Соблюдать правила </w:t>
      </w:r>
      <w:r>
        <w:rPr>
          <w:sz w:val="24"/>
          <w:szCs w:val="24"/>
        </w:rPr>
        <w:t xml:space="preserve">противопожарной безопасности, техники безопасности и охраны окружающей среды при оказании услуг. В случае невозможности обеспечения безопасности граждан и их имущества Исполнитель обязан прекратить оказание услуг и сообщить об этом представителю Заказчика.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4.1.5.  Исполнитель вправе привлекать третьи лица для оказания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Заказчик обязуется: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4.3.1. Обеспечить доступ сотрудников Исполнителя к месту хранения оборудования. Оборудование при приеме подвергается внешнему осмотру Исполнителем.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4.3.2. Оплатить услуги Исполнителя в соответствии с условиями настоящего Договора.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4.3.3. Осуществлять передачу оборудования для транспортирования на основании транспортной накладной, подготовленной Исполн</w:t>
      </w:r>
      <w:r>
        <w:rPr>
          <w:sz w:val="24"/>
          <w:szCs w:val="24"/>
        </w:rPr>
        <w:t xml:space="preserve">ителем, составленной в трех экземплярах с отметкой Заказчика в разделах «Прием груза», «Подписи сторон», фактического времени прибытия и убытия транспортного средства, а также должности, подписи, расшифровки подписи грузоотправителя (уполномоченного лица).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>
        <w:rPr>
          <w:b/>
          <w:bCs/>
          <w:sz w:val="24"/>
          <w:szCs w:val="24"/>
        </w:rPr>
        <w:t xml:space="preserve">Порядок расчёта и платежей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6"/>
        <w:ind w:left="0" w:firstLine="709"/>
        <w:jc w:val="both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5.1. Заказчик оплачивает фактическую стоимость работ (услуг) в течение 7 (семи) рабочих дней со дня подписания Сторонами «Акта выполненных работ» и выставления счёта на оплату Исполнителем.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6. Обстоятельства непреодолимой силы.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6.1. Ни одна из Сторон не не</w:t>
      </w:r>
      <w:r>
        <w:rPr>
          <w:sz w:val="24"/>
          <w:szCs w:val="24"/>
        </w:rPr>
        <w:t xml:space="preserve">сёт ответственности за полное или частичное невыполнение своих обязательств по настоящему Договору, если это невыполнение связано с действием обстоятельств непреодолимой силы, как то: наводнение, землетрясение или другие стихийные бедствия, блокады, и т.п.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Если одно из обстоятельств непреодолимой силы повлияет на возможность выполнения Сторонами </w:t>
      </w:r>
      <w:r>
        <w:rPr>
          <w:sz w:val="24"/>
          <w:szCs w:val="24"/>
        </w:rPr>
        <w:t xml:space="preserve">обязательств по настоящему Договору, сроки их выполнения продлеваются соответственно на срок действия обстоятельств непреодолимой силы. Сторона, для которой выполнение обязательства по настоящему Договору, стало невозможным вследствие наступления указанных</w:t>
      </w:r>
      <w:r>
        <w:rPr>
          <w:sz w:val="24"/>
          <w:szCs w:val="24"/>
        </w:rPr>
        <w:t xml:space="preserve"> обстоятельств, должна в кратчайшие сроки письменно проинформировать другую Сторону о начале и времени прекращения обстоятельств непреодолимой силы, с приложением документов (изданных уполномоченным органом), подтверждающих наступление таких обстоятельств.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left="709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Порядок разрешения споров.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6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7.1. </w:t>
      </w:r>
      <w:r>
        <w:rPr>
          <w:spacing w:val="-2"/>
          <w:sz w:val="24"/>
          <w:szCs w:val="24"/>
        </w:rPr>
        <w:t xml:space="preserve">Все споры по настоящему Договору либо в связи с ним разрешаются сторонами, прежде всего путем переговоров. </w:t>
      </w:r>
      <w:r>
        <w:rPr>
          <w:sz w:val="24"/>
          <w:szCs w:val="24"/>
        </w:rPr>
        <w:t xml:space="preserve">Сторона, имеющая намерение обратиться в суд, направляет в адрес второй Стороны претензию с приложением всех необходимых документов для ее рассмотрения. Претензия рассматривается в срок не более 15 рабочих дней с момента ее получения. </w:t>
      </w:r>
      <w:r>
        <w:rPr>
          <w:spacing w:val="-2"/>
          <w:sz w:val="24"/>
          <w:szCs w:val="24"/>
        </w:rPr>
        <w:t xml:space="preserve">Если в процессе переговоров и </w:t>
      </w:r>
      <w:r>
        <w:rPr>
          <w:sz w:val="24"/>
          <w:szCs w:val="24"/>
        </w:rPr>
        <w:t xml:space="preserve">в претензионном порядке </w:t>
      </w:r>
      <w:r>
        <w:rPr>
          <w:spacing w:val="-2"/>
          <w:sz w:val="24"/>
          <w:szCs w:val="24"/>
        </w:rPr>
        <w:t xml:space="preserve">стороны не придут к взаимоприемлемому решению, споры разрешаются в соответствии с действующим законодательством РФ в Арбитражном суде Санкт-Петербурга и Ленинградской области.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6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6"/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  <w:t xml:space="preserve">8. Единые требования</w:t>
      </w: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</w:p>
    <w:p>
      <w:pPr>
        <w:pStyle w:val="786"/>
        <w:ind w:left="0" w:right="0" w:firstLine="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</w:t>
      </w:r>
      <w:r>
        <w:rPr>
          <w:sz w:val="24"/>
          <w:szCs w:val="24"/>
          <w:lang w:bidi="ru-RU"/>
        </w:rPr>
        <w:t xml:space="preserve">8.1. В соответствии с частью 1 статьи 31 Федерального закона № 44-ФЗ от 05.04.2013 года, Заказчик устанавливает следующие единые требования к Исполнителю: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8.1.1. соответствие Исполнителя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</w:t>
      </w:r>
      <w:r>
        <w:rPr>
          <w:sz w:val="24"/>
          <w:szCs w:val="24"/>
          <w:lang w:bidi="ru-RU"/>
        </w:rPr>
        <w:t xml:space="preserve">8.1.2. не проведение ликвидации Исполнителя - юридического лица и отсутствие решения арбитражного суда о признании Исполнителя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</w:t>
      </w:r>
      <w:r>
        <w:rPr>
          <w:sz w:val="24"/>
          <w:szCs w:val="24"/>
          <w:lang w:bidi="ru-RU"/>
        </w:rPr>
        <w:t xml:space="preserve">8.1.3. не приостановление деятельности Исполнителя в порядке, установленном Кодексом Российской Федерации об административных правонарушениях;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</w:t>
      </w:r>
      <w:r>
        <w:rPr>
          <w:sz w:val="24"/>
          <w:szCs w:val="24"/>
          <w:lang w:bidi="ru-RU"/>
        </w:rPr>
        <w:t xml:space="preserve">8.1.4. отсутствие у Исполнителя недоимки по налогам, сборам, задолженности по иным обязательным платежам в бюджеты бюджетной системы Российс</w:t>
      </w:r>
      <w:r>
        <w:rPr>
          <w:sz w:val="24"/>
          <w:szCs w:val="24"/>
          <w:lang w:bidi="ru-RU"/>
        </w:rPr>
        <w:t xml:space="preserve">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</w:t>
      </w:r>
      <w:r>
        <w:rPr>
          <w:sz w:val="24"/>
          <w:szCs w:val="24"/>
          <w:lang w:bidi="ru-RU"/>
        </w:rPr>
        <w:t xml:space="preserve">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</w:t>
      </w:r>
      <w:r>
        <w:rPr>
          <w:sz w:val="24"/>
          <w:szCs w:val="24"/>
          <w:lang w:bidi="ru-RU"/>
        </w:rPr>
        <w:t xml:space="preserve">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Исполнитель считается соответствующим установленному тре</w:t>
      </w:r>
      <w:r>
        <w:rPr>
          <w:sz w:val="24"/>
          <w:szCs w:val="24"/>
          <w:lang w:bidi="ru-RU"/>
        </w:rP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</w:t>
      </w:r>
      <w:r>
        <w:rPr>
          <w:sz w:val="24"/>
          <w:szCs w:val="24"/>
          <w:lang w:bidi="ru-RU"/>
        </w:rPr>
        <w:t xml:space="preserve">8.1.5. отсутствие у Испол</w:t>
      </w:r>
      <w:r>
        <w:rPr>
          <w:sz w:val="24"/>
          <w:szCs w:val="24"/>
          <w:lang w:bidi="ru-RU"/>
        </w:rPr>
        <w:t xml:space="preserve">нителя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Исполнителя судимости за преступления в сфере экономики</w:t>
      </w:r>
      <w:r>
        <w:rPr>
          <w:sz w:val="24"/>
          <w:szCs w:val="24"/>
          <w:lang w:bidi="ru-RU"/>
        </w:rPr>
        <w:t xml:space="preserve">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rPr>
          <w:sz w:val="24"/>
          <w:szCs w:val="24"/>
          <w:lang w:bidi="ru-RU"/>
        </w:rP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 </w:t>
      </w:r>
      <w:r>
        <w:rPr>
          <w:sz w:val="24"/>
          <w:szCs w:val="24"/>
          <w:lang w:bidi="ru-RU"/>
        </w:rPr>
        <w:t xml:space="preserve">8.1.6. исполнитель - юридическое лицо, которое в течение двух л</w:t>
      </w:r>
      <w:r>
        <w:rPr>
          <w:sz w:val="24"/>
          <w:szCs w:val="24"/>
          <w:lang w:bidi="ru-RU"/>
        </w:rPr>
        <w:t xml:space="preserve">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8.1.7. обладание Исполнителем исключительными правами на результаты интеллектуальной деятельно</w:t>
      </w:r>
      <w:r>
        <w:rPr>
          <w:sz w:val="24"/>
          <w:szCs w:val="24"/>
          <w:lang w:bidi="ru-RU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  </w:t>
      </w:r>
      <w:r>
        <w:rPr>
          <w:sz w:val="24"/>
          <w:szCs w:val="24"/>
          <w:lang w:bidi="ru-RU"/>
        </w:rPr>
        <w:t xml:space="preserve">8.1.8. отсутствие между исполнителем и заказчиком конфликта интересов, под которым понимаются случаи, при которых руководитель заказчика, </w:t>
      </w:r>
      <w:r>
        <w:rPr>
          <w:sz w:val="24"/>
          <w:szCs w:val="24"/>
          <w:lang w:bidi="ru-RU"/>
        </w:rPr>
        <w:t xml:space="preserve">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</w:t>
      </w:r>
      <w:r>
        <w:rPr>
          <w:sz w:val="24"/>
          <w:szCs w:val="24"/>
          <w:lang w:bidi="ru-RU"/>
        </w:rPr>
        <w:t xml:space="preserve">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</w:t>
      </w:r>
      <w:r>
        <w:rPr>
          <w:sz w:val="24"/>
          <w:szCs w:val="24"/>
          <w:lang w:bidi="ru-RU"/>
        </w:rPr>
        <w:t xml:space="preserve">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</w:t>
      </w:r>
      <w:r>
        <w:rPr>
          <w:sz w:val="24"/>
          <w:szCs w:val="24"/>
          <w:lang w:bidi="ru-RU"/>
        </w:rPr>
        <w:t xml:space="preserve">и детьми, дедушкой, бабушкой и внуками), полнородными и не 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rPr>
          <w:sz w:val="24"/>
          <w:szCs w:val="24"/>
          <w:lang w:bidi="ru-RU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 </w:t>
      </w:r>
      <w:r>
        <w:rPr>
          <w:sz w:val="24"/>
          <w:szCs w:val="24"/>
          <w:lang w:bidi="ru-RU"/>
        </w:rPr>
        <w:t xml:space="preserve">8.1.9. испо</w:t>
      </w:r>
      <w:r>
        <w:rPr>
          <w:sz w:val="24"/>
          <w:szCs w:val="24"/>
          <w:lang w:bidi="ru-RU"/>
        </w:rPr>
        <w:t xml:space="preserve">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sz w:val="24"/>
          <w:szCs w:val="24"/>
          <w:lang w:bidi="ru-RU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   </w:t>
      </w:r>
      <w:r>
        <w:rPr>
          <w:sz w:val="24"/>
          <w:szCs w:val="24"/>
          <w:lang w:bidi="ru-RU"/>
        </w:rPr>
        <w:t xml:space="preserve">8.1.10. отсутствие у Исполнителя ограничений для участия в закупках, установленных законодательством Российской Федерации.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     </w:t>
      </w:r>
      <w:r>
        <w:rPr>
          <w:sz w:val="24"/>
          <w:szCs w:val="24"/>
          <w:lang w:bidi="ru-RU"/>
        </w:rPr>
        <w:t xml:space="preserve">8.1.11. Исполнитель не является иностранным агентом.</w:t>
      </w:r>
      <w:r/>
    </w:p>
    <w:p>
      <w:pPr>
        <w:pStyle w:val="786"/>
        <w:ind w:left="0" w:right="0" w:firstLine="0"/>
        <w:jc w:val="both"/>
      </w:pPr>
      <w:r>
        <w:rPr>
          <w:sz w:val="24"/>
          <w:szCs w:val="24"/>
          <w:lang w:bidi="ru-RU"/>
        </w:rPr>
        <w:t xml:space="preserve">      </w:t>
      </w:r>
      <w:r>
        <w:rPr>
          <w:sz w:val="24"/>
          <w:szCs w:val="24"/>
          <w:lang w:bidi="ru-RU"/>
        </w:rPr>
        <w:t xml:space="preserve">8.2. В соответствии с частью 9 статьи 31 Федерального закона № 44-ФЗ от 05.04.2013 года, отстранение участника закупки от участия в определении  поставщика (подрядчика, исполнителя) или отказ от заключения договора с победителем закупки осуществля</w:t>
      </w:r>
      <w:r>
        <w:rPr>
          <w:sz w:val="24"/>
          <w:szCs w:val="24"/>
          <w:lang w:bidi="ru-RU"/>
        </w:rPr>
        <w:t xml:space="preserve">ется в любой момент до  заключения Договора, если Заказчик обнаружит, что  участник закупки не соответствует  указанным в п.8.1. настоящего Договора требованиям, или предоставил недостоверную информацию в отношении своего соответствия указанным требованиям</w:t>
      </w:r>
      <w:r/>
    </w:p>
    <w:p>
      <w:pPr>
        <w:pStyle w:val="786"/>
        <w:ind w:left="0" w:righ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Style w:val="78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9. Прочие условия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1"/>
        <w:ind w:firstLine="709"/>
        <w:rPr>
          <w:b/>
          <w:sz w:val="24"/>
          <w:szCs w:val="24"/>
        </w:rPr>
      </w:pPr>
      <w:r>
        <w:rPr>
          <w:sz w:val="24"/>
          <w:szCs w:val="24"/>
        </w:rPr>
        <w:t xml:space="preserve">9.1. Настоящий Договор вступает в силу с момента подписания и действует до 31 декабря 2026 года.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6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9.2. В случае изменения у какой либо из Сторон юридического адреса, названия, банковских реквизитов и прочего, она обязана письменно известить об этом другую Сторону в течение 5 (пяти) рабочих дней.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6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9.3. Ни одна из Сторон не может передать свои права третьей Стороне без обоюдного письменного согласия.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9.4. Настоящий Договор составлен в двух экземплярах, имеющих одинаковую юридическую силу, по одному экземпляру для каждой из Сторон.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Перечень приложений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6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10.1. Неотъемлемой частью Контракта является следующее приложение: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Техническое задание на оказание услуг (Приложение № 1 к Контракту)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6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11. АДРЕСА И РЕКВИЗИТЫ СТОРОН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29"/>
        <w:gridCol w:w="5107"/>
      </w:tblGrid>
      <w:tr>
        <w:tblPrEx/>
        <w:trPr/>
        <w:tc>
          <w:tcPr>
            <w:tcW w:w="5029" w:type="dxa"/>
            <w:textDirection w:val="lrTb"/>
            <w:noWrap w:val="false"/>
          </w:tcPr>
          <w:p>
            <w:pPr>
              <w:pStyle w:val="786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ИСПОЛНИТЕЛЬ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6"/>
              <w:jc w:val="both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both"/>
              <w:widowControl w:val="off"/>
              <w:rPr>
                <w:b/>
                <w:sz w:val="23"/>
                <w:szCs w:val="23"/>
                <w:lang w:val="ru-RU" w:bidi="ar-SA"/>
              </w:rPr>
            </w:pPr>
            <w:r>
              <w:rPr>
                <w:b/>
                <w:sz w:val="23"/>
                <w:szCs w:val="23"/>
                <w:lang w:val="ru-RU" w:bidi="ar-SA"/>
              </w:rPr>
            </w:r>
            <w:r>
              <w:rPr>
                <w:b/>
                <w:sz w:val="23"/>
                <w:szCs w:val="23"/>
                <w:lang w:val="ru-RU" w:bidi="ar-SA"/>
              </w:rPr>
            </w:r>
            <w:r>
              <w:rPr>
                <w:b/>
                <w:sz w:val="23"/>
                <w:szCs w:val="23"/>
                <w:lang w:val="ru-RU" w:bidi="ar-SA"/>
              </w:rPr>
            </w:r>
          </w:p>
        </w:tc>
        <w:tc>
          <w:tcPr>
            <w:tcW w:w="5107" w:type="dxa"/>
            <w:textDirection w:val="lrTb"/>
            <w:noWrap w:val="false"/>
          </w:tcPr>
          <w:p>
            <w:pPr>
              <w:pStyle w:val="786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ЗАКАЗЧИК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ГКУ «Леноблпожспас»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Юридический/фактический  адрес: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187342, Ленинградская область, г. Кировск,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ул. Краснофлотская, д.28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Тел. (81362) 78-800,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ОГРН 1104716001367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доход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Получатель: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УФК по Ленинградской области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(ГКУ «Леноблпожспас» л/сч 04452911280)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Банк: ОКЦ №1 СЗГУ БАНКА РОССИИ//УФК по Ленинградской области г.Санкт-Петербург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Счет получателя:03100643000000014500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Единый казначейский счет: 40102810745370000098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БИК 044030098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ИНН 4706031103 КПП 470601001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ОКТМО 41000000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КБК 97211402022020369440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 w:bidi="ar-SA"/>
              </w:rPr>
              <w:t xml:space="preserve">расход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Лицевой счет № 02 369 972 003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в Комитете финансов Ленинградской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области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pStyle w:val="786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ПОДПИСИ СТОРОН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44"/>
        <w:gridCol w:w="5092"/>
      </w:tblGrid>
      <w:tr>
        <w:tblPrEx/>
        <w:trPr/>
        <w:tc>
          <w:tcPr>
            <w:tcW w:w="5044" w:type="dxa"/>
            <w:textDirection w:val="lrTb"/>
            <w:noWrap w:val="false"/>
          </w:tcPr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ИСПОЛНИТЕЛЬ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tcW w:w="5092" w:type="dxa"/>
            <w:textDirection w:val="lrTb"/>
            <w:noWrap w:val="false"/>
          </w:tcPr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ЗАКАЗЧИК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Заместитель начальника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ru-RU" w:bidi="ar-SA"/>
              </w:rPr>
              <w:t xml:space="preserve">Подпись ЭЦП (Д.А. Васильченко)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tabs>
                <w:tab w:val="clear" w:pos="708" w:leader="none"/>
                <w:tab w:val="left" w:pos="1218" w:leader="none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pStyle w:val="786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jc w:val="right"/>
        <w:spacing w:before="0" w:after="0"/>
        <w:widowControl/>
        <w:rPr>
          <w:sz w:val="22"/>
          <w:szCs w:val="22"/>
          <w:highlight w:val="none"/>
        </w:rPr>
      </w:pPr>
      <w:r>
        <w:rPr>
          <w:sz w:val="22"/>
          <w:szCs w:val="22"/>
          <w:lang w:val="ru-RU" w:bidi="ar-SA"/>
        </w:rPr>
        <w:t xml:space="preserve">Приложение № 1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786"/>
        <w:ind w:right="-1" w:firstLine="0"/>
        <w:jc w:val="right"/>
        <w:spacing w:before="0" w:after="0"/>
        <w:widowControl/>
        <w:rPr>
          <w:sz w:val="22"/>
          <w:szCs w:val="22"/>
        </w:rPr>
      </w:pPr>
      <w:r>
        <w:rPr>
          <w:sz w:val="22"/>
          <w:szCs w:val="22"/>
          <w:lang w:val="ru-RU" w:bidi="ar-SA"/>
        </w:rPr>
        <w:t xml:space="preserve">к Договору №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6"/>
        <w:ind w:right="-1" w:firstLine="0"/>
        <w:jc w:val="right"/>
        <w:spacing w:before="0" w:after="0"/>
        <w:widowControl/>
        <w:rPr>
          <w:sz w:val="22"/>
          <w:szCs w:val="22"/>
        </w:rPr>
      </w:pPr>
      <w:r>
        <w:rPr>
          <w:sz w:val="23"/>
          <w:szCs w:val="23"/>
          <w:lang w:val="ru-RU" w:bidi="ar-SA"/>
        </w:rPr>
        <w:t xml:space="preserve">«    »                  2026 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86"/>
        <w:jc w:val="center"/>
        <w:rPr>
          <w:rFonts w:ascii="Arial" w:hAnsi="Arial" w:cs="Arial" w:asciiTheme="majorBidi" w:hAnsiTheme="majorBidi" w:cstheme="majorBidi"/>
          <w:b/>
          <w:bCs/>
          <w:caps/>
          <w:sz w:val="24"/>
          <w:szCs w:val="24"/>
          <w:highlight w:val="none"/>
        </w:rPr>
      </w:pPr>
      <w:r>
        <w:rPr>
          <w:rFonts w:ascii="Arial" w:hAnsi="Arial" w:cs="Arial" w:asciiTheme="majorBidi" w:hAnsiTheme="majorBidi" w:cstheme="majorBidi"/>
          <w:b/>
          <w:caps/>
          <w:sz w:val="24"/>
          <w:szCs w:val="24"/>
        </w:rPr>
        <w:t xml:space="preserve">                               </w:t>
      </w:r>
      <w:r>
        <w:rPr>
          <w:rFonts w:ascii="Arial" w:hAnsi="Arial" w:cs="Arial" w:asciiTheme="majorBidi" w:hAnsiTheme="majorBidi" w:cstheme="majorBidi"/>
          <w:b/>
          <w:bCs/>
          <w:caps/>
          <w:sz w:val="24"/>
          <w:szCs w:val="24"/>
          <w:highlight w:val="none"/>
        </w:rPr>
      </w:r>
      <w:r>
        <w:rPr>
          <w:rFonts w:ascii="Arial" w:hAnsi="Arial" w:cs="Arial" w:asciiTheme="majorBidi" w:hAnsiTheme="majorBidi" w:cstheme="majorBidi"/>
          <w:b/>
          <w:bCs/>
          <w:caps/>
          <w:sz w:val="24"/>
          <w:szCs w:val="24"/>
          <w:highlight w:val="none"/>
        </w:rPr>
      </w:r>
    </w:p>
    <w:p>
      <w:pPr>
        <w:pStyle w:val="786"/>
        <w:jc w:val="center"/>
        <w:rPr>
          <w:rFonts w:ascii="Tinos" w:hAnsi="Tinos"/>
        </w:rPr>
      </w:pPr>
      <w:r>
        <w:rPr>
          <w:rFonts w:ascii="Tinos" w:hAnsi="Tinos" w:cs="Arial" w:cstheme="majorBidi"/>
          <w:b/>
          <w:caps/>
          <w:sz w:val="24"/>
          <w:szCs w:val="24"/>
        </w:rPr>
        <w:t xml:space="preserve">ТЕХНИЧЕСКОЕ Задание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jc w:val="center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bCs/>
          <w:sz w:val="24"/>
          <w:szCs w:val="24"/>
        </w:rPr>
        <w:t xml:space="preserve">на оказание услуг </w:t>
      </w:r>
      <w:r>
        <w:rPr>
          <w:rFonts w:ascii="Tinos" w:hAnsi="Tinos" w:cs="Arial" w:cstheme="majorBidi"/>
          <w:bCs/>
          <w:sz w:val="24"/>
          <w:szCs w:val="24"/>
        </w:rPr>
        <w:t xml:space="preserve">по утилизации аппаратных средств (</w:t>
      </w:r>
      <w:r>
        <w:rPr>
          <w:rFonts w:ascii="Tinos" w:hAnsi="Tinos" w:cs="Arial" w:cstheme="majorBidi"/>
          <w:bCs/>
          <w:sz w:val="24"/>
          <w:szCs w:val="24"/>
        </w:rPr>
        <w:t xml:space="preserve">по вывозу и утилизации картриджей</w:t>
      </w:r>
      <w:r>
        <w:rPr>
          <w:rFonts w:ascii="Tinos" w:hAnsi="Tinos" w:cs="Arial" w:cstheme="majorBidi"/>
          <w:bCs/>
          <w:sz w:val="24"/>
          <w:szCs w:val="24"/>
        </w:rPr>
        <w:t xml:space="preserve">).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jc w:val="center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b/>
          <w:bCs/>
          <w:sz w:val="24"/>
          <w:szCs w:val="24"/>
        </w:rPr>
        <w:t xml:space="preserve"> 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tabs>
          <w:tab w:val="clear" w:pos="708" w:leader="none"/>
          <w:tab w:val="left" w:pos="851" w:leader="none"/>
        </w:tabs>
        <w:rPr>
          <w:rFonts w:ascii="Tinos" w:hAnsi="Tinos"/>
        </w:rPr>
      </w:pPr>
      <w:r>
        <w:rPr>
          <w:rFonts w:ascii="Tinos" w:hAnsi="Tinos" w:cs="Arial" w:cstheme="majorBidi"/>
          <w:b/>
          <w:bCs/>
          <w:sz w:val="24"/>
          <w:szCs w:val="24"/>
        </w:rPr>
        <w:t xml:space="preserve">1. Общие требования: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tabs>
          <w:tab w:val="left" w:pos="142" w:leader="none"/>
          <w:tab w:val="clear" w:pos="708" w:leader="none"/>
        </w:tabs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Оказание услуг </w:t>
      </w:r>
      <w:r>
        <w:rPr>
          <w:rFonts w:ascii="Tinos" w:hAnsi="Tinos" w:cs="Arial" w:cstheme="majorBidi"/>
          <w:bCs/>
          <w:sz w:val="24"/>
          <w:szCs w:val="24"/>
        </w:rPr>
        <w:t xml:space="preserve">по утилизации аппаратных средств (</w:t>
      </w:r>
      <w:r>
        <w:rPr>
          <w:rFonts w:ascii="Tinos" w:hAnsi="Tinos" w:cs="Arial" w:cstheme="majorBidi"/>
          <w:sz w:val="24"/>
          <w:szCs w:val="24"/>
        </w:rPr>
        <w:t xml:space="preserve">по вывозу и утилизации картриджей</w:t>
      </w:r>
      <w:r>
        <w:rPr>
          <w:rFonts w:ascii="Tinos" w:hAnsi="Tinos" w:cs="Arial" w:cstheme="majorBidi"/>
          <w:sz w:val="24"/>
          <w:szCs w:val="24"/>
        </w:rPr>
        <w:t xml:space="preserve">)</w:t>
      </w:r>
      <w:r>
        <w:rPr>
          <w:rFonts w:ascii="Tinos" w:hAnsi="Tinos" w:cs="Arial" w:cstheme="majorBidi"/>
          <w:sz w:val="24"/>
          <w:szCs w:val="24"/>
        </w:rPr>
        <w:t xml:space="preserve"> осуществляется в соответствии с: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numPr>
          <w:ilvl w:val="0"/>
          <w:numId w:val="2"/>
        </w:numPr>
        <w:ind w:left="0" w:firstLine="567"/>
        <w:jc w:val="both"/>
        <w:spacing w:before="0" w:after="0" w:line="276" w:lineRule="auto"/>
        <w:widowControl w:val="off"/>
        <w:tabs>
          <w:tab w:val="left" w:pos="426" w:leader="none"/>
          <w:tab w:val="clear" w:pos="708" w:leader="none"/>
          <w:tab w:val="left" w:pos="851" w:leader="none"/>
        </w:tabs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Федеральным законом от 24.06.1998 № 89-ФЗ «Об отходах производства и потребления»;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numPr>
          <w:ilvl w:val="0"/>
          <w:numId w:val="2"/>
        </w:numPr>
        <w:ind w:left="0" w:firstLine="567"/>
        <w:jc w:val="both"/>
        <w:spacing w:before="0" w:after="0" w:line="276" w:lineRule="auto"/>
        <w:widowControl w:val="off"/>
        <w:tabs>
          <w:tab w:val="left" w:pos="426" w:leader="none"/>
          <w:tab w:val="clear" w:pos="708" w:leader="none"/>
          <w:tab w:val="left" w:pos="851" w:leader="none"/>
        </w:tabs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Федеральный закон от 10.01.2002 г. № 7-ФЗ «Об охране окружающей среды»;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numPr>
          <w:ilvl w:val="0"/>
          <w:numId w:val="2"/>
        </w:numPr>
        <w:ind w:left="0" w:firstLine="567"/>
        <w:jc w:val="both"/>
        <w:spacing w:before="0" w:after="0" w:line="276" w:lineRule="auto"/>
        <w:widowControl w:val="off"/>
        <w:tabs>
          <w:tab w:val="left" w:pos="426" w:leader="none"/>
          <w:tab w:val="clear" w:pos="708" w:leader="none"/>
          <w:tab w:val="left" w:pos="851" w:leader="none"/>
        </w:tabs>
      </w:pPr>
      <w:r>
        <w:rPr>
          <w:rStyle w:val="828"/>
          <w:rFonts w:ascii="Tinos" w:hAnsi="Tinos"/>
          <w:bCs/>
          <w:sz w:val="24"/>
          <w:szCs w:val="24"/>
        </w:rPr>
        <w:t xml:space="preserve">Федерального закона от 30.03.1999 № 52–ФЗ «О санитарно-эпидемиологическом благополучии населения».</w:t>
      </w:r>
      <w:r/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  <w:u w:val="single"/>
        </w:rPr>
        <w:t xml:space="preserve">Исполнитель должен обладать</w:t>
      </w:r>
      <w:r>
        <w:rPr>
          <w:rFonts w:ascii="Tinos" w:hAnsi="Tinos" w:cs="Arial" w:cstheme="majorBidi"/>
          <w:sz w:val="24"/>
          <w:szCs w:val="24"/>
        </w:rPr>
        <w:t xml:space="preserve">: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Действующей лицензией на осуществление деятельности по сбору, транспорти</w:t>
      </w:r>
      <w:r>
        <w:rPr>
          <w:rFonts w:ascii="Tinos" w:hAnsi="Tinos" w:cs="Arial" w:cstheme="majorBidi"/>
          <w:sz w:val="24"/>
          <w:szCs w:val="24"/>
        </w:rPr>
        <w:t xml:space="preserve">рованию, обработке, утилизации, обезвреживанию, размещению отходов IV класса опасности, в приложении к лицензии в составе лицензируемого вида деятельности должно содержаться право на сбор, транспортирование, и утилизацию отходов производства и потребления: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861"/>
        <w:numPr>
          <w:ilvl w:val="0"/>
          <w:numId w:val="1"/>
        </w:numPr>
        <w:contextualSpacing w:val="0"/>
        <w:ind w:left="0" w:firstLine="567"/>
        <w:jc w:val="both"/>
        <w:spacing w:before="0" w:after="0"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 </w:t>
      </w:r>
      <w:r>
        <w:rPr>
          <w:rFonts w:ascii="Tinos" w:hAnsi="Tinos" w:cs="Arial" w:cstheme="majorBidi"/>
          <w:sz w:val="24"/>
          <w:szCs w:val="24"/>
        </w:rPr>
        <w:t xml:space="preserve">картриджи печатающих устройств с содержанием тонера менее 7% отработанные (код по ФККО 4 81 203 02 52 4).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Исполнитель должен обеспечить оказание услуг </w:t>
      </w:r>
      <w:r>
        <w:rPr>
          <w:rFonts w:ascii="Tinos" w:hAnsi="Tinos" w:cs="Arial" w:cstheme="majorBidi"/>
          <w:bCs/>
          <w:sz w:val="24"/>
          <w:szCs w:val="24"/>
        </w:rPr>
        <w:t xml:space="preserve">по утилизации аппаратных средств</w:t>
      </w:r>
      <w:r>
        <w:rPr>
          <w:rFonts w:ascii="Tinos" w:hAnsi="Tinos" w:cs="Arial" w:cstheme="majorBidi"/>
          <w:sz w:val="24"/>
          <w:szCs w:val="24"/>
        </w:rPr>
        <w:t xml:space="preserve"> </w:t>
      </w:r>
      <w:r>
        <w:rPr>
          <w:rFonts w:ascii="Tinos" w:hAnsi="Tinos" w:cs="Arial" w:cstheme="majorBidi"/>
          <w:sz w:val="24"/>
          <w:szCs w:val="24"/>
        </w:rPr>
        <w:t xml:space="preserve">(</w:t>
      </w:r>
      <w:r>
        <w:rPr>
          <w:rFonts w:ascii="Tinos" w:hAnsi="Tinos" w:cs="Arial" w:cstheme="majorBidi"/>
          <w:sz w:val="24"/>
          <w:szCs w:val="24"/>
        </w:rPr>
        <w:t xml:space="preserve">по утилизации картриджей</w:t>
      </w:r>
      <w:r>
        <w:rPr>
          <w:rFonts w:ascii="Tinos" w:hAnsi="Tinos" w:cs="Arial" w:cstheme="majorBidi"/>
          <w:sz w:val="24"/>
          <w:szCs w:val="24"/>
        </w:rPr>
        <w:t xml:space="preserve">)</w:t>
      </w:r>
      <w:r>
        <w:rPr>
          <w:rFonts w:ascii="Tinos" w:hAnsi="Tinos" w:cs="Arial" w:cstheme="majorBidi"/>
          <w:sz w:val="24"/>
          <w:szCs w:val="24"/>
        </w:rPr>
        <w:t xml:space="preserve">, утративших потребительские свойства и признанного непригодным к дальнейшей эксплуатации, которые включают в себя утил</w:t>
      </w:r>
      <w:r>
        <w:rPr>
          <w:rFonts w:ascii="Tinos" w:hAnsi="Tinos" w:cs="Arial" w:cstheme="majorBidi"/>
          <w:sz w:val="24"/>
          <w:szCs w:val="24"/>
        </w:rPr>
        <w:t xml:space="preserve">изацию, а также все сопутствующие услуги, связанные с организацией и выполнением работ по погрузке, вывозу и транспортировке до места временного хранения, демонтажу, сортировке, переработке, обезвреживанию и уничтожению принадлежащего Заказчику картриджей.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Исполнитель принимает на себя ответственность за обращение с отходами, образовавшимися в результате утилизации картриджей в соответствии с действующим законодательством Российской Федерации.</w:t>
        <w:tab/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861"/>
        <w:ind w:left="0" w:firstLine="567"/>
        <w:jc w:val="both"/>
        <w:tabs>
          <w:tab w:val="clear" w:pos="708" w:leader="none"/>
          <w:tab w:val="left" w:pos="1702" w:leader="none"/>
        </w:tabs>
        <w:rPr>
          <w:rFonts w:ascii="Tinos" w:hAnsi="Tinos" w:cs="Arial" w:cstheme="majorBidi"/>
          <w:sz w:val="24"/>
          <w:szCs w:val="24"/>
        </w:rPr>
      </w:pPr>
      <w:r>
        <w:rPr>
          <w:rFonts w:ascii="Tinos" w:hAnsi="Tinos" w:cs="Arial" w:cstheme="majorBidi"/>
          <w:sz w:val="24"/>
          <w:szCs w:val="24"/>
        </w:rPr>
      </w:r>
      <w:r>
        <w:rPr>
          <w:rFonts w:ascii="Tinos" w:hAnsi="Tinos" w:cs="Arial" w:cstheme="majorBidi"/>
          <w:sz w:val="24"/>
          <w:szCs w:val="24"/>
        </w:rPr>
      </w:r>
      <w:r>
        <w:rPr>
          <w:rFonts w:ascii="Tinos" w:hAnsi="Tinos" w:cs="Arial" w:cstheme="majorBidi"/>
          <w:sz w:val="24"/>
          <w:szCs w:val="24"/>
        </w:rPr>
      </w:r>
    </w:p>
    <w:p>
      <w:pPr>
        <w:pStyle w:val="786"/>
        <w:ind w:firstLine="567"/>
        <w:spacing w:line="276" w:lineRule="auto"/>
        <w:tabs>
          <w:tab w:val="clear" w:pos="708" w:leader="none"/>
          <w:tab w:val="left" w:pos="709" w:leader="none"/>
        </w:tabs>
        <w:rPr>
          <w:rFonts w:ascii="Tinos" w:hAnsi="Tinos"/>
        </w:rPr>
      </w:pPr>
      <w:r>
        <w:rPr>
          <w:rFonts w:ascii="Tinos" w:hAnsi="Tinos" w:cs="Arial" w:cstheme="majorBidi"/>
          <w:b/>
          <w:bCs/>
          <w:sz w:val="24"/>
          <w:szCs w:val="24"/>
        </w:rPr>
        <w:t xml:space="preserve">2. Порядок оказания услуг: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Исполнител</w:t>
      </w:r>
      <w:r>
        <w:rPr>
          <w:rFonts w:ascii="Tinos" w:hAnsi="Tinos" w:cs="Arial" w:cstheme="majorBidi"/>
          <w:sz w:val="24"/>
          <w:szCs w:val="24"/>
        </w:rPr>
        <w:t xml:space="preserve">ь производит сбор и транспортирование картриджей, предназначенных для утилизации из помещения Заказчика, расположенного по адресу: Ленинградская область, г. Кировск, ул. Краснофлотская д.28, предназначенных для утилизации, производится в соответствии с реж</w:t>
      </w:r>
      <w:r>
        <w:rPr>
          <w:rFonts w:ascii="Tinos" w:hAnsi="Tinos" w:cs="Arial" w:cstheme="majorBidi"/>
          <w:sz w:val="24"/>
          <w:szCs w:val="24"/>
        </w:rPr>
        <w:t xml:space="preserve">имом работы Заказчика (понедельник-четверг с 9:30 до 17:30, пятница с 9:30 до 16:00, перерыв на обед с 13:00 до 13:45) в согласованное с Заказчиком время. Погрузо-разгрузочные работы со складов Заказчика осуществляются силами и за счет средств Исполнителя.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Исполнитель осуществляет полный 100% цикл разборки и переработки всех картриджей во вторсырье без образования опасных отходов.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Частичное оказание услуг не допускается.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  <w:u w:val="single"/>
        </w:rPr>
        <w:t xml:space="preserve">После завершения утилизации Исполнитель предоставляет Заказчику: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tabs>
          <w:tab w:val="clear" w:pos="708" w:leader="none"/>
          <w:tab w:val="left" w:pos="1276" w:leader="none"/>
          <w:tab w:val="left" w:pos="1418" w:leader="none"/>
          <w:tab w:val="left" w:pos="1702" w:leader="none"/>
        </w:tabs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- </w:t>
      </w:r>
      <w:r>
        <w:rPr>
          <w:rFonts w:ascii="Tinos" w:hAnsi="Tinos" w:eastAsia="Lucida Sans Unicode" w:cs="Arial" w:cstheme="majorBidi"/>
          <w:sz w:val="24"/>
          <w:szCs w:val="24"/>
        </w:rPr>
        <w:t xml:space="preserve">Акт утилизации картриджей;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tabs>
          <w:tab w:val="clear" w:pos="708" w:leader="none"/>
          <w:tab w:val="left" w:pos="1276" w:leader="none"/>
          <w:tab w:val="left" w:pos="1702" w:leader="none"/>
        </w:tabs>
        <w:rPr>
          <w:rFonts w:ascii="Tinos" w:hAnsi="Tinos"/>
        </w:rPr>
      </w:pPr>
      <w:r>
        <w:rPr>
          <w:rFonts w:ascii="Tinos" w:hAnsi="Tinos" w:eastAsia="Lucida Sans Unicode" w:cs="Arial" w:cstheme="majorBidi"/>
          <w:sz w:val="24"/>
          <w:szCs w:val="24"/>
        </w:rPr>
        <w:t xml:space="preserve">- Документ о приёмке.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spacing w:line="276" w:lineRule="auto"/>
        <w:tabs>
          <w:tab w:val="clear" w:pos="708" w:leader="none"/>
          <w:tab w:val="left" w:pos="709" w:leader="none"/>
        </w:tabs>
        <w:rPr>
          <w:rFonts w:ascii="Tinos" w:hAnsi="Tinos" w:cs="Arial" w:cstheme="majorBidi"/>
          <w:b/>
          <w:bCs/>
          <w:sz w:val="24"/>
          <w:szCs w:val="24"/>
        </w:rPr>
      </w:pPr>
      <w:r>
        <w:rPr>
          <w:rFonts w:ascii="Tinos" w:hAnsi="Tinos" w:cs="Arial" w:cstheme="majorBidi"/>
          <w:b/>
          <w:bCs/>
          <w:sz w:val="24"/>
          <w:szCs w:val="24"/>
        </w:rPr>
      </w:r>
      <w:r>
        <w:rPr>
          <w:rFonts w:ascii="Tinos" w:hAnsi="Tinos" w:cs="Arial" w:cstheme="majorBidi"/>
          <w:b/>
          <w:bCs/>
          <w:sz w:val="24"/>
          <w:szCs w:val="24"/>
        </w:rPr>
      </w:r>
      <w:r>
        <w:rPr>
          <w:rFonts w:ascii="Tinos" w:hAnsi="Tinos" w:cs="Arial" w:cstheme="majorBidi"/>
          <w:b/>
          <w:bCs/>
          <w:sz w:val="24"/>
          <w:szCs w:val="24"/>
        </w:rPr>
      </w:r>
    </w:p>
    <w:p>
      <w:pPr>
        <w:pStyle w:val="786"/>
        <w:ind w:firstLine="567"/>
        <w:spacing w:line="276" w:lineRule="auto"/>
        <w:tabs>
          <w:tab w:val="clear" w:pos="708" w:leader="none"/>
          <w:tab w:val="left" w:pos="709" w:leader="none"/>
        </w:tabs>
        <w:rPr>
          <w:rFonts w:ascii="Tinos" w:hAnsi="Tinos"/>
        </w:rPr>
      </w:pPr>
      <w:r>
        <w:rPr>
          <w:rFonts w:ascii="Tinos" w:hAnsi="Tinos" w:cs="Arial" w:cstheme="majorBidi"/>
          <w:b/>
          <w:bCs/>
          <w:sz w:val="24"/>
          <w:szCs w:val="24"/>
        </w:rPr>
        <w:t xml:space="preserve">3. Требования к безопасности </w:t>
      </w:r>
      <w:r>
        <w:rPr>
          <w:rFonts w:ascii="Tinos" w:hAnsi="Tinos" w:eastAsia="Calibri" w:cs="Arial" w:cstheme="majorBidi"/>
          <w:b/>
          <w:bCs/>
          <w:sz w:val="24"/>
          <w:szCs w:val="24"/>
        </w:rPr>
        <w:t xml:space="preserve">оказываемых услуг</w:t>
      </w:r>
      <w:r>
        <w:rPr>
          <w:rFonts w:ascii="Tinos" w:hAnsi="Tinos" w:cs="Arial" w:cstheme="majorBidi"/>
          <w:b/>
          <w:bCs/>
          <w:sz w:val="24"/>
          <w:szCs w:val="24"/>
        </w:rPr>
        <w:t xml:space="preserve">: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Согл</w:t>
      </w:r>
      <w:r>
        <w:rPr>
          <w:rFonts w:ascii="Tinos" w:hAnsi="Tinos" w:cs="Arial" w:cstheme="majorBidi"/>
          <w:sz w:val="24"/>
          <w:szCs w:val="24"/>
        </w:rPr>
        <w:t xml:space="preserve">асно ч. 1 ст. 22 Федерального закона от 30.03.1999 № 52-ФЗ «О санитарно-эпидемиологическом благополучии населения» отходы потребления подлежат сбору, использованию, обезвреживанию, транспортировке, хранению и захоронению, условия и способы которых должны б</w:t>
      </w:r>
      <w:r>
        <w:rPr>
          <w:rFonts w:ascii="Tinos" w:hAnsi="Tinos" w:cs="Arial" w:cstheme="majorBidi"/>
          <w:sz w:val="24"/>
          <w:szCs w:val="24"/>
        </w:rPr>
        <w:t xml:space="preserve">ыть безопасными для здоровья населения и среды обитания и которые должны осуществляться в соответствии с санитарными правилами и иными нормативными правовыми актами Российской Федерации, установленные законодательством Российской Федерации к таким услугам.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cs="Arial" w:cstheme="majorBidi"/>
          <w:sz w:val="24"/>
          <w:szCs w:val="24"/>
        </w:rPr>
        <w:t xml:space="preserve">Оборудование, не подлежащее утилизации, должно быть размещено на санкционированных полигонах.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 w:cs="Arial" w:cstheme="majorBidi"/>
          <w:sz w:val="24"/>
          <w:szCs w:val="24"/>
        </w:rPr>
      </w:pPr>
      <w:r>
        <w:rPr>
          <w:rFonts w:ascii="Tinos" w:hAnsi="Tinos" w:cs="Arial" w:cstheme="majorBidi"/>
          <w:sz w:val="24"/>
          <w:szCs w:val="24"/>
        </w:rPr>
      </w:r>
      <w:r>
        <w:rPr>
          <w:rFonts w:ascii="Tinos" w:hAnsi="Tinos" w:cs="Arial" w:cstheme="majorBidi"/>
          <w:sz w:val="24"/>
          <w:szCs w:val="24"/>
        </w:rPr>
      </w:r>
      <w:r>
        <w:rPr>
          <w:rFonts w:ascii="Tinos" w:hAnsi="Tinos" w:cs="Arial" w:cstheme="majorBidi"/>
          <w:sz w:val="24"/>
          <w:szCs w:val="24"/>
        </w:rPr>
      </w:r>
    </w:p>
    <w:p>
      <w:pPr>
        <w:pStyle w:val="786"/>
        <w:ind w:firstLine="567"/>
        <w:jc w:val="both"/>
        <w:spacing w:line="276" w:lineRule="auto"/>
        <w:rPr>
          <w:rFonts w:ascii="Tinos" w:hAnsi="Tinos"/>
        </w:rPr>
      </w:pPr>
      <w:r>
        <w:rPr>
          <w:rFonts w:ascii="Tinos" w:hAnsi="Tinos" w:eastAsia="Calibri" w:cs="Arial" w:cstheme="majorBidi"/>
          <w:b/>
          <w:bCs/>
          <w:sz w:val="24"/>
          <w:szCs w:val="24"/>
        </w:rPr>
        <w:t xml:space="preserve">4.Объем оказываемых услуг:</w:t>
      </w:r>
      <w:r>
        <w:rPr>
          <w:rFonts w:ascii="Tinos" w:hAnsi="Tinos"/>
        </w:rPr>
      </w:r>
      <w:r>
        <w:rPr>
          <w:rFonts w:ascii="Tinos" w:hAnsi="Tinos"/>
        </w:rPr>
      </w:r>
    </w:p>
    <w:tbl>
      <w:tblPr>
        <w:tblW w:w="10450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2"/>
        <w:gridCol w:w="3827"/>
        <w:gridCol w:w="991"/>
        <w:gridCol w:w="1134"/>
        <w:gridCol w:w="1991"/>
        <w:gridCol w:w="1944"/>
      </w:tblGrid>
      <w:tr>
        <w:tblPrEx/>
        <w:trPr>
          <w:trHeight w:val="7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№ </w:t>
            </w: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п/п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 w:eastAsia="Calibri"/>
                <w:bCs/>
                <w:sz w:val="24"/>
                <w:szCs w:val="24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</w:p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Наименование услуги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contextualSpacing/>
              <w:ind w:firstLine="709"/>
              <w:jc w:val="center"/>
              <w:spacing w:before="0" w:after="0" w:line="276" w:lineRule="auto"/>
              <w:widowControl w:val="off"/>
              <w:rPr>
                <w:rFonts w:ascii="Tinos" w:hAnsi="Tinos" w:eastAsia="Calibri"/>
                <w:bCs/>
                <w:sz w:val="24"/>
                <w:szCs w:val="24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Ед. изм.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Кол-во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91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ind w:firstLine="709"/>
              <w:jc w:val="center"/>
              <w:spacing w:before="0" w:after="0" w:line="276" w:lineRule="auto"/>
              <w:widowControl w:val="off"/>
              <w:rPr>
                <w:rFonts w:ascii="Tinos" w:hAnsi="Tinos" w:eastAsia="Calibri"/>
                <w:bCs/>
                <w:sz w:val="24"/>
                <w:szCs w:val="24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</w:p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Цена за ед.</w:t>
            </w:r>
            <w:r>
              <w:rPr>
                <w:rFonts w:ascii="Tinos" w:hAnsi="Tinos"/>
                <w:bCs/>
                <w:sz w:val="24"/>
                <w:szCs w:val="24"/>
              </w:rPr>
              <w:t xml:space="preserve"> </w:t>
            </w: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изм.</w:t>
            </w:r>
            <w:r>
              <w:rPr>
                <w:rFonts w:ascii="Tinos" w:hAnsi="Tinos"/>
                <w:bCs/>
                <w:sz w:val="24"/>
                <w:szCs w:val="24"/>
              </w:rPr>
              <w:t xml:space="preserve">,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  <w:bCs/>
                <w:sz w:val="24"/>
                <w:szCs w:val="24"/>
              </w:rPr>
              <w:t xml:space="preserve">руб.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44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ind w:firstLine="709"/>
              <w:jc w:val="center"/>
              <w:spacing w:before="0" w:after="0" w:line="276" w:lineRule="auto"/>
              <w:widowControl w:val="off"/>
              <w:rPr>
                <w:rFonts w:ascii="Tinos" w:hAnsi="Tinos" w:eastAsia="Calibri"/>
                <w:bCs/>
                <w:sz w:val="24"/>
                <w:szCs w:val="24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</w:p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Стоимость</w:t>
            </w:r>
            <w:r>
              <w:rPr>
                <w:rFonts w:ascii="Tinos" w:hAnsi="Tinos"/>
                <w:bCs/>
                <w:sz w:val="24"/>
                <w:szCs w:val="24"/>
              </w:rPr>
              <w:t xml:space="preserve">, руб.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</w:tr>
      <w:tr>
        <w:tblPrEx/>
        <w:trPr>
          <w:trHeight w:val="79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1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Оказани</w:t>
            </w:r>
            <w:r>
              <w:rPr>
                <w:rFonts w:ascii="Tinos" w:hAnsi="Tinos"/>
                <w:bCs/>
                <w:sz w:val="24"/>
                <w:szCs w:val="24"/>
              </w:rPr>
              <w:t xml:space="preserve">е услуг </w:t>
            </w:r>
            <w:r>
              <w:rPr>
                <w:rFonts w:ascii="Tinos" w:hAnsi="Tinos" w:cs="Arial" w:cstheme="majorBidi"/>
                <w:bCs/>
                <w:sz w:val="24"/>
                <w:szCs w:val="24"/>
              </w:rPr>
              <w:t xml:space="preserve">по утилизации аппаратных средств (</w:t>
            </w:r>
            <w:r>
              <w:rPr>
                <w:rFonts w:ascii="Tinos" w:hAnsi="Tinos"/>
                <w:bCs/>
                <w:sz w:val="24"/>
                <w:szCs w:val="24"/>
              </w:rPr>
              <w:t xml:space="preserve">по вывозу и утилизации </w:t>
            </w:r>
            <w:r>
              <w:rPr>
                <w:rFonts w:ascii="Tinos" w:hAnsi="Tinos" w:cs="Arial" w:cstheme="majorBidi"/>
                <w:sz w:val="24"/>
                <w:szCs w:val="24"/>
              </w:rPr>
              <w:t xml:space="preserve">картриджей</w:t>
            </w:r>
            <w:r>
              <w:rPr>
                <w:rFonts w:ascii="Tinos" w:hAnsi="Tinos" w:cs="Arial" w:cstheme="majorBidi"/>
                <w:sz w:val="24"/>
                <w:szCs w:val="24"/>
              </w:rPr>
              <w:t xml:space="preserve">)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Шт.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  <w:bCs/>
                <w:sz w:val="24"/>
                <w:szCs w:val="24"/>
              </w:rPr>
              <w:t xml:space="preserve">150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4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/>
              </w:rPr>
            </w:r>
          </w:p>
        </w:tc>
      </w:tr>
      <w:tr>
        <w:tblPrEx/>
        <w:trPr>
          <w:trHeight w:val="312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5" w:type="dxa"/>
            <w:textDirection w:val="lrTb"/>
            <w:noWrap w:val="false"/>
          </w:tcPr>
          <w:p>
            <w:pPr>
              <w:pStyle w:val="786"/>
              <w:contextualSpacing/>
              <w:ind w:firstLine="0"/>
              <w:jc w:val="left"/>
              <w:spacing w:before="0" w:after="0" w:line="276" w:lineRule="auto"/>
              <w:widowControl w:val="off"/>
              <w:rPr>
                <w:rFonts w:ascii="Tinos" w:hAnsi="Tinos" w:eastAsia="Calibri"/>
                <w:sz w:val="24"/>
                <w:szCs w:val="24"/>
                <w:highlight w:val="none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  <w:t xml:space="preserve">Итого: </w:t>
            </w:r>
            <w:r>
              <w:rPr>
                <w:rFonts w:ascii="Tinos" w:hAnsi="Tinos" w:eastAsia="Calibri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0"/>
              <w:jc w:val="left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  <w:highlight w:val="none"/>
              </w:rPr>
            </w:r>
            <w:r>
              <w:rPr>
                <w:rFonts w:ascii="Tinos" w:hAnsi="Tinos" w:eastAsia="Calibri"/>
                <w:bCs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44" w:type="dxa"/>
            <w:textDirection w:val="lrTb"/>
            <w:noWrap w:val="false"/>
          </w:tcPr>
          <w:p>
            <w:pPr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contextualSpacing/>
              <w:jc w:val="center"/>
              <w:spacing w:before="0" w:after="0" w:line="276" w:lineRule="auto"/>
              <w:widowControl w:val="off"/>
              <w:rPr>
                <w:rFonts w:ascii="Tinos" w:hAnsi="Tinos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contextualSpacing/>
              <w:spacing w:before="0" w:after="0" w:line="276" w:lineRule="auto"/>
              <w:widowControl w:val="off"/>
              <w:rPr>
                <w:rFonts w:ascii="Tinos" w:hAnsi="Tinos" w:eastAsia="Calibri"/>
                <w:bCs/>
                <w:sz w:val="24"/>
                <w:szCs w:val="24"/>
              </w:rPr>
            </w:pP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  <w:r>
              <w:rPr>
                <w:rFonts w:ascii="Tinos" w:hAnsi="Tinos" w:eastAsia="Calibri"/>
                <w:bCs/>
                <w:sz w:val="24"/>
                <w:szCs w:val="24"/>
              </w:rPr>
            </w:r>
          </w:p>
        </w:tc>
      </w:tr>
    </w:tbl>
    <w:p>
      <w:pPr>
        <w:pStyle w:val="786"/>
        <w:jc w:val="center"/>
        <w:spacing w:line="276" w:lineRule="auto"/>
        <w:rPr>
          <w:rFonts w:ascii="Tinos" w:hAnsi="Tinos" w:cs="Arial" w:cstheme="majorBidi"/>
          <w:sz w:val="24"/>
          <w:szCs w:val="24"/>
        </w:rPr>
      </w:pPr>
      <w:r>
        <w:rPr>
          <w:rFonts w:ascii="Tinos" w:hAnsi="Tinos" w:cs="Arial" w:cstheme="majorBidi"/>
          <w:sz w:val="24"/>
          <w:szCs w:val="24"/>
        </w:rPr>
      </w:r>
      <w:r>
        <w:rPr>
          <w:rFonts w:ascii="Tinos" w:hAnsi="Tinos" w:cs="Arial" w:cstheme="majorBidi"/>
          <w:sz w:val="24"/>
          <w:szCs w:val="24"/>
        </w:rPr>
      </w:r>
      <w:r>
        <w:rPr>
          <w:rFonts w:ascii="Tinos" w:hAnsi="Tinos" w:cs="Arial" w:cstheme="majorBidi"/>
          <w:sz w:val="24"/>
          <w:szCs w:val="24"/>
        </w:rPr>
      </w:r>
    </w:p>
    <w:p>
      <w:pPr>
        <w:pStyle w:val="786"/>
        <w:jc w:val="center"/>
        <w:rPr>
          <w:rFonts w:ascii="Tinos" w:hAnsi="Tinos"/>
        </w:rPr>
      </w:pPr>
      <w:r>
        <w:rPr>
          <w:rFonts w:ascii="Tinos" w:hAnsi="Tinos"/>
          <w:b/>
          <w:sz w:val="24"/>
          <w:szCs w:val="24"/>
        </w:rPr>
        <w:t xml:space="preserve">ПОДПИСИ СТОРОН</w:t>
      </w:r>
      <w:r>
        <w:rPr>
          <w:rFonts w:ascii="Tinos" w:hAnsi="Tinos"/>
        </w:rPr>
      </w:r>
      <w:r>
        <w:rPr>
          <w:rFonts w:ascii="Tinos" w:hAnsi="Tinos"/>
        </w:rPr>
      </w:r>
    </w:p>
    <w:p>
      <w:pPr>
        <w:pStyle w:val="786"/>
        <w:ind w:firstLine="567"/>
        <w:jc w:val="center"/>
        <w:rPr>
          <w:rFonts w:ascii="Tinos" w:hAnsi="Tinos"/>
          <w:b/>
          <w:sz w:val="24"/>
          <w:szCs w:val="24"/>
        </w:rPr>
      </w:pPr>
      <w:r>
        <w:rPr>
          <w:rFonts w:ascii="Tinos" w:hAnsi="Tinos"/>
          <w:b/>
          <w:sz w:val="24"/>
          <w:szCs w:val="24"/>
        </w:rPr>
      </w:r>
      <w:r>
        <w:rPr>
          <w:rFonts w:ascii="Tinos" w:hAnsi="Tinos"/>
          <w:b/>
          <w:sz w:val="24"/>
          <w:szCs w:val="24"/>
        </w:rPr>
      </w:r>
      <w:r>
        <w:rPr>
          <w:rFonts w:ascii="Tinos" w:hAnsi="Tinos"/>
          <w:b/>
          <w:sz w:val="24"/>
          <w:szCs w:val="24"/>
        </w:rPr>
      </w:r>
    </w:p>
    <w:p>
      <w:pPr>
        <w:pStyle w:val="786"/>
        <w:ind w:firstLine="567"/>
        <w:jc w:val="center"/>
        <w:rPr>
          <w:rFonts w:ascii="Tinos" w:hAnsi="Tinos"/>
          <w:b/>
          <w:sz w:val="24"/>
          <w:szCs w:val="24"/>
        </w:rPr>
      </w:pPr>
      <w:r>
        <w:rPr>
          <w:rFonts w:ascii="Tinos" w:hAnsi="Tinos"/>
          <w:b/>
          <w:sz w:val="24"/>
          <w:szCs w:val="24"/>
        </w:rPr>
      </w:r>
      <w:r>
        <w:rPr>
          <w:rFonts w:ascii="Tinos" w:hAnsi="Tinos"/>
          <w:b/>
          <w:sz w:val="24"/>
          <w:szCs w:val="24"/>
        </w:rPr>
      </w:r>
      <w:r>
        <w:rPr>
          <w:rFonts w:ascii="Tinos" w:hAnsi="Tinos"/>
          <w:b/>
          <w:sz w:val="24"/>
          <w:szCs w:val="24"/>
        </w:rPr>
      </w:r>
    </w:p>
    <w:tbl>
      <w:tblPr>
        <w:tblW w:w="10137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52"/>
        <w:gridCol w:w="5084"/>
      </w:tblGrid>
      <w:tr>
        <w:tblPrEx/>
        <w:trPr/>
        <w:tc>
          <w:tcPr>
            <w:tcW w:w="5052" w:type="dxa"/>
            <w:textDirection w:val="lrTb"/>
            <w:noWrap w:val="false"/>
          </w:tcPr>
          <w:p>
            <w:pPr>
              <w:pStyle w:val="786"/>
              <w:ind w:firstLine="567"/>
              <w:jc w:val="both"/>
              <w:spacing w:before="0" w:after="0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  <w:sz w:val="24"/>
                <w:szCs w:val="24"/>
                <w:lang w:val="ru-RU" w:bidi="ar-SA"/>
              </w:rPr>
              <w:t xml:space="preserve">ИСПОЛНИТЕЛЬ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jc w:val="left"/>
              <w:spacing w:before="0" w:after="0"/>
              <w:widowControl w:val="off"/>
              <w:rPr>
                <w:rFonts w:ascii="Tinos" w:hAnsi="Tinos"/>
                <w:sz w:val="23"/>
                <w:szCs w:val="23"/>
                <w:highlight w:val="none"/>
                <w:lang w:val="ru-RU" w:bidi="ar-SA"/>
              </w:rPr>
            </w:pPr>
            <w:r>
              <w:rPr>
                <w:rFonts w:ascii="Tinos" w:hAnsi="Tinos"/>
                <w:sz w:val="23"/>
                <w:szCs w:val="23"/>
                <w:lang w:val="ru-RU" w:bidi="ar-SA"/>
              </w:rPr>
              <w:t xml:space="preserve">          </w:t>
            </w:r>
            <w:r>
              <w:rPr>
                <w:rFonts w:ascii="Tinos" w:hAnsi="Tinos"/>
                <w:sz w:val="23"/>
                <w:szCs w:val="23"/>
                <w:highlight w:val="none"/>
                <w:lang w:val="ru-RU" w:bidi="ar-SA"/>
              </w:rPr>
            </w:r>
          </w:p>
          <w:p>
            <w:pPr>
              <w:jc w:val="left"/>
              <w:spacing w:before="0" w:after="0"/>
              <w:widowControl w:val="off"/>
              <w:rPr>
                <w:rFonts w:ascii="Tinos" w:hAnsi="Tinos"/>
                <w:lang w:val="ru-RU" w:bidi="ar-SA"/>
              </w:rPr>
            </w:pPr>
            <w:r>
              <w:rPr>
                <w:rFonts w:ascii="Tinos" w:hAnsi="Tinos"/>
                <w:sz w:val="23"/>
                <w:szCs w:val="23"/>
                <w:highlight w:val="none"/>
                <w:lang w:val="ru-RU" w:bidi="ar-SA"/>
              </w:rPr>
            </w:r>
            <w:r>
              <w:rPr>
                <w:rFonts w:ascii="Tinos" w:hAnsi="Tinos"/>
                <w:sz w:val="23"/>
                <w:szCs w:val="23"/>
                <w:highlight w:val="none"/>
                <w:lang w:val="ru-RU" w:bidi="ar-SA"/>
              </w:rPr>
            </w:r>
          </w:p>
        </w:tc>
        <w:tc>
          <w:tcPr>
            <w:tcW w:w="5084" w:type="dxa"/>
            <w:textDirection w:val="lrTb"/>
            <w:noWrap w:val="false"/>
          </w:tcPr>
          <w:p>
            <w:pPr>
              <w:pStyle w:val="786"/>
              <w:ind w:firstLine="567"/>
              <w:jc w:val="both"/>
              <w:spacing w:before="0" w:after="0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  <w:sz w:val="24"/>
                <w:szCs w:val="24"/>
                <w:lang w:val="ru-RU" w:bidi="ar-SA"/>
              </w:rPr>
              <w:t xml:space="preserve">ЗАКАЗЧИК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ind w:firstLine="567"/>
              <w:jc w:val="both"/>
              <w:spacing w:before="0" w:after="0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  <w:sz w:val="24"/>
                <w:szCs w:val="24"/>
                <w:lang w:val="ru-RU" w:bidi="ar-SA"/>
              </w:rPr>
              <w:t xml:space="preserve">Заместитель начальника учреждения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  <w:p>
            <w:pPr>
              <w:pStyle w:val="786"/>
              <w:ind w:firstLine="567"/>
              <w:jc w:val="both"/>
              <w:spacing w:before="0" w:after="0"/>
              <w:widowControl w:val="off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  <w:r>
              <w:rPr>
                <w:rFonts w:ascii="Tinos" w:hAnsi="Tinos"/>
                <w:sz w:val="24"/>
                <w:szCs w:val="24"/>
              </w:rPr>
            </w:r>
            <w:r>
              <w:rPr>
                <w:rFonts w:ascii="Tinos" w:hAnsi="Tinos"/>
                <w:sz w:val="24"/>
                <w:szCs w:val="24"/>
              </w:rPr>
            </w:r>
          </w:p>
          <w:p>
            <w:pPr>
              <w:pStyle w:val="786"/>
              <w:ind w:firstLine="567"/>
              <w:jc w:val="both"/>
              <w:spacing w:before="0" w:after="0"/>
              <w:widowControl w:val="off"/>
              <w:rPr>
                <w:rFonts w:ascii="Tinos" w:hAnsi="Tinos"/>
              </w:rPr>
            </w:pPr>
            <w:r>
              <w:rPr>
                <w:rFonts w:ascii="Tinos" w:hAnsi="Tinos"/>
                <w:sz w:val="24"/>
                <w:szCs w:val="24"/>
                <w:lang w:val="ru-RU" w:bidi="ar-SA"/>
              </w:rPr>
              <w:t xml:space="preserve">Подпись ЭЦП (Д.А. Васильченко)</w:t>
            </w:r>
            <w:r>
              <w:rPr>
                <w:rFonts w:ascii="Tinos" w:hAnsi="Tinos"/>
              </w:rPr>
            </w:r>
            <w:r>
              <w:rPr>
                <w:rFonts w:ascii="Tinos" w:hAnsi="Tinos"/>
              </w:rPr>
            </w:r>
          </w:p>
        </w:tc>
      </w:tr>
    </w:tbl>
    <w:p>
      <w:pPr>
        <w:pStyle w:val="786"/>
        <w:ind w:firstLine="567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  <w:r>
        <w:rPr>
          <w:rFonts w:ascii="Tinos" w:hAnsi="Tinos"/>
          <w:sz w:val="24"/>
          <w:szCs w:val="24"/>
        </w:rPr>
      </w:r>
      <w:r>
        <w:rPr>
          <w:rFonts w:ascii="Tinos" w:hAnsi="Tinos"/>
          <w:sz w:val="24"/>
          <w:szCs w:val="24"/>
        </w:rPr>
      </w:r>
    </w:p>
    <w:p>
      <w:pPr>
        <w:pStyle w:val="786"/>
        <w:ind w:firstLine="567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  <w:r>
        <w:rPr>
          <w:rFonts w:ascii="Tinos" w:hAnsi="Tinos"/>
          <w:sz w:val="24"/>
          <w:szCs w:val="24"/>
        </w:rPr>
      </w:r>
      <w:r>
        <w:rPr>
          <w:rFonts w:ascii="Tinos" w:hAnsi="Tinos"/>
          <w:sz w:val="24"/>
          <w:szCs w:val="24"/>
        </w:rPr>
      </w:r>
    </w:p>
    <w:p>
      <w:pPr>
        <w:pStyle w:val="786"/>
        <w:spacing w:before="0" w:after="200" w:line="276" w:lineRule="auto"/>
        <w:rPr>
          <w:rFonts w:ascii="Tinos" w:hAnsi="Tinos"/>
        </w:rPr>
      </w:pPr>
      <w:r>
        <w:rPr>
          <w:rFonts w:ascii="Tinos" w:hAnsi="Tinos"/>
        </w:rPr>
      </w:r>
      <w:r>
        <w:rPr>
          <w:rFonts w:ascii="Tinos" w:hAnsi="Tinos"/>
        </w:rPr>
      </w:r>
      <w:r>
        <w:rPr>
          <w:rFonts w:ascii="Tinos" w:hAnsi="Tinos"/>
        </w:rPr>
      </w:r>
    </w:p>
    <w:sectPr>
      <w:footnotePr/>
      <w:endnotePr/>
      <w:type w:val="nextPage"/>
      <w:pgSz w:w="11906" w:h="16838" w:orient="portrait"/>
      <w:pgMar w:top="851" w:right="567" w:bottom="851" w:left="1418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502040504020204"/>
  </w:font>
  <w:font w:name="Tinos">
    <w:panose1 w:val="02020603050405020304"/>
  </w:font>
  <w:font w:name="Courier New">
    <w:panose1 w:val="02070409020205020404"/>
  </w:font>
  <w:font w:name="Symbol">
    <w:panose1 w:val="05010000000000000000"/>
  </w:font>
  <w:font w:name="Calibri">
    <w:panose1 w:val="020F0502020204030204"/>
  </w:font>
  <w:font w:name="Wingdings">
    <w:panose1 w:val="05010000000000000000"/>
  </w:font>
  <w:font w:name="Liberation Sans">
    <w:panose1 w:val="020B0604020202020204"/>
  </w:font>
  <w:font w:name="Tahoma">
    <w:panose1 w:val="020B0604030504040204"/>
  </w:font>
  <w:font w:name="Noto Sans Devanagari">
    <w:panose1 w:val="020B0502040504020204"/>
  </w:font>
  <w:font w:name="Cambria">
    <w:panose1 w:val="02040503050406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637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2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69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69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69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69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69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0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0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0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0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0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0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2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2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2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2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2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5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5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5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5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5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5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6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6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6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6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6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6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8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8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86" w:default="1">
    <w:name w:val="Normal"/>
    <w:qFormat/>
    <w:pPr>
      <w:jc w:val="left"/>
      <w:spacing w:before="0" w:beforeAutospacing="0" w:after="0" w:afterAutospacing="0" w:line="240" w:lineRule="auto"/>
      <w:widowControl/>
    </w:pPr>
    <w:rPr>
      <w:rFonts w:ascii="Times New Roman" w:hAnsi="Times New Roman" w:eastAsia="Times New Roman" w:cs="Times New Roman"/>
      <w:color w:val="auto"/>
      <w:sz w:val="20"/>
      <w:szCs w:val="20"/>
      <w:lang w:val="ru-RU" w:eastAsia="ru-RU" w:bidi="ar-SA"/>
    </w:rPr>
  </w:style>
  <w:style w:type="paragraph" w:styleId="787">
    <w:name w:val="Heading 1"/>
    <w:basedOn w:val="786"/>
    <w:qFormat/>
    <w:pPr>
      <w:jc w:val="center"/>
      <w:keepNext/>
      <w:outlineLvl w:val="0"/>
    </w:pPr>
    <w:rPr>
      <w:b/>
      <w:sz w:val="24"/>
    </w:rPr>
  </w:style>
  <w:style w:type="paragraph" w:styleId="788">
    <w:name w:val="Heading 2"/>
    <w:basedOn w:val="786"/>
    <w:uiPriority w:val="9"/>
    <w:unhideWhenUsed/>
    <w:qFormat/>
    <w:pPr>
      <w:keepLines/>
      <w:keepNext/>
      <w:spacing w:before="200" w:after="0"/>
      <w:outlineLvl w:val="1"/>
    </w:pPr>
    <w:rPr>
      <w:rFonts w:ascii="Cambria" w:hAnsi="Cambria" w:eastAsia="Arial" w:cs="Arial"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89">
    <w:name w:val="Heading 3"/>
    <w:basedOn w:val="7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90">
    <w:name w:val="Heading 4"/>
    <w:basedOn w:val="78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1">
    <w:name w:val="Heading 5"/>
    <w:basedOn w:val="7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2">
    <w:name w:val="Heading 6"/>
    <w:basedOn w:val="7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93">
    <w:name w:val="Heading 7"/>
    <w:basedOn w:val="7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4">
    <w:name w:val="Heading 8"/>
    <w:basedOn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5">
    <w:name w:val="Heading 9"/>
    <w:basedOn w:val="7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6">
    <w:name w:val="Heading 1 Char"/>
    <w:basedOn w:val="818"/>
    <w:uiPriority w:val="9"/>
    <w:qFormat/>
    <w:rPr>
      <w:rFonts w:ascii="Arial" w:hAnsi="Arial" w:eastAsia="Arial" w:cs="Arial"/>
      <w:sz w:val="40"/>
      <w:szCs w:val="40"/>
    </w:rPr>
  </w:style>
  <w:style w:type="character" w:styleId="797">
    <w:name w:val="Heading 2 Char"/>
    <w:basedOn w:val="818"/>
    <w:uiPriority w:val="9"/>
    <w:qFormat/>
    <w:rPr>
      <w:rFonts w:ascii="Arial" w:hAnsi="Arial" w:eastAsia="Arial" w:cs="Arial"/>
      <w:sz w:val="34"/>
    </w:rPr>
  </w:style>
  <w:style w:type="character" w:styleId="798">
    <w:name w:val="Heading 3 Char"/>
    <w:basedOn w:val="818"/>
    <w:uiPriority w:val="9"/>
    <w:qFormat/>
    <w:rPr>
      <w:rFonts w:ascii="Arial" w:hAnsi="Arial" w:eastAsia="Arial" w:cs="Arial"/>
      <w:sz w:val="30"/>
      <w:szCs w:val="30"/>
    </w:rPr>
  </w:style>
  <w:style w:type="character" w:styleId="799">
    <w:name w:val="Heading 4 Char"/>
    <w:basedOn w:val="818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800">
    <w:name w:val="Heading 5 Char"/>
    <w:basedOn w:val="818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801">
    <w:name w:val="Heading 6 Char"/>
    <w:basedOn w:val="81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802">
    <w:name w:val="Heading 7 Char"/>
    <w:basedOn w:val="818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03">
    <w:name w:val="Heading 8 Char"/>
    <w:basedOn w:val="81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804">
    <w:name w:val="Heading 9 Char"/>
    <w:basedOn w:val="818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805">
    <w:name w:val="Title Char"/>
    <w:basedOn w:val="818"/>
    <w:uiPriority w:val="10"/>
    <w:qFormat/>
    <w:rPr>
      <w:sz w:val="48"/>
      <w:szCs w:val="48"/>
    </w:rPr>
  </w:style>
  <w:style w:type="character" w:styleId="806">
    <w:name w:val="Subtitle Char"/>
    <w:basedOn w:val="818"/>
    <w:uiPriority w:val="11"/>
    <w:qFormat/>
    <w:rPr>
      <w:sz w:val="24"/>
      <w:szCs w:val="24"/>
    </w:rPr>
  </w:style>
  <w:style w:type="character" w:styleId="807">
    <w:name w:val="Quote Char"/>
    <w:uiPriority w:val="29"/>
    <w:qFormat/>
    <w:rPr>
      <w:i/>
    </w:rPr>
  </w:style>
  <w:style w:type="character" w:styleId="808">
    <w:name w:val="Intense Quote Char"/>
    <w:uiPriority w:val="30"/>
    <w:qFormat/>
    <w:rPr>
      <w:i/>
    </w:rPr>
  </w:style>
  <w:style w:type="character" w:styleId="809">
    <w:name w:val="Header Char"/>
    <w:basedOn w:val="818"/>
    <w:uiPriority w:val="99"/>
    <w:qFormat/>
  </w:style>
  <w:style w:type="character" w:styleId="810">
    <w:name w:val="Footer Char"/>
    <w:basedOn w:val="818"/>
    <w:uiPriority w:val="99"/>
    <w:qFormat/>
  </w:style>
  <w:style w:type="character" w:styleId="811">
    <w:name w:val="Caption Char"/>
    <w:uiPriority w:val="99"/>
    <w:qFormat/>
  </w:style>
  <w:style w:type="character" w:styleId="812">
    <w:name w:val="Footnote Text Char"/>
    <w:uiPriority w:val="99"/>
    <w:qFormat/>
    <w:rPr>
      <w:sz w:val="18"/>
    </w:rPr>
  </w:style>
  <w:style w:type="character" w:styleId="813">
    <w:name w:val="Символ сноски"/>
    <w:uiPriority w:val="99"/>
    <w:unhideWhenUsed/>
    <w:qFormat/>
    <w:rPr>
      <w:vertAlign w:val="superscript"/>
    </w:rPr>
  </w:style>
  <w:style w:type="character" w:styleId="814">
    <w:name w:val="footnote reference"/>
    <w:rPr>
      <w:vertAlign w:val="superscript"/>
    </w:rPr>
  </w:style>
  <w:style w:type="character" w:styleId="815">
    <w:name w:val="Endnote Text Char"/>
    <w:uiPriority w:val="99"/>
    <w:qFormat/>
    <w:rPr>
      <w:sz w:val="20"/>
    </w:rPr>
  </w:style>
  <w:style w:type="character" w:styleId="81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817">
    <w:name w:val="endnote reference"/>
    <w:rPr>
      <w:vertAlign w:val="superscript"/>
    </w:rPr>
  </w:style>
  <w:style w:type="character" w:styleId="818" w:default="1">
    <w:name w:val="Default Paragraph Font"/>
    <w:uiPriority w:val="1"/>
    <w:unhideWhenUsed/>
    <w:qFormat/>
  </w:style>
  <w:style w:type="character" w:styleId="819" w:customStyle="1">
    <w:name w:val="Заголовок 1 Знак"/>
    <w:basedOn w:val="818"/>
    <w:qFormat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820" w:customStyle="1">
    <w:name w:val="Основной текст Знак"/>
    <w:basedOn w:val="818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21" w:customStyle="1">
    <w:name w:val="Основной текст с отступом 2 Знак"/>
    <w:basedOn w:val="818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22">
    <w:name w:val="annotation reference"/>
    <w:basedOn w:val="818"/>
    <w:semiHidden/>
    <w:qFormat/>
    <w:rPr>
      <w:sz w:val="16"/>
      <w:szCs w:val="16"/>
    </w:rPr>
  </w:style>
  <w:style w:type="character" w:styleId="823" w:customStyle="1">
    <w:name w:val="Текст примечания Знак"/>
    <w:basedOn w:val="818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24" w:customStyle="1">
    <w:name w:val="Текст выноски Знак"/>
    <w:basedOn w:val="818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825" w:customStyle="1">
    <w:name w:val="Заголовок 2 Знак"/>
    <w:basedOn w:val="818"/>
    <w:uiPriority w:val="9"/>
    <w:qFormat/>
    <w:rPr>
      <w:rFonts w:ascii="Cambria" w:hAnsi="Cambria" w:eastAsia="Arial" w:cs="Arial"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826">
    <w:name w:val="Hyperlink"/>
    <w:basedOn w:val="818"/>
    <w:uiPriority w:val="99"/>
    <w:unhideWhenUsed/>
    <w:rPr>
      <w:color w:val="0000ff" w:themeColor="hyperlink"/>
      <w:u w:val="single"/>
    </w:rPr>
  </w:style>
  <w:style w:type="character" w:styleId="827" w:customStyle="1">
    <w:name w:val="Абзац списка Знак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28" w:customStyle="1">
    <w:name w:val="Font Style16"/>
    <w:qFormat/>
    <w:rPr>
      <w:rFonts w:ascii="Times New Roman" w:hAnsi="Times New Roman" w:cs="Times New Roman"/>
      <w:sz w:val="22"/>
      <w:szCs w:val="22"/>
    </w:rPr>
  </w:style>
  <w:style w:type="character" w:styleId="829" w:customStyle="1">
    <w:name w:val="Колонтитул + Полужирный"/>
    <w:uiPriority w:val="99"/>
    <w:qFormat/>
    <w:rPr>
      <w:rFonts w:ascii="Times New Roman" w:hAnsi="Times New Roman"/>
      <w:b/>
      <w:sz w:val="23"/>
      <w:u w:val="none"/>
    </w:rPr>
  </w:style>
  <w:style w:type="paragraph" w:styleId="830">
    <w:name w:val="Заголовок"/>
    <w:basedOn w:val="786"/>
    <w:next w:val="831"/>
    <w:qFormat/>
    <w:pPr>
      <w:keepNext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831">
    <w:name w:val="Body Text"/>
    <w:basedOn w:val="786"/>
    <w:pPr>
      <w:jc w:val="both"/>
    </w:pPr>
  </w:style>
  <w:style w:type="paragraph" w:styleId="832">
    <w:name w:val="List"/>
    <w:basedOn w:val="831"/>
    <w:rPr>
      <w:rFonts w:cs="Noto Sans Devanagari"/>
    </w:rPr>
  </w:style>
  <w:style w:type="paragraph" w:styleId="833">
    <w:name w:val="Caption"/>
    <w:basedOn w:val="7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834">
    <w:name w:val="Указатель"/>
    <w:basedOn w:val="786"/>
    <w:qFormat/>
    <w:pPr>
      <w:suppressLineNumbers/>
    </w:pPr>
    <w:rPr>
      <w:rFonts w:cs="Noto Sans Devanagari"/>
    </w:rPr>
  </w:style>
  <w:style w:type="paragraph" w:styleId="835">
    <w:name w:val="Title"/>
    <w:basedOn w:val="786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836">
    <w:name w:val="Subtitle"/>
    <w:basedOn w:val="786"/>
    <w:uiPriority w:val="11"/>
    <w:qFormat/>
    <w:pPr>
      <w:spacing w:before="200" w:after="200"/>
    </w:pPr>
    <w:rPr>
      <w:sz w:val="24"/>
      <w:szCs w:val="24"/>
    </w:rPr>
  </w:style>
  <w:style w:type="paragraph" w:styleId="837">
    <w:name w:val="Quote"/>
    <w:basedOn w:val="786"/>
    <w:uiPriority w:val="29"/>
    <w:qFormat/>
    <w:pPr>
      <w:ind w:left="720" w:right="720" w:firstLine="0"/>
    </w:pPr>
    <w:rPr>
      <w:i/>
    </w:rPr>
  </w:style>
  <w:style w:type="paragraph" w:styleId="838">
    <w:name w:val="Intense Quote"/>
    <w:basedOn w:val="786"/>
    <w:uiPriority w:val="30"/>
    <w:qFormat/>
    <w:pPr>
      <w:ind w:left="720" w:right="720" w:firstLine="0"/>
      <w:spacing w:before="0" w:after="20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839">
    <w:name w:val="Колонтитул"/>
    <w:basedOn w:val="786"/>
    <w:qFormat/>
  </w:style>
  <w:style w:type="paragraph" w:styleId="840">
    <w:name w:val="Header"/>
    <w:basedOn w:val="786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41">
    <w:name w:val="Footer"/>
    <w:basedOn w:val="786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42">
    <w:name w:val="footnote text"/>
    <w:basedOn w:val="786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843">
    <w:name w:val="endnote text"/>
    <w:basedOn w:val="786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844">
    <w:name w:val="toc 1"/>
    <w:basedOn w:val="786"/>
    <w:uiPriority w:val="39"/>
    <w:unhideWhenUsed/>
    <w:pPr>
      <w:ind w:left="0" w:right="0" w:firstLine="0"/>
      <w:spacing w:before="0" w:after="57"/>
    </w:pPr>
  </w:style>
  <w:style w:type="paragraph" w:styleId="845">
    <w:name w:val="toc 2"/>
    <w:basedOn w:val="786"/>
    <w:uiPriority w:val="39"/>
    <w:unhideWhenUsed/>
    <w:pPr>
      <w:ind w:left="283" w:right="0" w:firstLine="0"/>
      <w:spacing w:before="0" w:after="57"/>
    </w:pPr>
  </w:style>
  <w:style w:type="paragraph" w:styleId="846">
    <w:name w:val="toc 3"/>
    <w:basedOn w:val="786"/>
    <w:uiPriority w:val="39"/>
    <w:unhideWhenUsed/>
    <w:pPr>
      <w:ind w:left="567" w:right="0" w:firstLine="0"/>
      <w:spacing w:before="0" w:after="57"/>
    </w:pPr>
  </w:style>
  <w:style w:type="paragraph" w:styleId="847">
    <w:name w:val="toc 4"/>
    <w:basedOn w:val="786"/>
    <w:uiPriority w:val="39"/>
    <w:unhideWhenUsed/>
    <w:pPr>
      <w:ind w:left="850" w:right="0" w:firstLine="0"/>
      <w:spacing w:before="0" w:after="57"/>
    </w:pPr>
  </w:style>
  <w:style w:type="paragraph" w:styleId="848">
    <w:name w:val="toc 5"/>
    <w:basedOn w:val="786"/>
    <w:uiPriority w:val="39"/>
    <w:unhideWhenUsed/>
    <w:pPr>
      <w:ind w:left="1134" w:right="0" w:firstLine="0"/>
      <w:spacing w:before="0" w:after="57"/>
    </w:pPr>
  </w:style>
  <w:style w:type="paragraph" w:styleId="849">
    <w:name w:val="toc 6"/>
    <w:basedOn w:val="786"/>
    <w:uiPriority w:val="39"/>
    <w:unhideWhenUsed/>
    <w:pPr>
      <w:ind w:left="1417" w:right="0" w:firstLine="0"/>
      <w:spacing w:before="0" w:after="57"/>
    </w:pPr>
  </w:style>
  <w:style w:type="paragraph" w:styleId="850">
    <w:name w:val="toc 7"/>
    <w:basedOn w:val="786"/>
    <w:uiPriority w:val="39"/>
    <w:unhideWhenUsed/>
    <w:pPr>
      <w:ind w:left="1701" w:right="0" w:firstLine="0"/>
      <w:spacing w:before="0" w:after="57"/>
    </w:pPr>
  </w:style>
  <w:style w:type="paragraph" w:styleId="851">
    <w:name w:val="toc 8"/>
    <w:basedOn w:val="786"/>
    <w:uiPriority w:val="39"/>
    <w:unhideWhenUsed/>
    <w:pPr>
      <w:ind w:left="1984" w:right="0" w:firstLine="0"/>
      <w:spacing w:before="0" w:after="57"/>
    </w:pPr>
  </w:style>
  <w:style w:type="paragraph" w:styleId="852">
    <w:name w:val="toc 9"/>
    <w:basedOn w:val="786"/>
    <w:uiPriority w:val="39"/>
    <w:unhideWhenUsed/>
    <w:pPr>
      <w:ind w:left="2268" w:right="0" w:firstLine="0"/>
      <w:spacing w:before="0" w:after="57"/>
    </w:pPr>
  </w:style>
  <w:style w:type="paragraph" w:styleId="853">
    <w:name w:val="Index Heading"/>
    <w:basedOn w:val="830"/>
  </w:style>
  <w:style w:type="paragraph" w:styleId="854">
    <w:name w:val="TOC Heading"/>
    <w:uiPriority w:val="39"/>
    <w:unhideWhenUsed/>
    <w:qFormat/>
    <w:pPr>
      <w:jc w:val="left"/>
      <w:spacing w:before="0" w:beforeAutospacing="0" w:after="200" w:afterAutospacing="0" w:line="276" w:lineRule="auto"/>
      <w:widowControl/>
    </w:pPr>
    <w:rPr>
      <w:rFonts w:ascii="Calibri" w:hAnsi="Calibri" w:eastAsia="Calibri" w:cs="Arial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paragraph" w:styleId="855">
    <w:name w:val="table of figures"/>
    <w:basedOn w:val="786"/>
    <w:uiPriority w:val="99"/>
    <w:unhideWhenUsed/>
    <w:qFormat/>
    <w:pPr>
      <w:spacing w:before="0" w:after="0" w:afterAutospacing="0"/>
    </w:pPr>
  </w:style>
  <w:style w:type="paragraph" w:styleId="856">
    <w:name w:val="List Continue 2"/>
    <w:basedOn w:val="786"/>
    <w:qFormat/>
    <w:pPr>
      <w:ind w:left="566" w:firstLine="0"/>
      <w:spacing w:before="0" w:after="120"/>
    </w:pPr>
  </w:style>
  <w:style w:type="paragraph" w:styleId="857">
    <w:name w:val="Body Text Indent 2"/>
    <w:basedOn w:val="786"/>
    <w:qFormat/>
    <w:pPr>
      <w:ind w:left="142" w:firstLine="567"/>
      <w:jc w:val="both"/>
    </w:pPr>
  </w:style>
  <w:style w:type="paragraph" w:styleId="858">
    <w:name w:val="annotation text"/>
    <w:basedOn w:val="786"/>
    <w:semiHidden/>
    <w:qFormat/>
  </w:style>
  <w:style w:type="paragraph" w:styleId="859">
    <w:name w:val="Balloon Text"/>
    <w:basedOn w:val="786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60">
    <w:name w:val="No Spacing"/>
    <w:uiPriority w:val="1"/>
    <w:qFormat/>
    <w:pPr>
      <w:jc w:val="left"/>
      <w:spacing w:before="0" w:beforeAutospacing="0" w:after="0" w:afterAutospacing="0" w:line="240" w:lineRule="auto"/>
      <w:widowControl/>
    </w:pPr>
    <w:rPr>
      <w:rFonts w:ascii="Calibri" w:hAnsi="Calibri" w:eastAsia="Calibri" w:cs="Arial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paragraph" w:styleId="861">
    <w:name w:val="List Paragraph"/>
    <w:basedOn w:val="786"/>
    <w:qFormat/>
    <w:pPr>
      <w:contextualSpacing/>
      <w:ind w:left="720" w:firstLine="0"/>
      <w:spacing w:before="0" w:after="0"/>
    </w:pPr>
  </w:style>
  <w:style w:type="paragraph" w:styleId="862">
    <w:name w:val="Содержимое таблицы"/>
    <w:basedOn w:val="786"/>
    <w:qFormat/>
    <w:pPr>
      <w:widowControl w:val="off"/>
      <w:suppressLineNumbers/>
    </w:pPr>
  </w:style>
  <w:style w:type="paragraph" w:styleId="863">
    <w:name w:val="Заголовок таблицы"/>
    <w:basedOn w:val="862"/>
    <w:qFormat/>
    <w:pPr>
      <w:jc w:val="center"/>
      <w:suppressLineNumbers/>
    </w:pPr>
    <w:rPr>
      <w:b/>
      <w:bCs/>
    </w:rPr>
  </w:style>
  <w:style w:type="numbering" w:styleId="864" w:default="1">
    <w:name w:val="No List"/>
    <w:uiPriority w:val="99"/>
    <w:semiHidden/>
    <w:unhideWhenUsed/>
    <w:qFormat/>
  </w:style>
  <w:style w:type="numbering" w:styleId="865" w:customStyle="1">
    <w:name w:val="numList_2"/>
    <w:qFormat/>
  </w:style>
  <w:style w:type="numbering" w:styleId="866" w:customStyle="1">
    <w:name w:val="numList_1"/>
    <w:qFormat/>
  </w:style>
  <w:style w:type="table" w:styleId="8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69E99-05B6-4456-AF1F-E6945E94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dc:language>ru-RU</dc:language>
  <cp:revision>16</cp:revision>
  <dcterms:created xsi:type="dcterms:W3CDTF">2025-03-13T08:58:00Z</dcterms:created>
  <dcterms:modified xsi:type="dcterms:W3CDTF">2026-09-07T12:10:39Z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