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403" w:rsidRPr="00500BC9" w:rsidRDefault="00500BC9">
      <w:pPr>
        <w:keepNext/>
        <w:keepLines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КОНТРАКТ № _____</w:t>
      </w:r>
    </w:p>
    <w:p w:rsidR="00635403" w:rsidRPr="00500BC9" w:rsidRDefault="00500BC9">
      <w:pPr>
        <w:keepNext/>
        <w:keepLines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на оказание услуг по оценке технического состояния основных средств</w:t>
      </w:r>
    </w:p>
    <w:p w:rsidR="00635403" w:rsidRPr="00500BC9" w:rsidRDefault="00500BC9">
      <w:pPr>
        <w:keepNext/>
        <w:keepLines/>
        <w:spacing w:after="180"/>
        <w:jc w:val="center"/>
        <w:rPr>
          <w:sz w:val="24"/>
          <w:szCs w:val="24"/>
        </w:rPr>
      </w:pPr>
      <w:r w:rsidRPr="00500BC9">
        <w:rPr>
          <w:color w:val="000000"/>
          <w:sz w:val="24"/>
          <w:szCs w:val="24"/>
        </w:rPr>
        <w:t>Идентификационный код закупки: ______________________________</w:t>
      </w:r>
    </w:p>
    <w:tbl>
      <w:tblPr>
        <w:tblW w:w="992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961"/>
        <w:gridCol w:w="4961"/>
      </w:tblGrid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г. Санкт-Петербург</w:t>
            </w: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right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«___» __________ 2026 года</w:t>
            </w:r>
          </w:p>
        </w:tc>
      </w:tr>
    </w:tbl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Ленинградское областное государственное казённое учреждение «Управление по охотничьему хозяйству Ленинградской области» (сокращенное наименование – ЛОГКУ «Леноблохота»), именуемое в дальнейшем «Заказчик», в лице ______________________________ ______________________________, действующего на основании ______________________________, с одной стороны, и ______________________________ (сокращенное наименование – ______________________________), именуемый в дальнейшем «Исполнитель», в лице ______________________________ ______________________________, действующего на основании ______________________________, с другой стороны, совместно именуемые «Стороны», а по отдельности – «Сторона», на основании пункта 4 части 1 статьи 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заключили настоящий контракт (далее – Контракт) о нижеследующем.</w:t>
      </w:r>
    </w:p>
    <w:p w:rsidR="00635403" w:rsidRPr="00500BC9" w:rsidRDefault="00500BC9">
      <w:pPr>
        <w:keepNext/>
        <w:keepLines/>
        <w:spacing w:before="140" w:after="80"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1. Предмет Контракта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1.1. Исполнитель обязуется оказать Заказчику услуги по оценке технического состояния объектов основных средств в целях определения возможности их дальнейшей эксплуатации, целесообразности ремонта и наличия оснований для списания (далее – Услуги), а Заказчик обязуется принять и оплатить надлежащим образом оказанные Услуги.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1.2. Перечень объектов основных средств, подлежащих оценке (далее – Объекты оценки), требования к содержанию и форме результата Услуг установлены в Задании на оценку (Приложение № 1 к Контракту). Наименование, количество и стоимость Услуг указываются в Спецификации (Приложение № 2 к Контракту). Приложения № 1 и № 2 являются неотъемлемыми частями Контракта.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1.3. Результатом оказания Услуг являются отдельные письменные заключения о техническом состоянии по каждому Объекту оценки (далее – Заключения), оформленные в соответствии с требованиями Контракта и Задания на оценку.</w:t>
      </w:r>
    </w:p>
    <w:p w:rsidR="00635403" w:rsidRPr="00500BC9" w:rsidRDefault="00500BC9">
      <w:pPr>
        <w:keepNext/>
        <w:keepLines/>
        <w:spacing w:before="140" w:after="80"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2. Цена Контракта и порядок расчетов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2.1. Цена Контракта составляет ____________ (__________________________________) рублей ___ копеек, в том числе НДС ___% в размере ____________ рублей ___ копеек / НДС не облагается.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2.2. Цена Контракта является твердой и определяется на весь срок его исполнения. Цена включает все затраты Исполнителя, связанные с исполнением Контракта, в том числе расходы на выезд и осмотр Объектов оценки, диагностику, привлечение необходимых специалистов, фотофиксацию, подготовку и передачу Заключений на бумажном носителе и в электронной форме, устранение замечаний, а также налоги, сборы и иные обязательные платежи.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2.3. Источник финансирования: средства областного бюджета Ленинградской области на 2026 год.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2.4.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такие платежи подлежат уплате Заказчиком.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2.5. Авансовые платежи по Контракту не предусмотрены.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2.6. Оплата производится по факту оказания Услуг путем безналичного перечисления денежных средств в течение 10 (десяти) рабочих дней с даты подписания Заказчиком документа о приемке на основании счета, представленного Исполнителем.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2.7. Датой оплаты считается дата списания денежных средств с лицевого счета Заказчика.</w:t>
      </w:r>
    </w:p>
    <w:p w:rsidR="00635403" w:rsidRPr="00500BC9" w:rsidRDefault="00500BC9">
      <w:pPr>
        <w:keepNext/>
        <w:keepLines/>
        <w:spacing w:before="140" w:after="80"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lastRenderedPageBreak/>
        <w:t>3. Права и обязанности Сторон</w:t>
      </w:r>
    </w:p>
    <w:p w:rsidR="00635403" w:rsidRPr="00500BC9" w:rsidRDefault="00500BC9">
      <w:pPr>
        <w:keepNext/>
        <w:keepLines/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3.1. Заказчик вправе: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3.1.1. Контролировать ход и качество оказания Услуг, не вмешиваясь в деятельность Исполнителя;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3.1.2. Требовать устранения выявленных недостатков и замечаний без дополнительной оплаты;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3.1.3. Проводить экспертизу результатов оказания Услуг своими силами либо с привлечением экспертов, экспертных организаций;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3.1.4. По согласованию с Исполнителем принять Услуги досрочно.</w:t>
      </w:r>
    </w:p>
    <w:p w:rsidR="00635403" w:rsidRPr="00500BC9" w:rsidRDefault="00500BC9">
      <w:pPr>
        <w:keepNext/>
        <w:keepLines/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3.2. Заказчик обязан: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3.2.1. Предоставить Исполнителю имеющиеся документы и сведения, необходимые для оказания Услуг;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3.2.2. Обеспечить Исполнителю согласованный доступ к Объектам оценки для их осмотра;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3.2.3. Принять и оплатить надлежащим образом оказанные Услуги в порядке и сроки, предусмотренные Контрактом;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3.2.4. Своевременно сообщать Исполнителю о выявленных недостатках и замечаниях к результатам Услуг.</w:t>
      </w:r>
    </w:p>
    <w:p w:rsidR="00635403" w:rsidRPr="00500BC9" w:rsidRDefault="00500BC9">
      <w:pPr>
        <w:keepNext/>
        <w:keepLines/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3.3. Исполнитель вправе: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3.3.1. Запрашивать у Заказчика документы, сведения, разъяснения и доступ к Объектам оценки, необходимые для оказания Услуг;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3.3.2. По письменному согласованию с Заказчиком оказать Услуги досрочно.</w:t>
      </w:r>
    </w:p>
    <w:p w:rsidR="00635403" w:rsidRPr="00500BC9" w:rsidRDefault="00500BC9">
      <w:pPr>
        <w:keepNext/>
        <w:keepLines/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3.4. Исполнитель обязан: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3.4.1. Оказать Услуги лично либо с привлечением необходимых специалистов, оставаясь ответственным перед Заказчиком за их действия и результат Услуг;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3.4.2. При необходимости за свой счет привлечь экспертов или организации, специализирующиеся на диагностике и ремонте соответствующего оборудования;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3.4.3. Провести осмотр каждого Объекта оценки и обеспечить сохранность имущества Заказчика, не допуская его повреждения;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3.4.4. Своевременно предоставлять Заказчику достоверную информацию о ходе исполнения обязательств, в том числе о возникших сложностях;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3.4.5. Подготовить отдельное Заключение по каждому Объекту оценки с дефектной ведомостью и фотофиксацией;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3.4.6. Передать Заказчику каждое Заключение в 1 (одном) экземпляре на бумажном носителе, а также в электронной форме;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3.4.7. Без взимания дополнительной платы устранить замечания по Заключениям, выявленные Заказчиком или отраслевым комитетом Заказчика в ходе их согласования, в срок, указанный Заказчиком.</w:t>
      </w:r>
    </w:p>
    <w:p w:rsidR="00635403" w:rsidRPr="00500BC9" w:rsidRDefault="00500BC9">
      <w:pPr>
        <w:keepNext/>
        <w:keepLines/>
        <w:spacing w:before="140" w:after="80"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4. Требования, место и срок оказания Услуг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4.1. Услуги оказываются в соответствии с условиями Контракта, Заданием на оценку, постановлением Правительства Ленинградской области от 2 мая 2006 года № 132 «О порядке дачи согласия на списание, реконструкцию государственного имущества Ленинградской области» и иными применимыми нормативными правовыми актами.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4.2. Оценка технического состояния Объектов оценки производится на основании документов и сведений, предоставленных Заказчиком, и результатов осмотра Объектов оценки.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4.3. Место оказания Услуг: по месту нахождения Объектов оценки. Подготовка Заключений может осуществляться по месту нахождения Исполнителя.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4.4. Срок оказания Услуг: 1 (один) календарный месяц с даты заключения Контракта.</w:t>
      </w:r>
    </w:p>
    <w:p w:rsidR="00635403" w:rsidRPr="00500BC9" w:rsidRDefault="00500BC9">
      <w:pPr>
        <w:keepNext/>
        <w:keepLines/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4.5. Каждое Заключение должно содержать: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4.5.1. Сведения, позволяющие однозначно идентифицировать соответствующий Объект оценки;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4.5.2. Описание проведенного осмотра, выявленных дефектов и технического состояния Объекта оценки;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lastRenderedPageBreak/>
        <w:t>4.5.3. Дефектную ведомость и материалы фотофиксации соответствующего Объекта оценки;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4.5.4. Сведения о физическом износе и полной или частичной утрате потребительских свойств;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4.5.5. Мотивированный вывод о непригодности Объекта оценки к дальнейшей эксплуатации по назначению и экономической нецелесообразности ремонта либо о возможности дальнейшей эксплуатации и (или) экономической целесообразности ремонта;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4.5.6. При установлении непригодности Объекта оценки – вывод о наличии оснований для его списания и о необходимости проведения мероприятий по ликвидации.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4.6. Датой завершения оказания Услуг считается дата передачи Заказчику полного комплекта результатов, предусмотренных Контрактом, и документа о приемке.</w:t>
      </w:r>
    </w:p>
    <w:p w:rsidR="00635403" w:rsidRPr="00500BC9" w:rsidRDefault="00500BC9">
      <w:pPr>
        <w:keepNext/>
        <w:keepLines/>
        <w:spacing w:before="140" w:after="80"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5. Порядок приемки оказанных Услуг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5.1. По завершении оказания Услуг Исполнитель передает Заказчику Заключения на бумажном носителе и в электронной форме, документ о приемке, подписанный со стороны Исполнителя, и счет.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5.2. Не позднее 20 (двадцати) рабочих дней, следующих за днем получения полного комплекта документов и результатов, предусмотренных пунктом 5.1 Контракта, Заказчик подписывает документ о приемке либо направляет Исполнителю мотивированный отказ от его подписания с указанием выявленных недостатков и срока их устранения.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5.3. Для проверки результатов оказания Услуг в части их соответствия условиям Контракта Заказчик проводит экспертизу. Экспертиза может проводиться Заказчиком своими силами либо с привлечением экспертов, экспертных организаций.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5.4. Исполнитель обязан без дополнительной оплаты устранить причины, указанные в мотивированном отказе, в установленный Заказчиком срок и повторно представить исправленные результаты и документ о приемке.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5.5. Замечания отраслевого комитета Заказчика к Заключениям, выявленные в ходе их согласования после приемки Услуг, устраняются Исполнителем без дополнительной оплаты в установленный Заказчиком срок. Обязанность, предусмотренная настоящим пунктом, действует до завершения согласования Заключений.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5.6. Датой приемки оказанных Услуг считается дата подписания документа о приемке Заказчиком.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5.7. Заказчик вправе не отказывать в приемке Услуг при выявлении несоответствия условиям Контракта, если такое несоответствие не препятствует приемке и устранено Исполнителем.</w:t>
      </w:r>
    </w:p>
    <w:p w:rsidR="00635403" w:rsidRPr="00500BC9" w:rsidRDefault="00500BC9">
      <w:pPr>
        <w:keepNext/>
        <w:keepLines/>
        <w:spacing w:before="140" w:after="80"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6. Ответственность Сторон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6.1. За неисполнение или ненадлежащее исполнение обязательств по Контракту Стороны несут ответственность в соответствии с законодательством Российской Федерации и условиями Контракта.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6.2. В случае просрочки исполнения Заказчиком обязательства по оплате Исполнитель вправе потребовать уплаты пени за каждый день просрочки начиная со дня, следующего после дня истечения установленного срока. Пеня устанавливается в размере одной трехсотой действующей на дату ее уплаты ключевой ставки Центрального банка Российской Федерации от не уплаченной в срок суммы.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6.3. В случае просрочки исполнения Исполнителем обязательства Заказчик направляет требование об уплате пени за каждый день просрочки начиная со дня, следующего после дня истечения установленного срока. Пеня устанавливается в размере одной трехсотой действующей на дату ее уплаты ключевой ставки Центрального банка Российской Федерации от цены Контракта, уменьшенной на сумму, пропорциональную объему обязательств, фактически исполненных Исполнителем.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6.4. Штрафы за неисполнение или ненадлежащее исполнение Сторонами обязательств, за исключением просрочки, начисляются в размерах и порядке, установленных Правилами, утвержденными постановлением Правительства Российской Федерации от 30 августа 2017 года № 1042.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lastRenderedPageBreak/>
        <w:t>6.5. Сторона освобождается от уплаты неустойки (штрафа, пени), если докажет, что неисполнение или ненадлежащее исполнение обязательства произошло вследствие непреодолимой силы или по вине другой Стороны.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6.6. Общая сумма начисленной неустойки (штрафов, пеней) за неисполнение или ненадлежащее исполнение обязательств Стороной не может превышать цену Контракта.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6.7. Заказчик вправе удержать суммы неисполненных Исполнителем требований об уплате неустоек (штрафов, пеней) из суммы, подлежащей оплате Исполнителю, в порядке, предусмотренном законодательством Российской Федерации.</w:t>
      </w:r>
    </w:p>
    <w:p w:rsidR="00635403" w:rsidRPr="00500BC9" w:rsidRDefault="00500BC9">
      <w:pPr>
        <w:keepNext/>
        <w:keepLines/>
        <w:spacing w:before="140" w:after="80"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7. Изменение и расторжение Контракта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7.1. Изменение существенных условий Контракта при его исполнении не допускается, за исключением случаев, предусмотренных Федеральным законом № 44-ФЗ.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7.2. Цена Контракта может быть снижена по соглашению Сторон без изменения объема и качества Услуг и иных условий Контракта.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7.3. Контракт может быть расторгнут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и Федеральным законом № 44-ФЗ.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7.4. Односторонний отказ от исполнения Контракта осуществляется в порядке, установленном статьей 95 Федерального закона № 44-ФЗ.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7.5. При уменьшении ранее доведенных до Заказчика лимитов бюджетных обязательств изменение условий Контракта осуществляется в случаях и порядке, предусмотренных пунктом 6 статьи 161 Бюджетного кодекса Российской Федерации и Федеральным законом № 44-ФЗ.</w:t>
      </w:r>
    </w:p>
    <w:p w:rsidR="00635403" w:rsidRPr="00500BC9" w:rsidRDefault="00500BC9">
      <w:pPr>
        <w:keepNext/>
        <w:keepLines/>
        <w:spacing w:before="140" w:after="80"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8. Обстоятельства непреодолимой силы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8.1. Стороны освобождаются от ответственности за частичное или полное неисполнение обязательств по Контракту, если оно явилось следствием обстоятельств непреодолимой силы, возникших после заключения Контракта и не зависящих от воли Сторон.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8.2. Сторона, для которой возникла невозможность исполнения обязательств, обязана письменно уведомить другую Сторону о наступлении и прекращении обстоятельств непреодолимой силы в течение 3 (трех) календарных дней с момента, когда ей стало известно о таких обстоятельствах.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8.3. Срок исполнения обязательств продлевается соразмерно времени действия обстоятельств непреодолимой силы и их последствий, если иное не согласовано Сторонами и допускается законодательством Российской Федерации.</w:t>
      </w:r>
    </w:p>
    <w:p w:rsidR="00635403" w:rsidRPr="00500BC9" w:rsidRDefault="00500BC9">
      <w:pPr>
        <w:keepNext/>
        <w:keepLines/>
        <w:spacing w:before="140" w:after="80"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9. Срок действия и прочие условия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 xml:space="preserve">9.1. Контракт вступает в силу с даты его подписания Сторонами и действует по 31 </w:t>
      </w:r>
      <w:r w:rsidR="00525A6A">
        <w:rPr>
          <w:color w:val="000000"/>
          <w:sz w:val="24"/>
          <w:szCs w:val="24"/>
          <w:lang w:val="ru-RU"/>
        </w:rPr>
        <w:t>октябр</w:t>
      </w:r>
      <w:bookmarkStart w:id="0" w:name="_GoBack"/>
      <w:bookmarkEnd w:id="0"/>
      <w:r w:rsidRPr="00500BC9">
        <w:rPr>
          <w:color w:val="000000"/>
          <w:sz w:val="24"/>
          <w:szCs w:val="24"/>
          <w:lang w:val="ru-RU"/>
        </w:rPr>
        <w:t>я 2026 года включительно, а в части оплаты, ответственности, устранения недостатков и замечаний по Заключениям – до полного исполнения соответствующих обязательств.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9.2. Контракт заключается в электронной форме либо на бумажном носителе в двух экземплярах, имеющих одинаковую юридическую силу, по одному для каждой Стороны.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9.3. Юридически значимые сообщения направляются по адресам и реквизитам, указанным в Контракте. Сторона обязана письменно уведомить другую Сторону об изменении своих реквизитов в течение 3 (трех) рабочих дней.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9.4. При исполнении Контракта не допускается перемена Исполнителя, за исключением случая правопреемства вследствие реорганизации юридического лица в форме преобразования, слияния или присоединения.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9.5. В случае перемены Заказчика его права и обязанности по Контракту переходят к новому Заказчику.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9.6. Споры и разногласия разрешаются путем переговоров, а при недостижении соглашения – в Арбитражном суде города Санкт-Петербурга и Ленинградской области.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9.7. Во всем, что не предусмотрено Контрактом, Стороны руководствуются законодательством Российской Федерации.</w:t>
      </w:r>
    </w:p>
    <w:p w:rsidR="00635403" w:rsidRPr="00500BC9" w:rsidRDefault="00500BC9">
      <w:pPr>
        <w:keepNext/>
        <w:keepLines/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9.8. Неотъемлемыми частями Контракта являются: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t>9.8.1. Приложение № 1 «Задание на оценку»;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color w:val="000000"/>
          <w:sz w:val="24"/>
          <w:szCs w:val="24"/>
          <w:lang w:val="ru-RU"/>
        </w:rPr>
        <w:lastRenderedPageBreak/>
        <w:t>9.8.2. Приложение № 2 «Спецификация».</w:t>
      </w:r>
    </w:p>
    <w:p w:rsidR="00635403" w:rsidRPr="00500BC9" w:rsidRDefault="00500BC9">
      <w:pPr>
        <w:keepNext/>
        <w:keepLines/>
        <w:spacing w:before="140" w:after="80"/>
        <w:jc w:val="center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>10. Адреса, банковские реквизиты и подписи Сторон</w:t>
      </w:r>
    </w:p>
    <w:tbl>
      <w:tblPr>
        <w:tblW w:w="992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961"/>
        <w:gridCol w:w="4961"/>
      </w:tblGrid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Исполнитель:</w:t>
            </w:r>
          </w:p>
        </w:tc>
      </w:tr>
      <w:tr w:rsidR="00635403" w:rsidRPr="00525A6A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Ленинградское областное государственное казённое учреждение «Управление по охотничьему хозяйству Ленинградской области» (ЛОГКУ «Леноблохота»)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Юридический адрес: 188643, Ленинградская область, Всеволожский район, г. Всеволожск, Колтушское шоссе, д. 138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Почтовый/фактический адрес: 191311, г. Санкт-Петербург, ул. Смольного, д. 3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Телефон/факс: (812) 660-37-40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 xml:space="preserve">Электронная почта: </w:t>
            </w:r>
            <w:r w:rsidRPr="00500BC9">
              <w:rPr>
                <w:color w:val="000000"/>
                <w:sz w:val="24"/>
                <w:szCs w:val="24"/>
              </w:rPr>
              <w:t>lenregionhunting</w:t>
            </w:r>
            <w:r w:rsidRPr="00500BC9">
              <w:rPr>
                <w:color w:val="000000"/>
                <w:sz w:val="24"/>
                <w:szCs w:val="24"/>
                <w:lang w:val="ru-RU"/>
              </w:rPr>
              <w:t>@</w:t>
            </w:r>
            <w:r w:rsidRPr="00500BC9">
              <w:rPr>
                <w:color w:val="000000"/>
                <w:sz w:val="24"/>
                <w:szCs w:val="24"/>
              </w:rPr>
              <w:t>mail</w:t>
            </w:r>
            <w:r w:rsidRPr="00500BC9">
              <w:rPr>
                <w:color w:val="000000"/>
                <w:sz w:val="24"/>
                <w:szCs w:val="24"/>
                <w:lang w:val="ru-RU"/>
              </w:rPr>
              <w:t>.</w:t>
            </w:r>
            <w:r w:rsidRPr="00500BC9">
              <w:rPr>
                <w:color w:val="000000"/>
                <w:sz w:val="24"/>
                <w:szCs w:val="24"/>
              </w:rPr>
              <w:t>ru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ОГРН 1094703008399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ИНН 4703113527 / КПП 470301001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Банк: СЕВЕРО-ЗАПАДНОЕ ГУ БАНКА РОССИИ//УФК по Ленинградской области, г. Санкт-Петербург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БИК 044030098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Единый казначейский счет: 40102810745370000098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Казначейский счет: 03224643410000004500</w:t>
            </w:r>
          </w:p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>л/с 02357983002 в Комитете финансов Ленинградской области</w:t>
            </w: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635403">
            <w:pPr>
              <w:rPr>
                <w:sz w:val="24"/>
                <w:szCs w:val="24"/>
                <w:lang w:val="ru-RU"/>
              </w:rPr>
            </w:pPr>
          </w:p>
        </w:tc>
      </w:tr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______________________________</w:t>
            </w:r>
          </w:p>
          <w:p w:rsidR="00635403" w:rsidRPr="00500BC9" w:rsidRDefault="00635403">
            <w:pPr>
              <w:jc w:val="center"/>
              <w:rPr>
                <w:sz w:val="24"/>
                <w:szCs w:val="24"/>
              </w:rPr>
            </w:pPr>
          </w:p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_______________________/_____________/</w:t>
            </w: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635403">
            <w:pPr>
              <w:jc w:val="center"/>
              <w:rPr>
                <w:sz w:val="24"/>
                <w:szCs w:val="24"/>
              </w:rPr>
            </w:pPr>
          </w:p>
          <w:p w:rsidR="00635403" w:rsidRPr="00500BC9" w:rsidRDefault="00635403">
            <w:pPr>
              <w:jc w:val="center"/>
              <w:rPr>
                <w:sz w:val="24"/>
                <w:szCs w:val="24"/>
              </w:rPr>
            </w:pPr>
          </w:p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_______________________/_____________/</w:t>
            </w:r>
          </w:p>
        </w:tc>
      </w:tr>
    </w:tbl>
    <w:p w:rsidR="00635403" w:rsidRPr="00500BC9" w:rsidRDefault="00500BC9">
      <w:pPr>
        <w:rPr>
          <w:sz w:val="24"/>
          <w:szCs w:val="24"/>
        </w:rPr>
      </w:pPr>
      <w:r w:rsidRPr="00500BC9">
        <w:rPr>
          <w:sz w:val="24"/>
          <w:szCs w:val="24"/>
        </w:rPr>
        <w:br w:type="page"/>
      </w:r>
    </w:p>
    <w:p w:rsidR="00635403" w:rsidRPr="00500BC9" w:rsidRDefault="00500BC9">
      <w:pPr>
        <w:keepNext/>
        <w:keepLines/>
        <w:spacing w:after="240"/>
        <w:ind w:left="5386"/>
        <w:jc w:val="right"/>
        <w:rPr>
          <w:sz w:val="24"/>
          <w:szCs w:val="24"/>
        </w:rPr>
      </w:pPr>
      <w:r w:rsidRPr="00500BC9">
        <w:rPr>
          <w:color w:val="000000"/>
          <w:sz w:val="24"/>
          <w:szCs w:val="24"/>
        </w:rPr>
        <w:lastRenderedPageBreak/>
        <w:t>Приложение № 1</w:t>
      </w:r>
      <w:r w:rsidRPr="00500BC9">
        <w:rPr>
          <w:color w:val="000000"/>
          <w:sz w:val="24"/>
          <w:szCs w:val="24"/>
        </w:rPr>
        <w:br/>
        <w:t>к Контракту № _______</w:t>
      </w:r>
      <w:r w:rsidRPr="00500BC9">
        <w:rPr>
          <w:color w:val="000000"/>
          <w:sz w:val="24"/>
          <w:szCs w:val="24"/>
        </w:rPr>
        <w:br/>
        <w:t>от «___» __________ 2026 года</w:t>
      </w:r>
    </w:p>
    <w:p w:rsidR="00635403" w:rsidRPr="00500BC9" w:rsidRDefault="00500BC9">
      <w:pPr>
        <w:keepNext/>
        <w:keepLines/>
        <w:spacing w:after="200"/>
        <w:jc w:val="center"/>
        <w:rPr>
          <w:sz w:val="24"/>
          <w:szCs w:val="24"/>
        </w:rPr>
      </w:pPr>
      <w:r w:rsidRPr="00500BC9">
        <w:rPr>
          <w:b/>
          <w:color w:val="000000"/>
          <w:sz w:val="24"/>
          <w:szCs w:val="24"/>
        </w:rPr>
        <w:t>ЗАДАНИЕ НА ОЦЕНКУ</w:t>
      </w:r>
    </w:p>
    <w:p w:rsidR="00635403" w:rsidRPr="00500BC9" w:rsidRDefault="00500BC9">
      <w:pPr>
        <w:keepNext/>
        <w:keepLines/>
        <w:spacing w:after="100"/>
        <w:jc w:val="both"/>
        <w:rPr>
          <w:sz w:val="24"/>
          <w:szCs w:val="24"/>
        </w:rPr>
      </w:pPr>
      <w:r w:rsidRPr="00500BC9">
        <w:rPr>
          <w:b/>
          <w:color w:val="000000"/>
          <w:sz w:val="24"/>
          <w:szCs w:val="24"/>
        </w:rPr>
        <w:t>1. Список Объектов оценки</w:t>
      </w:r>
    </w:p>
    <w:tbl>
      <w:tblPr>
        <w:tblStyle w:val="aff0"/>
        <w:tblW w:w="9920" w:type="dxa"/>
        <w:jc w:val="center"/>
        <w:tblLayout w:type="fixed"/>
        <w:tblLook w:val="04A0" w:firstRow="1" w:lastRow="0" w:firstColumn="1" w:lastColumn="0" w:noHBand="0" w:noVBand="1"/>
      </w:tblPr>
      <w:tblGrid>
        <w:gridCol w:w="500"/>
        <w:gridCol w:w="2700"/>
        <w:gridCol w:w="1150"/>
        <w:gridCol w:w="820"/>
        <w:gridCol w:w="1200"/>
        <w:gridCol w:w="1150"/>
        <w:gridCol w:w="1150"/>
        <w:gridCol w:w="1250"/>
      </w:tblGrid>
      <w:tr w:rsidR="00635403" w:rsidRPr="00500BC9">
        <w:trPr>
          <w:cantSplit/>
          <w:tblHeader/>
          <w:jc w:val="center"/>
        </w:trPr>
        <w:tc>
          <w:tcPr>
            <w:tcW w:w="5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7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Основное средство</w:t>
            </w:r>
          </w:p>
        </w:tc>
        <w:tc>
          <w:tcPr>
            <w:tcW w:w="11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Инв. номер</w:t>
            </w:r>
          </w:p>
        </w:tc>
        <w:tc>
          <w:tcPr>
            <w:tcW w:w="8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Год выпуска</w:t>
            </w:r>
          </w:p>
        </w:tc>
        <w:tc>
          <w:tcPr>
            <w:tcW w:w="1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Дата принятия к учету</w:t>
            </w:r>
          </w:p>
        </w:tc>
        <w:tc>
          <w:tcPr>
            <w:tcW w:w="11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Срок полез. использ. (мес.)</w:t>
            </w:r>
          </w:p>
        </w:tc>
        <w:tc>
          <w:tcPr>
            <w:tcW w:w="11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Фактич. срок использ. (мес.)</w:t>
            </w:r>
          </w:p>
        </w:tc>
        <w:tc>
          <w:tcPr>
            <w:tcW w:w="12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Балансовая стоимость, руб.</w:t>
            </w:r>
          </w:p>
        </w:tc>
      </w:tr>
      <w:tr w:rsidR="00635403" w:rsidRPr="00500BC9">
        <w:trPr>
          <w:cantSplit/>
          <w:jc w:val="center"/>
        </w:trPr>
        <w:tc>
          <w:tcPr>
            <w:tcW w:w="5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rPr>
                <w:sz w:val="24"/>
                <w:szCs w:val="24"/>
                <w:lang w:val="ru-RU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 xml:space="preserve">МФУ </w:t>
            </w:r>
            <w:r w:rsidRPr="00500BC9">
              <w:rPr>
                <w:color w:val="000000"/>
                <w:sz w:val="24"/>
                <w:szCs w:val="24"/>
              </w:rPr>
              <w:t>Brother</w:t>
            </w:r>
            <w:r w:rsidRPr="00500BC9">
              <w:rPr>
                <w:color w:val="000000"/>
                <w:sz w:val="24"/>
                <w:szCs w:val="24"/>
                <w:lang w:val="ru-RU"/>
              </w:rPr>
              <w:t xml:space="preserve"> лазерный </w:t>
            </w:r>
            <w:r w:rsidRPr="00500BC9">
              <w:rPr>
                <w:color w:val="000000"/>
                <w:sz w:val="24"/>
                <w:szCs w:val="24"/>
              </w:rPr>
              <w:t>MFC</w:t>
            </w:r>
            <w:r w:rsidRPr="00500BC9">
              <w:rPr>
                <w:color w:val="000000"/>
                <w:sz w:val="24"/>
                <w:szCs w:val="24"/>
                <w:lang w:val="ru-RU"/>
              </w:rPr>
              <w:t>-7360</w:t>
            </w:r>
            <w:r w:rsidRPr="00500BC9">
              <w:rPr>
                <w:color w:val="000000"/>
                <w:sz w:val="24"/>
                <w:szCs w:val="24"/>
              </w:rPr>
              <w:t>NR</w:t>
            </w:r>
            <w:r w:rsidRPr="00500BC9">
              <w:rPr>
                <w:color w:val="000000"/>
                <w:sz w:val="24"/>
                <w:szCs w:val="24"/>
                <w:lang w:val="ru-RU"/>
              </w:rPr>
              <w:t xml:space="preserve"> (принтер/цветной/сканер/копир) № 9</w:t>
            </w:r>
          </w:p>
        </w:tc>
        <w:tc>
          <w:tcPr>
            <w:tcW w:w="11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3101060482</w:t>
            </w:r>
          </w:p>
        </w:tc>
        <w:tc>
          <w:tcPr>
            <w:tcW w:w="8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14.08.2013</w:t>
            </w:r>
          </w:p>
        </w:tc>
        <w:tc>
          <w:tcPr>
            <w:tcW w:w="11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1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155</w:t>
            </w:r>
          </w:p>
        </w:tc>
        <w:tc>
          <w:tcPr>
            <w:tcW w:w="12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8 600,30</w:t>
            </w:r>
          </w:p>
        </w:tc>
      </w:tr>
      <w:tr w:rsidR="00635403" w:rsidRPr="00500BC9">
        <w:trPr>
          <w:cantSplit/>
          <w:jc w:val="center"/>
        </w:trPr>
        <w:tc>
          <w:tcPr>
            <w:tcW w:w="5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Компьютер</w:t>
            </w:r>
          </w:p>
        </w:tc>
        <w:tc>
          <w:tcPr>
            <w:tcW w:w="11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5101350169</w:t>
            </w:r>
          </w:p>
        </w:tc>
        <w:tc>
          <w:tcPr>
            <w:tcW w:w="8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15.05.2018</w:t>
            </w:r>
          </w:p>
        </w:tc>
        <w:tc>
          <w:tcPr>
            <w:tcW w:w="11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1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12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45 750,00</w:t>
            </w:r>
          </w:p>
        </w:tc>
      </w:tr>
    </w:tbl>
    <w:p w:rsidR="00635403" w:rsidRPr="00500BC9" w:rsidRDefault="00500BC9">
      <w:pPr>
        <w:spacing w:before="140"/>
        <w:ind w:firstLine="709"/>
        <w:jc w:val="both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 xml:space="preserve">2. Имущественные права на Объекты оценки: </w:t>
      </w:r>
      <w:r w:rsidRPr="00500BC9">
        <w:rPr>
          <w:color w:val="000000"/>
          <w:sz w:val="24"/>
          <w:szCs w:val="24"/>
          <w:lang w:val="ru-RU"/>
        </w:rPr>
        <w:t>существующие права – оперативное управление.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 xml:space="preserve">3. Цель оценки: </w:t>
      </w:r>
      <w:r w:rsidRPr="00500BC9">
        <w:rPr>
          <w:color w:val="000000"/>
          <w:sz w:val="24"/>
          <w:szCs w:val="24"/>
          <w:lang w:val="ru-RU"/>
        </w:rPr>
        <w:t>определение технического состояния Объектов оценки, указанных в пункте 1 настоящего Задания, с подготовкой мотивированного вывода о непригодности к дальнейшей эксплуатации по назначению и экономической нецелесообразности ремонта либо о возможности дальнейшей эксплуатации и (или) экономической целесообразности ремонта. По каждому Объекту оценки составляется дефектная ведомость и предоставляются материалы фотофиксации.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 xml:space="preserve">4. Использование оценки: </w:t>
      </w:r>
      <w:r w:rsidRPr="00500BC9">
        <w:rPr>
          <w:color w:val="000000"/>
          <w:sz w:val="24"/>
          <w:szCs w:val="24"/>
          <w:lang w:val="ru-RU"/>
        </w:rPr>
        <w:t>для списания имущества.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 xml:space="preserve">5. Обременения: </w:t>
      </w:r>
      <w:r w:rsidRPr="00500BC9">
        <w:rPr>
          <w:color w:val="000000"/>
          <w:sz w:val="24"/>
          <w:szCs w:val="24"/>
          <w:lang w:val="ru-RU"/>
        </w:rPr>
        <w:t>отсутствуют.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 xml:space="preserve">6. Необходимость привлечения отраслевых экспертов: </w:t>
      </w:r>
      <w:r w:rsidRPr="00500BC9">
        <w:rPr>
          <w:color w:val="000000"/>
          <w:sz w:val="24"/>
          <w:szCs w:val="24"/>
          <w:lang w:val="ru-RU"/>
        </w:rPr>
        <w:t>при необходимости Исполнитель за свой счет привлекает экспертов или организации, специализирующиеся на диагностике и ремонте соответствующего оборудования.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 xml:space="preserve">7. Особые допущения: </w:t>
      </w:r>
      <w:r w:rsidRPr="00500BC9">
        <w:rPr>
          <w:color w:val="000000"/>
          <w:sz w:val="24"/>
          <w:szCs w:val="24"/>
          <w:lang w:val="ru-RU"/>
        </w:rPr>
        <w:t>оценка технического состояния Объектов оценки производится на основании документов и сведений, предоставленных Заказчиком, и результатов осмотра.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 xml:space="preserve">8. Форма Заключения: </w:t>
      </w:r>
      <w:r w:rsidRPr="00500BC9">
        <w:rPr>
          <w:color w:val="000000"/>
          <w:sz w:val="24"/>
          <w:szCs w:val="24"/>
          <w:lang w:val="ru-RU"/>
        </w:rPr>
        <w:t>письменное заключение независимой оценки технического состояния каждого Объекта оценки. Заключение должно содержать сведения о выявленных дефектах, физическом износе и полной или частичной утрате потребительских свойств, а также мотивированный вывод о возможности дальнейшего использования, целесообразности ремонта либо о наличии оснований для списания и необходимости проведения мероприятий по ликвидации.</w:t>
      </w:r>
    </w:p>
    <w:p w:rsidR="00635403" w:rsidRPr="00500BC9" w:rsidRDefault="00500BC9">
      <w:pPr>
        <w:ind w:firstLine="709"/>
        <w:jc w:val="both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 xml:space="preserve">9. Количество экземпляров Заключения: </w:t>
      </w:r>
      <w:r w:rsidRPr="00500BC9">
        <w:rPr>
          <w:color w:val="000000"/>
          <w:sz w:val="24"/>
          <w:szCs w:val="24"/>
          <w:lang w:val="ru-RU"/>
        </w:rPr>
        <w:t>Заключение по каждому Объекту оценки составляется в 1 (одном) экземпляре на бумажном носителе и передается Заказчику. Исполнитель также предоставляет Заключения в электронной форме.</w:t>
      </w:r>
    </w:p>
    <w:p w:rsidR="00635403" w:rsidRPr="00500BC9" w:rsidRDefault="00500BC9">
      <w:pPr>
        <w:spacing w:after="160"/>
        <w:ind w:firstLine="709"/>
        <w:jc w:val="both"/>
        <w:rPr>
          <w:sz w:val="24"/>
          <w:szCs w:val="24"/>
          <w:lang w:val="ru-RU"/>
        </w:rPr>
      </w:pPr>
      <w:r w:rsidRPr="00500BC9">
        <w:rPr>
          <w:b/>
          <w:color w:val="000000"/>
          <w:sz w:val="24"/>
          <w:szCs w:val="24"/>
          <w:lang w:val="ru-RU"/>
        </w:rPr>
        <w:t xml:space="preserve">10. Устранение замечаний: </w:t>
      </w:r>
      <w:r w:rsidRPr="00500BC9">
        <w:rPr>
          <w:color w:val="000000"/>
          <w:sz w:val="24"/>
          <w:szCs w:val="24"/>
          <w:lang w:val="ru-RU"/>
        </w:rPr>
        <w:t>замечания по Заключениям, выявленные Заказчиком или отраслевым комитетом Заказчика в ходе их согласования, устраняются Исполнителем без взимания дополнительной платы.</w:t>
      </w:r>
    </w:p>
    <w:tbl>
      <w:tblPr>
        <w:tblW w:w="992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961"/>
        <w:gridCol w:w="4961"/>
      </w:tblGrid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Исполнитель</w:t>
            </w:r>
          </w:p>
        </w:tc>
      </w:tr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______________________________</w:t>
            </w:r>
          </w:p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ЛОГКУ «Леноблохота»</w:t>
            </w: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______________________________</w:t>
            </w:r>
          </w:p>
        </w:tc>
      </w:tr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6354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635403">
            <w:pPr>
              <w:jc w:val="center"/>
              <w:rPr>
                <w:sz w:val="24"/>
                <w:szCs w:val="24"/>
              </w:rPr>
            </w:pPr>
          </w:p>
        </w:tc>
      </w:tr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_______________________/_____________/</w:t>
            </w: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_______________________/_____________/</w:t>
            </w:r>
          </w:p>
        </w:tc>
      </w:tr>
    </w:tbl>
    <w:p w:rsidR="00635403" w:rsidRPr="00500BC9" w:rsidRDefault="00500BC9">
      <w:pPr>
        <w:rPr>
          <w:sz w:val="24"/>
          <w:szCs w:val="24"/>
        </w:rPr>
      </w:pPr>
      <w:r w:rsidRPr="00500BC9">
        <w:rPr>
          <w:sz w:val="24"/>
          <w:szCs w:val="24"/>
        </w:rPr>
        <w:br w:type="page"/>
      </w:r>
    </w:p>
    <w:p w:rsidR="00635403" w:rsidRPr="00500BC9" w:rsidRDefault="00500BC9">
      <w:pPr>
        <w:keepNext/>
        <w:keepLines/>
        <w:spacing w:after="240"/>
        <w:ind w:left="5386"/>
        <w:jc w:val="right"/>
        <w:rPr>
          <w:sz w:val="24"/>
          <w:szCs w:val="24"/>
        </w:rPr>
      </w:pPr>
      <w:r w:rsidRPr="00500BC9">
        <w:rPr>
          <w:color w:val="000000"/>
          <w:sz w:val="24"/>
          <w:szCs w:val="24"/>
        </w:rPr>
        <w:t>Приложение № 2</w:t>
      </w:r>
      <w:r w:rsidRPr="00500BC9">
        <w:rPr>
          <w:color w:val="000000"/>
          <w:sz w:val="24"/>
          <w:szCs w:val="24"/>
        </w:rPr>
        <w:br/>
        <w:t>к Контракту № _______</w:t>
      </w:r>
      <w:r w:rsidRPr="00500BC9">
        <w:rPr>
          <w:color w:val="000000"/>
          <w:sz w:val="24"/>
          <w:szCs w:val="24"/>
        </w:rPr>
        <w:br/>
        <w:t>от «___» __________ 2026 года</w:t>
      </w:r>
    </w:p>
    <w:p w:rsidR="00635403" w:rsidRPr="00500BC9" w:rsidRDefault="00500BC9">
      <w:pPr>
        <w:keepNext/>
        <w:keepLines/>
        <w:spacing w:after="200"/>
        <w:jc w:val="center"/>
        <w:rPr>
          <w:sz w:val="24"/>
          <w:szCs w:val="24"/>
        </w:rPr>
      </w:pPr>
      <w:r w:rsidRPr="00500BC9">
        <w:rPr>
          <w:b/>
          <w:color w:val="000000"/>
          <w:sz w:val="24"/>
          <w:szCs w:val="24"/>
        </w:rPr>
        <w:t>СПЕЦИФИКАЦИЯ</w:t>
      </w:r>
    </w:p>
    <w:tbl>
      <w:tblPr>
        <w:tblStyle w:val="aff0"/>
        <w:tblW w:w="9920" w:type="dxa"/>
        <w:jc w:val="center"/>
        <w:tblLayout w:type="fixed"/>
        <w:tblLook w:val="04A0" w:firstRow="1" w:lastRow="0" w:firstColumn="1" w:lastColumn="0" w:noHBand="0" w:noVBand="1"/>
      </w:tblPr>
      <w:tblGrid>
        <w:gridCol w:w="651"/>
        <w:gridCol w:w="4649"/>
        <w:gridCol w:w="650"/>
        <w:gridCol w:w="1050"/>
        <w:gridCol w:w="1450"/>
        <w:gridCol w:w="1470"/>
      </w:tblGrid>
      <w:tr w:rsidR="00635403" w:rsidRPr="00500BC9">
        <w:trPr>
          <w:cantSplit/>
          <w:tblHeader/>
          <w:jc w:val="center"/>
        </w:trPr>
        <w:tc>
          <w:tcPr>
            <w:tcW w:w="6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Наименование Услуги</w:t>
            </w:r>
          </w:p>
        </w:tc>
        <w:tc>
          <w:tcPr>
            <w:tcW w:w="6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0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Ед. измерения</w:t>
            </w:r>
          </w:p>
        </w:tc>
        <w:tc>
          <w:tcPr>
            <w:tcW w:w="14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Цена за единицу, руб.</w:t>
            </w:r>
          </w:p>
        </w:tc>
        <w:tc>
          <w:tcPr>
            <w:tcW w:w="14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Стоимость, руб.</w:t>
            </w:r>
          </w:p>
        </w:tc>
      </w:tr>
      <w:tr w:rsidR="00635403" w:rsidRPr="00500BC9">
        <w:trPr>
          <w:cantSplit/>
          <w:jc w:val="center"/>
        </w:trPr>
        <w:tc>
          <w:tcPr>
            <w:tcW w:w="6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 xml:space="preserve">Оценка технического состояния МФУ </w:t>
            </w:r>
            <w:r w:rsidRPr="00500BC9">
              <w:rPr>
                <w:color w:val="000000"/>
                <w:sz w:val="24"/>
                <w:szCs w:val="24"/>
              </w:rPr>
              <w:t>Brother</w:t>
            </w:r>
            <w:r w:rsidRPr="00500BC9">
              <w:rPr>
                <w:color w:val="000000"/>
                <w:sz w:val="24"/>
                <w:szCs w:val="24"/>
                <w:lang w:val="ru-RU"/>
              </w:rPr>
              <w:t xml:space="preserve"> лазерного </w:t>
            </w:r>
            <w:r w:rsidRPr="00500BC9">
              <w:rPr>
                <w:color w:val="000000"/>
                <w:sz w:val="24"/>
                <w:szCs w:val="24"/>
              </w:rPr>
              <w:t>MFC</w:t>
            </w:r>
            <w:r w:rsidRPr="00500BC9">
              <w:rPr>
                <w:color w:val="000000"/>
                <w:sz w:val="24"/>
                <w:szCs w:val="24"/>
                <w:lang w:val="ru-RU"/>
              </w:rPr>
              <w:t>-7360</w:t>
            </w:r>
            <w:r w:rsidRPr="00500BC9">
              <w:rPr>
                <w:color w:val="000000"/>
                <w:sz w:val="24"/>
                <w:szCs w:val="24"/>
              </w:rPr>
              <w:t>NR</w:t>
            </w:r>
            <w:r w:rsidRPr="00500BC9">
              <w:rPr>
                <w:color w:val="000000"/>
                <w:sz w:val="24"/>
                <w:szCs w:val="24"/>
                <w:lang w:val="ru-RU"/>
              </w:rPr>
              <w:t xml:space="preserve"> (принтер/цветной/сканер/копир) № 9, инв. </w:t>
            </w:r>
            <w:r w:rsidRPr="00500BC9">
              <w:rPr>
                <w:color w:val="000000"/>
                <w:sz w:val="24"/>
                <w:szCs w:val="24"/>
              </w:rPr>
              <w:t>№ 3101060482</w:t>
            </w:r>
          </w:p>
        </w:tc>
        <w:tc>
          <w:tcPr>
            <w:tcW w:w="6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усл. ед.</w:t>
            </w:r>
          </w:p>
        </w:tc>
        <w:tc>
          <w:tcPr>
            <w:tcW w:w="14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14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</w:t>
            </w:r>
          </w:p>
        </w:tc>
      </w:tr>
      <w:tr w:rsidR="00635403" w:rsidRPr="00500BC9">
        <w:trPr>
          <w:cantSplit/>
          <w:jc w:val="center"/>
        </w:trPr>
        <w:tc>
          <w:tcPr>
            <w:tcW w:w="6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4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  <w:lang w:val="ru-RU"/>
              </w:rPr>
              <w:t xml:space="preserve">Оценка технического состояния компьютера, инв. </w:t>
            </w:r>
            <w:r w:rsidRPr="00500BC9">
              <w:rPr>
                <w:color w:val="000000"/>
                <w:sz w:val="24"/>
                <w:szCs w:val="24"/>
              </w:rPr>
              <w:t>№ 5101350169</w:t>
            </w:r>
          </w:p>
        </w:tc>
        <w:tc>
          <w:tcPr>
            <w:tcW w:w="6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усл. ед.</w:t>
            </w:r>
          </w:p>
        </w:tc>
        <w:tc>
          <w:tcPr>
            <w:tcW w:w="14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14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</w:t>
            </w:r>
          </w:p>
        </w:tc>
      </w:tr>
      <w:tr w:rsidR="00635403" w:rsidRPr="00500BC9">
        <w:trPr>
          <w:cantSplit/>
          <w:jc w:val="center"/>
        </w:trPr>
        <w:tc>
          <w:tcPr>
            <w:tcW w:w="1450" w:type="dxa"/>
            <w:gridSpan w:val="5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right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__________</w:t>
            </w:r>
          </w:p>
        </w:tc>
      </w:tr>
    </w:tbl>
    <w:p w:rsidR="00635403" w:rsidRPr="00500BC9" w:rsidRDefault="00635403">
      <w:pPr>
        <w:spacing w:after="80"/>
        <w:jc w:val="both"/>
        <w:rPr>
          <w:sz w:val="24"/>
          <w:szCs w:val="24"/>
        </w:rPr>
      </w:pPr>
    </w:p>
    <w:tbl>
      <w:tblPr>
        <w:tblW w:w="992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961"/>
        <w:gridCol w:w="4961"/>
      </w:tblGrid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b/>
                <w:color w:val="000000"/>
                <w:sz w:val="24"/>
                <w:szCs w:val="24"/>
              </w:rPr>
              <w:t>Исполнитель</w:t>
            </w:r>
          </w:p>
        </w:tc>
      </w:tr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______________________________</w:t>
            </w:r>
          </w:p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ЛОГКУ «Леноблохота»</w:t>
            </w: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______________________________</w:t>
            </w:r>
          </w:p>
        </w:tc>
      </w:tr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6354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635403">
            <w:pPr>
              <w:jc w:val="center"/>
              <w:rPr>
                <w:sz w:val="24"/>
                <w:szCs w:val="24"/>
              </w:rPr>
            </w:pPr>
          </w:p>
        </w:tc>
      </w:tr>
      <w:tr w:rsidR="00635403" w:rsidRPr="00500BC9">
        <w:trPr>
          <w:cantSplit/>
          <w:jc w:val="center"/>
        </w:trPr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_______________________/_____________/</w:t>
            </w:r>
          </w:p>
        </w:tc>
        <w:tc>
          <w:tcPr>
            <w:tcW w:w="496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35403" w:rsidRPr="00500BC9" w:rsidRDefault="00500BC9">
            <w:pPr>
              <w:jc w:val="center"/>
              <w:rPr>
                <w:sz w:val="24"/>
                <w:szCs w:val="24"/>
              </w:rPr>
            </w:pPr>
            <w:r w:rsidRPr="00500BC9">
              <w:rPr>
                <w:color w:val="000000"/>
                <w:sz w:val="24"/>
                <w:szCs w:val="24"/>
              </w:rPr>
              <w:t>_______________________/_____________/</w:t>
            </w:r>
          </w:p>
        </w:tc>
      </w:tr>
    </w:tbl>
    <w:p w:rsidR="00A4622E" w:rsidRPr="00500BC9" w:rsidRDefault="00A4622E">
      <w:pPr>
        <w:rPr>
          <w:sz w:val="24"/>
          <w:szCs w:val="24"/>
        </w:rPr>
      </w:pPr>
    </w:p>
    <w:sectPr w:rsidR="00A4622E" w:rsidRPr="00500BC9" w:rsidSect="00034616">
      <w:footerReference w:type="default" r:id="rId8"/>
      <w:pgSz w:w="11906" w:h="16838"/>
      <w:pgMar w:top="850" w:right="850" w:bottom="850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22E" w:rsidRDefault="00500BC9">
      <w:r>
        <w:separator/>
      </w:r>
    </w:p>
  </w:endnote>
  <w:endnote w:type="continuationSeparator" w:id="0">
    <w:p w:rsidR="00A4622E" w:rsidRDefault="00500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403" w:rsidRDefault="00500BC9">
    <w:pPr>
      <w:pStyle w:val="a7"/>
      <w:jc w:val="center"/>
    </w:pPr>
    <w:r>
      <w:rPr>
        <w:color w:val="000000"/>
        <w:sz w:val="18"/>
      </w:rPr>
      <w:fldChar w:fldCharType="begin"/>
    </w:r>
    <w:r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 w:rsidR="00525A6A">
      <w:rPr>
        <w:noProof/>
        <w:color w:val="000000"/>
        <w:sz w:val="18"/>
      </w:rPr>
      <w:t>4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22E" w:rsidRDefault="00500BC9">
      <w:r>
        <w:separator/>
      </w:r>
    </w:p>
  </w:footnote>
  <w:footnote w:type="continuationSeparator" w:id="0">
    <w:p w:rsidR="00A4622E" w:rsidRDefault="00500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00BC9"/>
    <w:rsid w:val="00525A6A"/>
    <w:rsid w:val="00635403"/>
    <w:rsid w:val="00A4622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BB9BC0F4-B059-4985-ADA1-52065AF52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35C572-2E49-498A-8E02-442086357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2634</Words>
  <Characters>15018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17617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контракта на оценку технического состояния основных средств</dc:title>
  <dc:subject>Оценка технического состояния двух объектов основных средств для списания</dc:subject>
  <dc:creator/>
  <cp:keywords/>
  <dc:description/>
  <cp:lastModifiedBy>User</cp:lastModifiedBy>
  <cp:revision>3</cp:revision>
  <dcterms:created xsi:type="dcterms:W3CDTF">2013-12-23T23:15:00Z</dcterms:created>
  <dcterms:modified xsi:type="dcterms:W3CDTF">2026-08-05T13:31:00Z</dcterms:modified>
  <cp:category/>
</cp:coreProperties>
</file>