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7"/>
        <w:jc w:val="center"/>
        <w:rPr>
          <w:rFonts w:ascii="Times New Roman" w:hAnsi="Times New Roman" w:cs="Times New Roman"/>
          <w:b/>
          <w:i w:val="0"/>
          <w:iCs w:val="0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i w:val="0"/>
          <w:iCs w:val="0"/>
          <w:sz w:val="22"/>
          <w:szCs w:val="22"/>
          <w:lang w:val="ru-RU"/>
        </w:rPr>
        <w:t xml:space="preserve">ДОГОВОР </w:t>
      </w:r>
      <w:r>
        <w:rPr>
          <w:rFonts w:ascii="Times New Roman" w:hAnsi="Times New Roman" w:eastAsia="Times New Roman" w:cs="Times New Roman"/>
          <w:b/>
          <w:i w:val="0"/>
          <w:iCs w:val="0"/>
          <w:sz w:val="22"/>
          <w:szCs w:val="22"/>
          <w:lang w:val="ru-RU"/>
        </w:rPr>
        <w:t xml:space="preserve">№  </w:t>
      </w:r>
      <w:r>
        <w:rPr>
          <w:rFonts w:ascii="Times New Roman" w:hAnsi="Times New Roman" w:cs="Times New Roman"/>
          <w:b/>
          <w:i w:val="0"/>
          <w:iCs w:val="0"/>
          <w:sz w:val="22"/>
          <w:szCs w:val="22"/>
        </w:rPr>
      </w:r>
      <w:r>
        <w:rPr>
          <w:rFonts w:ascii="Times New Roman" w:hAnsi="Times New Roman" w:cs="Times New Roman"/>
          <w:b/>
          <w:i w:val="0"/>
          <w:iCs w:val="0"/>
          <w:sz w:val="22"/>
          <w:szCs w:val="22"/>
        </w:rPr>
      </w:r>
    </w:p>
    <w:p>
      <w:pPr>
        <w:pStyle w:val="867"/>
        <w:jc w:val="center"/>
        <w:rPr>
          <w:rFonts w:ascii="Times New Roman" w:hAnsi="Times New Roman" w:cs="Times New Roman"/>
          <w:b/>
          <w:bCs/>
          <w:sz w:val="22"/>
          <w:szCs w:val="22"/>
          <w:highlight w:val="yellow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highlight w:val="yellow"/>
          <w:lang w:val="ru-RU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highlight w:val="none"/>
          <w:lang w:val="ru-RU"/>
        </w:rPr>
        <w:t xml:space="preserve">ИКЗ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2c363a"/>
          <w:sz w:val="24"/>
          <w:szCs w:val="24"/>
          <w:highlight w:val="white"/>
        </w:rPr>
        <w:t xml:space="preserve">263470317748947030100100010000000000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2c363a"/>
          <w:sz w:val="24"/>
          <w:szCs w:val="24"/>
          <w:highlight w:val="white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highlight w:val="yellow"/>
          <w:lang w:val="ru-RU"/>
        </w:rPr>
      </w:r>
      <w:r>
        <w:rPr>
          <w:rFonts w:ascii="Times New Roman" w:hAnsi="Times New Roman" w:cs="Times New Roman"/>
          <w:b/>
          <w:bCs/>
          <w:sz w:val="22"/>
          <w:szCs w:val="22"/>
          <w:highlight w:val="yellow"/>
        </w:rPr>
      </w:r>
    </w:p>
    <w:p>
      <w:pPr>
        <w:pStyle w:val="85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г. Санкт-Петербург</w:t>
      </w: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ab/>
      </w: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ab/>
      </w: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ab/>
      </w: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ab/>
      </w: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ab/>
      </w: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ab/>
      </w: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ab/>
        <w:t xml:space="preserve">                   </w:t>
      </w: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 xml:space="preserve">   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«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   »              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 2026 г.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jc w:val="both"/>
        <w:spacing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ab/>
        <w:t xml:space="preserve">_____________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с одной стороны, и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firstLine="709"/>
        <w:jc w:val="both"/>
        <w:spacing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color w:val="00000a"/>
          <w:sz w:val="22"/>
          <w:szCs w:val="22"/>
          <w:lang w:eastAsia="en-US"/>
        </w:rPr>
        <w:t xml:space="preserve">Муниципальное общеобразовательное бюджетное учреждение «Муринская средняя общеобразовательная школа № 5»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  <w:t xml:space="preserve">,</w:t>
      </w:r>
      <w:r>
        <w:rPr>
          <w:rFonts w:ascii="Times New Roman" w:hAnsi="Times New Roman" w:eastAsia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именуемое в дальнейшем 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  <w:t xml:space="preserve">ЗАКАЗЧИК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,  в лице 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  <w:t xml:space="preserve">директора Шенкевич Галины Борисовны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, действующего на основании Устава, с другой стороны, вместе именуемые «Сторон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ы», в соответствии с п. 5 ч.1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 – Договор) о нижеследующем: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709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</w:rPr>
        <w:t xml:space="preserve">ПРЕДМЕТ ДОГОВОРА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709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1.1. ИСПОЛНИТЕЛЬ обязуется осуществить ЗАКАЗЧИКУ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поставку товара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в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МОБУ «Муринская СОШ № 5» согласно спецификации в Приложении № 1,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а ЗАКАЗЧИК обязуются принять их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у  ИСПОЛНИТЕЛЯ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и уплатить указанную в Договоре цену.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709"/>
        <w:jc w:val="both"/>
        <w:spacing w:after="0" w:line="240" w:lineRule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1.2. ЗАКАЗЧИК осуществляет контроль за качеством работ.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1.3. ИСПОЛНИТЕЛЬ обязуется выполнить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монтаж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с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19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.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10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.2026 по 31.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1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2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.2026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по согласованию с «Заказчиком».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1.4. Место проведения работ: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79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</w:rPr>
        <w:t xml:space="preserve">Ленинградская область, м. р-н Всеволожский, г. п. Муринское, г. Мурино, ул. Шоссе в Лаврики, д 66 к. 1 </w:t>
      </w:r>
      <w:r>
        <w:rPr>
          <w:rFonts w:ascii="Times New Roman" w:hAnsi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pStyle w:val="857"/>
        <w:ind w:firstLine="720"/>
        <w:jc w:val="both"/>
        <w:tabs>
          <w:tab w:val="left" w:pos="851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1.5. ЗАКАЗЧИК обязуется принять работы и уплатить за них цену, указанную 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br w:type="textWrapping" w:clear="all"/>
        <w:t xml:space="preserve">в п. 2.1. настоящего Договора и Приложении №1 к нему, которое является неотъемлемой частью настоящего договора.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85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 xml:space="preserve">2. СТОИМОСТЬ ДОГОВОРА И ОПЛАТА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z w:val="22"/>
          <w:szCs w:val="22"/>
          <w:lang w:val="ru-RU"/>
        </w:rPr>
        <w:t xml:space="preserve">            2.1. Общая стоимость работ определена в соответствии со Спецификацией (Приложение № 1), являющейся неотъемлемой частью настоящего Договора и составляет: </w:t>
      </w:r>
      <w:r>
        <w:rPr>
          <w:rFonts w:ascii="Times New Roman" w:hAnsi="Times New Roman" w:eastAsia="Times New Roman" w:cs="Times New Roman"/>
          <w:color w:val="000000"/>
          <w:sz w:val="22"/>
          <w:szCs w:val="22"/>
          <w:lang w:val="ru-RU"/>
        </w:rPr>
        <w:t xml:space="preserve">________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</w:r>
    </w:p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2.2. Оплата по настоящему Договору должна быть произведена ЗАКАЗЧИКОМ в рублях путем перечисления средств на расчетный счет ИСПОЛНИТЕЛЯ в соответствии со счетом, выставленным ИСПОЛНИТЕЛЕМ.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2.3. Цена Договора является твердой (п. 2 ст. 34 44-ФЗ) в течение всего периода исполнения обязательств, за исключением установленных Федеральным законом № 44-ФЗ случаев.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85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 xml:space="preserve">3. РАСЧЕТЫ.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3.1. Расчеты производятся путем перечисления ЗАКАЗЧИКОМ суммы, указанной в п. 2.1 на расчетный счет ИСПОЛНИТЕЛЮ.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</w:rPr>
        <w:t xml:space="preserve">4. СРОКИ ПРОВЕДЕНИЯ РАБОТ.</w:t>
      </w:r>
      <w:r>
        <w:rPr>
          <w:rFonts w:ascii="Times New Roman" w:hAnsi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4.1. ИСПОЛНИТЕЛЬ должен провести работы по Договору в порядке и на условиях, предусмотренных настоящим Договором, и в соответствии со СПЕЦИФИКАЦИЕЙ (Приложение №1), являющейся неотъемлемой частью настоящего Договора.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4.2. ИСПОЛНИТЕЛЬ доставляет материалы по настоящему Договору своими силами.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4.3. Если ИСПОЛНИТЕЛЬ допустил нарушение любых установленных Договором сроков на срок более десяти дней по вине ЗАКАЗЧИКА, такая просрочка не является нарушением условий Договора и не влечет возникновения обязательств по уплате пеней и штрафов.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4.4.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Установка, монтаж, ввод в эксплуатацию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осуществл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яется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в срок, указанный в п. 1.3. настоящего Договора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силами ИСПОЛНИТЕЛЯ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.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Установка и монтаж включает в себя все необходимые материалы.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74"/>
        <w:jc w:val="both"/>
        <w:keepNext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874"/>
        <w:jc w:val="center"/>
        <w:keepNext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 xml:space="preserve">5. ГАРАНТИЙНАЯ ПОДДЕРЖКА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5.1 Гарантийный срок на работы – 12 месяцев.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val="ru-RU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pStyle w:val="857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bCs/>
          <w:sz w:val="22"/>
          <w:szCs w:val="22"/>
          <w:lang w:val="ru-RU" w:eastAsia="ru-RU"/>
        </w:rPr>
        <w:t xml:space="preserve">. ПЛАТЕЖИ И РАСЧЕТЫ</w:t>
      </w:r>
      <w:r>
        <w:rPr>
          <w:rFonts w:ascii="Times New Roman" w:hAnsi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bCs/>
          <w:sz w:val="22"/>
          <w:szCs w:val="22"/>
        </w:rPr>
        <w:t xml:space="preserve">6.1. Оплата за выполненные работы</w:t>
      </w:r>
      <w:r>
        <w:rPr>
          <w:rFonts w:ascii="Times New Roman" w:hAnsi="Times New Roman" w:eastAsia="Times New Roman" w:cs="Times New Roman"/>
          <w:i/>
          <w:sz w:val="22"/>
          <w:szCs w:val="22"/>
          <w:lang w:eastAsia="en-US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  <w:lang w:eastAsia="en-US"/>
        </w:rPr>
        <w:t xml:space="preserve">производится </w:t>
      </w:r>
      <w:r>
        <w:rPr>
          <w:rFonts w:ascii="Times New Roman" w:hAnsi="Times New Roman" w:eastAsia="Times New Roman" w:cs="Times New Roman"/>
          <w:bCs/>
          <w:sz w:val="22"/>
          <w:szCs w:val="22"/>
        </w:rPr>
        <w:t xml:space="preserve">в течение 10 (десяти) рабочих дней</w:t>
      </w:r>
      <w:r>
        <w:rPr>
          <w:rFonts w:ascii="Times New Roman" w:hAnsi="Times New Roman" w:eastAsia="Times New Roman" w:cs="Times New Roman"/>
          <w:bCs/>
          <w:i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bCs/>
          <w:sz w:val="22"/>
          <w:szCs w:val="22"/>
        </w:rPr>
        <w:t xml:space="preserve">с момента подписания «Сторонами»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акта сдачи-приемки оказанных услуг</w:t>
      </w:r>
      <w:r>
        <w:rPr>
          <w:rFonts w:ascii="Times New Roman" w:hAnsi="Times New Roman" w:eastAsia="Times New Roman" w:cs="Times New Roman"/>
          <w:bCs/>
          <w:sz w:val="22"/>
          <w:szCs w:val="22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6.2. Основанием для оплаты оказанных ИСПОЛНИТЕЛЕМ услуг являются счет и УПД, проверенные и подписанные ЗАКАЗЧИКОМ. Стоимость товара определяется в соответствии с положением п. 2 Договора.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74"/>
        <w:jc w:val="center"/>
        <w:keepNext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874"/>
        <w:jc w:val="center"/>
        <w:keepNext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 xml:space="preserve">7. ФОРС-МАЖОР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7.1. Стороны освобождаются от ответственности за частичное или полное невыполнение обязательств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К событиям чрезвычайного характера в контексте настоящего договора относятся: наводнение, пожар, землетрясе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ние, взрыв, шторм, эпидемии и иные проявления сил природы, а также война или военные действия, забастовка в отрасли или регионе, принятие органом государственной власти или управления правового акта, повлекшего невозможность исполнения настоящего Договора.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7.2. При наступлении и прекращен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ии указанных в п.7.1. обстоятельств, сторона настоящего договора, для которой состоялась невозможность исполнения своих обязательств, должна немедленно известить об этом другую сторону, приложив к извещению справку соответствующего государственного органа.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7.3. При отсутствии своевременного извещения, предусмотренного в п.7.2. виновная сторона обязана возместить другой стороне убытки, причиненные несвоевременным извещением.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7.4. Наступление обстоятельств, вызванных действием непреодолимой силы, влечет увеличение срока исполнения Договора на период действия указанных обстоятельств.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ind w:firstLine="7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val="ru-RU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pStyle w:val="857"/>
        <w:ind w:firstLine="7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val="ru-RU"/>
        </w:rPr>
        <w:t xml:space="preserve">8. ОТВЕТСТВЕННОСТЬ СТОРОН</w:t>
      </w:r>
      <w:r>
        <w:rPr>
          <w:rFonts w:ascii="Times New Roman" w:hAnsi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8.1.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ab/>
        <w:t xml:space="preserve">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8.2.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ab/>
        <w:t xml:space="preserve">При исполнении своих обязательств по дог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овору Стороны обязуются соблюдать и обеспечить соблюдение их работниками требований российского антикоррупционного законодательства. При исполнении своих обязательств по настоящему Договору, Стороны, их аффилированные лица, работники и посредники обязуются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 принимать меры по недопущению любой возможности возникновения ситуаций, квалифицируемых применимым для целей настоящего Договора законодательством, как конфликт интересов, и принимать меры по предотвращению или урегулированию такого конфликта интересов. К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аждая из Сторон договора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Договора.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697"/>
        <w:numPr>
          <w:ilvl w:val="1"/>
          <w:numId w:val="3"/>
        </w:numPr>
        <w:ind w:right="26" w:firstLine="655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cs="Times New Roman"/>
          <w:color w:val="00000a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a"/>
          <w:sz w:val="22"/>
          <w:szCs w:val="22"/>
          <w:lang w:eastAsia="en-US"/>
        </w:rPr>
        <w:t xml:space="preserve"> Стороны соглашаются в целях и в связи с исполнением своих обязательств по Договору осуществлять электронный обмен документами по телекоммуникационным каналам связи, подписанными электронной подписью (далее – ЭП).</w:t>
      </w:r>
      <w:r>
        <w:rPr>
          <w:rFonts w:ascii="Times New Roman" w:hAnsi="Times New Roman" w:cs="Times New Roman"/>
          <w:color w:val="00000a"/>
          <w:sz w:val="22"/>
          <w:szCs w:val="22"/>
        </w:rPr>
      </w:r>
      <w:r>
        <w:rPr>
          <w:rFonts w:ascii="Times New Roman" w:hAnsi="Times New Roman" w:cs="Times New Roman"/>
          <w:color w:val="00000a"/>
          <w:sz w:val="22"/>
          <w:szCs w:val="22"/>
        </w:rPr>
      </w:r>
    </w:p>
    <w:p>
      <w:pPr>
        <w:pStyle w:val="697"/>
        <w:numPr>
          <w:ilvl w:val="2"/>
          <w:numId w:val="3"/>
        </w:numPr>
        <w:ind w:left="0" w:right="26" w:firstLine="709"/>
        <w:jc w:val="both"/>
        <w:spacing w:after="0" w:line="240" w:lineRule="auto"/>
        <w:widowControl w:val="off"/>
        <w:tabs>
          <w:tab w:val="left" w:pos="1276" w:leader="none"/>
        </w:tabs>
        <w:rPr>
          <w:rFonts w:ascii="Times New Roman" w:hAnsi="Times New Roman" w:cs="Times New Roman"/>
          <w:color w:val="00000a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a"/>
          <w:sz w:val="22"/>
          <w:szCs w:val="22"/>
          <w:lang w:eastAsia="en-US"/>
        </w:rPr>
        <w:t xml:space="preserve"> Электронный документооборот (далее – ЭДО) осуществляется по следующим основным направлениям взаимодействия:</w:t>
      </w:r>
      <w:r>
        <w:rPr>
          <w:rFonts w:ascii="Times New Roman" w:hAnsi="Times New Roman" w:cs="Times New Roman"/>
          <w:color w:val="00000a"/>
          <w:sz w:val="22"/>
          <w:szCs w:val="22"/>
        </w:rPr>
      </w:r>
      <w:r>
        <w:rPr>
          <w:rFonts w:ascii="Times New Roman" w:hAnsi="Times New Roman" w:cs="Times New Roman"/>
          <w:color w:val="00000a"/>
          <w:sz w:val="22"/>
          <w:szCs w:val="22"/>
        </w:rPr>
      </w:r>
    </w:p>
    <w:p>
      <w:pPr>
        <w:pStyle w:val="697"/>
        <w:numPr>
          <w:ilvl w:val="2"/>
          <w:numId w:val="3"/>
        </w:numPr>
        <w:ind w:left="0" w:right="26" w:firstLine="709"/>
        <w:jc w:val="both"/>
        <w:spacing w:after="0" w:line="240" w:lineRule="auto"/>
        <w:widowControl w:val="off"/>
        <w:tabs>
          <w:tab w:val="left" w:pos="900" w:leader="none"/>
          <w:tab w:val="left" w:pos="1276" w:leader="none"/>
        </w:tabs>
        <w:rPr>
          <w:rFonts w:ascii="Times New Roman" w:hAnsi="Times New Roman" w:cs="Times New Roman"/>
          <w:color w:val="00000a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a"/>
          <w:sz w:val="22"/>
          <w:szCs w:val="22"/>
          <w:lang w:eastAsia="en-US"/>
        </w:rPr>
        <w:t xml:space="preserve"> Заключение, изменение, расторжение Договора и Дополнительных соглашений, с учетом Приложений.</w:t>
      </w:r>
      <w:r>
        <w:rPr>
          <w:rFonts w:ascii="Times New Roman" w:hAnsi="Times New Roman" w:cs="Times New Roman"/>
          <w:color w:val="00000a"/>
          <w:sz w:val="22"/>
          <w:szCs w:val="22"/>
        </w:rPr>
      </w:r>
      <w:r>
        <w:rPr>
          <w:rFonts w:ascii="Times New Roman" w:hAnsi="Times New Roman" w:cs="Times New Roman"/>
          <w:color w:val="00000a"/>
          <w:sz w:val="22"/>
          <w:szCs w:val="22"/>
        </w:rPr>
      </w:r>
    </w:p>
    <w:p>
      <w:pPr>
        <w:ind w:right="26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color w:val="00000a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a"/>
          <w:sz w:val="22"/>
          <w:szCs w:val="22"/>
          <w:lang w:eastAsia="en-US"/>
        </w:rPr>
        <w:t xml:space="preserve">8.3.3. Выставление и получение Счетов, универсальных передаточных документов, и иных электронных документов в сфере налогового, бухгалтерского и управленческого учета.</w:t>
      </w:r>
      <w:r>
        <w:rPr>
          <w:rFonts w:ascii="Times New Roman" w:hAnsi="Times New Roman" w:cs="Times New Roman"/>
          <w:color w:val="00000a"/>
          <w:sz w:val="22"/>
          <w:szCs w:val="22"/>
        </w:rPr>
      </w:r>
      <w:r>
        <w:rPr>
          <w:rFonts w:ascii="Times New Roman" w:hAnsi="Times New Roman" w:cs="Times New Roman"/>
          <w:color w:val="00000a"/>
          <w:sz w:val="22"/>
          <w:szCs w:val="22"/>
        </w:rPr>
      </w:r>
    </w:p>
    <w:p>
      <w:pPr>
        <w:ind w:right="26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color w:val="00000a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a"/>
          <w:sz w:val="22"/>
          <w:szCs w:val="22"/>
          <w:lang w:eastAsia="en-US"/>
        </w:rPr>
        <w:t xml:space="preserve">8.3.4. Подписание и направление Актов, в том числе актов сверки расчетов, актов выполненных работ, справок и информации о задолженности.</w:t>
      </w:r>
      <w:r>
        <w:rPr>
          <w:rFonts w:ascii="Times New Roman" w:hAnsi="Times New Roman" w:cs="Times New Roman"/>
          <w:color w:val="00000a"/>
          <w:sz w:val="22"/>
          <w:szCs w:val="22"/>
        </w:rPr>
      </w:r>
      <w:r>
        <w:rPr>
          <w:rFonts w:ascii="Times New Roman" w:hAnsi="Times New Roman" w:cs="Times New Roman"/>
          <w:color w:val="00000a"/>
          <w:sz w:val="22"/>
          <w:szCs w:val="22"/>
        </w:rPr>
      </w:r>
    </w:p>
    <w:p>
      <w:pPr>
        <w:ind w:right="26" w:firstLine="709"/>
        <w:jc w:val="both"/>
        <w:spacing w:after="0" w:line="240" w:lineRule="auto"/>
        <w:rPr>
          <w:rFonts w:ascii="Times New Roman" w:hAnsi="Times New Roman" w:cs="Times New Roman"/>
          <w:color w:val="00000a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a"/>
          <w:sz w:val="22"/>
          <w:szCs w:val="22"/>
          <w:lang w:eastAsia="en-US"/>
        </w:rPr>
        <w:t xml:space="preserve">8.4. Стороны признают, что получение документов, подписанных ЭП, эквивалентно получению документов на бумажном носителе и является необходимым и достаточным условием, позволяющим установить, что ЭДО исходит от Стороны, его направившей.</w:t>
      </w:r>
      <w:r>
        <w:rPr>
          <w:rFonts w:ascii="Times New Roman" w:hAnsi="Times New Roman" w:cs="Times New Roman"/>
          <w:color w:val="00000a"/>
          <w:sz w:val="22"/>
          <w:szCs w:val="22"/>
        </w:rPr>
      </w:r>
      <w:r>
        <w:rPr>
          <w:rFonts w:ascii="Times New Roman" w:hAnsi="Times New Roman" w:cs="Times New Roman"/>
          <w:color w:val="00000a"/>
          <w:sz w:val="22"/>
          <w:szCs w:val="22"/>
        </w:rPr>
      </w:r>
    </w:p>
    <w:p>
      <w:pPr>
        <w:ind w:right="26" w:firstLine="709"/>
        <w:jc w:val="both"/>
        <w:spacing w:after="0" w:line="240" w:lineRule="auto"/>
        <w:tabs>
          <w:tab w:val="left" w:pos="284" w:leader="none"/>
        </w:tabs>
        <w:rPr>
          <w:rFonts w:ascii="Times New Roman" w:hAnsi="Times New Roman" w:cs="Times New Roman"/>
          <w:color w:val="00000a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a"/>
          <w:sz w:val="22"/>
          <w:szCs w:val="22"/>
          <w:lang w:eastAsia="en-US"/>
        </w:rPr>
        <w:t xml:space="preserve">8.5. Стороны обязаны информировать друг друга о невозможности обмена д</w:t>
      </w:r>
      <w:r>
        <w:rPr>
          <w:rFonts w:ascii="Times New Roman" w:hAnsi="Times New Roman" w:eastAsia="Times New Roman" w:cs="Times New Roman"/>
          <w:color w:val="00000a"/>
          <w:sz w:val="22"/>
          <w:szCs w:val="22"/>
          <w:lang w:eastAsia="en-US"/>
        </w:rPr>
        <w:t xml:space="preserve">окументами в электронном виде, подписанными ЭП, в том числе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подписью.</w:t>
      </w:r>
      <w:r>
        <w:rPr>
          <w:rFonts w:ascii="Times New Roman" w:hAnsi="Times New Roman" w:cs="Times New Roman"/>
          <w:color w:val="00000a"/>
          <w:sz w:val="22"/>
          <w:szCs w:val="22"/>
        </w:rPr>
      </w:r>
      <w:r>
        <w:rPr>
          <w:rFonts w:ascii="Times New Roman" w:hAnsi="Times New Roman" w:cs="Times New Roman"/>
          <w:color w:val="00000a"/>
          <w:sz w:val="22"/>
          <w:szCs w:val="22"/>
        </w:rPr>
      </w:r>
    </w:p>
    <w:p>
      <w:pPr>
        <w:pStyle w:val="709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70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</w:rPr>
        <w:t xml:space="preserve">9. СРОК ДЕЙСТВИЯ ДОГОВОРА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ab/>
        <w:t xml:space="preserve">9.1. Настоящий Договор вступает в силу с момента подписания его Сторонами и действует до 31.12.2026 года, в части расчетов - до исполнения обязательств, принятых на себя по настоящему Договору.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ab/>
        <w:t xml:space="preserve">9.2. Изменения и расторжение настояще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го Договора возможны по соглашению, подписанному сторонами. При этом инициативная сторона направляет другой стороне за 10 дней до предполагаемого срока расторжения Договора проект Соглашения, который рассматривается другой Стороной в течение 3 (трех) дней.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74"/>
        <w:jc w:val="center"/>
        <w:keepNext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874"/>
        <w:jc w:val="center"/>
        <w:keepNext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874"/>
        <w:jc w:val="center"/>
        <w:keepNext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 xml:space="preserve">10. АРБИТРАЖ И РУКОВОДЯЩИЙ ЗАКОН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857"/>
        <w:jc w:val="both"/>
        <w:spacing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ab/>
        <w:t xml:space="preserve">10.1. Если Стороны не могут прийти к согласию, то данное разногласие должно быть урегулировано Арбитражным судом Санкт-Петербурга и Ленинградской области.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ab/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jc w:val="both"/>
        <w:spacing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ab/>
        <w:t xml:space="preserve">10.2. 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Настоящий Договор составлен в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 форме электронного документа, подписанного усиленными электронными подписями Сторон. Стороны вправе изготовить копию Договора на бумажном носителе с проставлением печатей, в 2-х экземплярах, имеющих равную юридическую силу, по одному для каждой из Сторон.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74"/>
        <w:jc w:val="center"/>
        <w:keepNext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874"/>
        <w:jc w:val="center"/>
        <w:keepNext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 xml:space="preserve">11. ЮРИДИЧЕСКИЕ АДРЕСА И РЕКВИЗИТЫ СТОРОН</w:t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85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tbl>
      <w:tblPr>
        <w:tblW w:w="15416" w:type="dxa"/>
        <w:tblInd w:w="23" w:type="dxa"/>
        <w:tblLayout w:type="fixed"/>
        <w:tblLook w:val="04A0" w:firstRow="1" w:lastRow="0" w:firstColumn="1" w:lastColumn="0" w:noHBand="0" w:noVBand="1"/>
      </w:tblPr>
      <w:tblGrid>
        <w:gridCol w:w="4936"/>
        <w:gridCol w:w="5240"/>
        <w:gridCol w:w="5240"/>
      </w:tblGrid>
      <w:tr>
        <w:tblPrEx/>
        <w:trPr>
          <w:trHeight w:val="1417"/>
        </w:trPr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36" w:type="dxa"/>
            <w:textDirection w:val="lrTb"/>
            <w:noWrap w:val="false"/>
          </w:tcPr>
          <w:p>
            <w:pPr>
              <w:pStyle w:val="8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u-RU"/>
              </w:rPr>
              <w:t xml:space="preserve">ИСПОЛНИТЕЛЬ: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8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40" w:type="dxa"/>
            <w:textDirection w:val="lrTb"/>
            <w:noWrap w:val="false"/>
          </w:tcPr>
          <w:p>
            <w:pPr>
              <w:contextualSpacing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ЗАКАЗЧИК: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МОБУ «Муринская СОШ № 5»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  <w:p>
            <w:pPr>
              <w:spacing w:after="0" w:line="240" w:lineRule="auto"/>
              <w:tabs>
                <w:tab w:val="left" w:pos="4678" w:leader="none"/>
              </w:tabs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188678, Ленинградская область, м.р-н Всеволожский, г.п. Муринское, г. Мурино, ул. Шоссе в Лаврики, д. 66 к. 2.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ИНН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4703177489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КПП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470301001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ОГРН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1204700014881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ОКПО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45344240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ОКАТО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41212504000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ОКТМО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41612103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ОКОГУ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4210007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ОКФС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14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ОКОПФ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75403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ОКВЭД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85.13, 85.14, 85.12,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85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.11, 68.20.2, 86.90.9, 88.91, 85.41,85.42.9, 56.29, 93.29.9, 93.19, 93.11, 91.01,90.03, 90.01, 88.10, 63.99.1, 49.31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Р/счет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03234643416120004500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К/счет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40102810745370000098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Лицевые счета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20015510109, 20015410109, 21015310109 в КФ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ru-RU"/>
              </w:rPr>
              <w:t xml:space="preserve">администрации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Всеволожского муниципального района ЛО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Банк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  <w:t xml:space="preserve">Операционно-кассовый центр № 1 Северо-Западного главного управления Центрального банка Российской Федерации (сокращенное наименование - ОКЦ № 1 Северо-Западного ГУ Банка России)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БИК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044030098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  <w:p>
            <w:pPr>
              <w:pStyle w:val="880"/>
              <w:ind w:right="3058" w:hanging="10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e-mail:</w:t>
            </w: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  <w:lang w:val="en-US"/>
              </w:rPr>
              <w:t xml:space="preserve"> </w:t>
            </w:r>
            <w:hyperlink r:id="rId9" w:tooltip="mailto:info@mur5.ru" w:history="1">
              <w:r>
                <w:rPr>
                  <w:rFonts w:ascii="Times New Roman" w:hAnsi="Times New Roman" w:eastAsia="Times New Roman" w:cs="Times New Roman"/>
                  <w:sz w:val="22"/>
                  <w:szCs w:val="22"/>
                  <w:lang w:val="en-US"/>
                </w:rPr>
                <w:t xml:space="preserve">info@mur5.ru</w:t>
              </w:r>
            </w:hyperlink>
            <w:r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тел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+7 911</w:t>
            </w: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080</w:t>
            </w: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80 </w:t>
            </w: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 xml:space="preserve">37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240" w:type="dxa"/>
            <w:textDirection w:val="lrTb"/>
            <w:noWrap w:val="false"/>
          </w:tcPr>
          <w:p>
            <w:pPr>
              <w:pStyle w:val="8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u-RU"/>
              </w:rPr>
              <w:t xml:space="preserve">ПОКУПАТЕЛЬ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  <w:t xml:space="preserve">: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8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</w:tbl>
    <w:p>
      <w:pPr>
        <w:pStyle w:val="85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pStyle w:val="85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 xml:space="preserve">12. ПОДПИСИ СТОРОН.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tbl>
      <w:tblPr>
        <w:tblW w:w="0" w:type="auto"/>
        <w:tblInd w:w="23" w:type="dxa"/>
        <w:tblLayout w:type="fixed"/>
        <w:tblLook w:val="04A0" w:firstRow="1" w:lastRow="0" w:firstColumn="1" w:lastColumn="0" w:noHBand="0" w:noVBand="1"/>
      </w:tblPr>
      <w:tblGrid>
        <w:gridCol w:w="4939"/>
        <w:gridCol w:w="5265"/>
      </w:tblGrid>
      <w:tr>
        <w:tblPrEx/>
        <w:trPr>
          <w:trHeight w:val="1836"/>
        </w:trPr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39" w:type="dxa"/>
            <w:textDirection w:val="lrTb"/>
            <w:noWrap w:val="false"/>
          </w:tcPr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265" w:type="dxa"/>
            <w:textDirection w:val="lrTb"/>
            <w:noWrap w:val="false"/>
          </w:tcPr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 Директор </w:t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МОБУ «Муринская СОШ № 5»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                                                              ____________________/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 xml:space="preserve">Шенкевич Г.Б./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</w:tc>
      </w:tr>
    </w:tbl>
    <w:p>
      <w:pPr>
        <w:pStyle w:val="85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jc w:val="right"/>
        <w:rPr>
          <w:rFonts w:ascii="Times New Roman" w:hAnsi="Times New Roman" w:cs="Times New Roman"/>
          <w:caps/>
          <w:sz w:val="22"/>
          <w:szCs w:val="22"/>
        </w:rPr>
      </w:pPr>
      <w:r>
        <w:rPr>
          <w:rFonts w:ascii="Times New Roman" w:hAnsi="Times New Roman" w:cs="Times New Roman"/>
          <w:caps/>
          <w:sz w:val="22"/>
          <w:szCs w:val="22"/>
        </w:rPr>
      </w:r>
      <w:r>
        <w:rPr>
          <w:rFonts w:ascii="Times New Roman" w:hAnsi="Times New Roman" w:cs="Times New Roman"/>
          <w:caps/>
          <w:sz w:val="22"/>
          <w:szCs w:val="22"/>
        </w:rPr>
      </w:r>
      <w:r>
        <w:rPr>
          <w:rFonts w:ascii="Times New Roman" w:hAnsi="Times New Roman" w:cs="Times New Roman"/>
          <w:caps/>
          <w:sz w:val="22"/>
          <w:szCs w:val="22"/>
        </w:rPr>
      </w:r>
    </w:p>
    <w:p>
      <w:pPr>
        <w:pStyle w:val="857"/>
        <w:jc w:val="right"/>
        <w:rPr>
          <w:rFonts w:ascii="Times New Roman" w:hAnsi="Times New Roman" w:cs="Times New Roman"/>
          <w:caps/>
          <w:sz w:val="22"/>
          <w:szCs w:val="22"/>
        </w:rPr>
      </w:pPr>
      <w:r>
        <w:rPr>
          <w:rFonts w:ascii="Times New Roman" w:hAnsi="Times New Roman" w:cs="Times New Roman"/>
          <w:caps/>
          <w:sz w:val="22"/>
          <w:szCs w:val="22"/>
        </w:rPr>
      </w:r>
      <w:r>
        <w:rPr>
          <w:rFonts w:ascii="Times New Roman" w:hAnsi="Times New Roman" w:cs="Times New Roman"/>
          <w:caps/>
          <w:sz w:val="22"/>
          <w:szCs w:val="22"/>
        </w:rPr>
      </w:r>
      <w:r>
        <w:rPr>
          <w:rFonts w:ascii="Times New Roman" w:hAnsi="Times New Roman" w:cs="Times New Roman"/>
          <w:caps/>
          <w:sz w:val="22"/>
          <w:szCs w:val="22"/>
        </w:rPr>
      </w:r>
    </w:p>
    <w:p>
      <w:pPr>
        <w:pStyle w:val="857"/>
        <w:jc w:val="right"/>
        <w:rPr>
          <w:rFonts w:ascii="Times New Roman" w:hAnsi="Times New Roman" w:cs="Times New Roman"/>
          <w:caps/>
          <w:sz w:val="22"/>
          <w:szCs w:val="22"/>
        </w:rPr>
      </w:pPr>
      <w:r>
        <w:rPr>
          <w:rFonts w:ascii="Times New Roman" w:hAnsi="Times New Roman" w:cs="Times New Roman"/>
          <w:caps/>
          <w:sz w:val="22"/>
          <w:szCs w:val="22"/>
        </w:rPr>
      </w:r>
      <w:r>
        <w:rPr>
          <w:rFonts w:ascii="Times New Roman" w:hAnsi="Times New Roman" w:cs="Times New Roman"/>
          <w:caps/>
          <w:sz w:val="22"/>
          <w:szCs w:val="22"/>
        </w:rPr>
      </w:r>
      <w:r>
        <w:rPr>
          <w:rFonts w:ascii="Times New Roman" w:hAnsi="Times New Roman" w:cs="Times New Roman"/>
          <w:caps/>
          <w:sz w:val="22"/>
          <w:szCs w:val="22"/>
        </w:rPr>
      </w:r>
    </w:p>
    <w:p>
      <w:pPr>
        <w:pStyle w:val="857"/>
        <w:jc w:val="right"/>
        <w:rPr>
          <w:rFonts w:ascii="Times New Roman" w:hAnsi="Times New Roman" w:cs="Times New Roman"/>
          <w:caps/>
          <w:sz w:val="22"/>
          <w:szCs w:val="22"/>
        </w:rPr>
      </w:pPr>
      <w:r>
        <w:rPr>
          <w:rFonts w:ascii="Times New Roman" w:hAnsi="Times New Roman" w:eastAsia="Times New Roman" w:cs="Times New Roman"/>
          <w:caps/>
          <w:sz w:val="22"/>
          <w:szCs w:val="22"/>
          <w:lang w:val="ru-RU"/>
        </w:rPr>
      </w:r>
      <w:r>
        <w:rPr>
          <w:rFonts w:ascii="Times New Roman" w:hAnsi="Times New Roman" w:cs="Times New Roman"/>
          <w:caps/>
          <w:sz w:val="22"/>
          <w:szCs w:val="22"/>
        </w:rPr>
      </w:r>
      <w:r>
        <w:rPr>
          <w:rFonts w:ascii="Times New Roman" w:hAnsi="Times New Roman" w:cs="Times New Roman"/>
          <w:caps/>
          <w:sz w:val="22"/>
          <w:szCs w:val="22"/>
        </w:rPr>
      </w:r>
    </w:p>
    <w:p>
      <w:pPr>
        <w:pStyle w:val="857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caps/>
          <w:sz w:val="22"/>
          <w:szCs w:val="22"/>
          <w:lang w:val="ru-RU"/>
        </w:rPr>
        <w:t xml:space="preserve">Приложение №1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ind w:left="723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к договору №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ind w:left="6663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               от «   » 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               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2026 г.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  <w:lang w:val="ru-RU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С П Е Ц И Ф И К А Ц И Я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tbl>
      <w:tblPr>
        <w:tblW w:w="5000" w:type="pct"/>
        <w:tblInd w:w="-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1276"/>
        <w:gridCol w:w="1843"/>
        <w:gridCol w:w="1858"/>
      </w:tblGrid>
      <w:tr>
        <w:tblPrEx/>
        <w:trPr>
          <w:trHeight w:val="1014"/>
        </w:trPr>
        <w:tc>
          <w:tcPr>
            <w:shd w:val="clear" w:color="auto" w:fill="e0e0e0"/>
            <w:tcW w:w="51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Наименование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e0e0e0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Кол-во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мес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.)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e0e0e0"/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Цена (руб.)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e0e0e0"/>
            <w:tcW w:w="18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Сумма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(руб.)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63"/>
        </w:trPr>
        <w:tc>
          <w:tcPr>
            <w:shd w:val="clear" w:color="auto" w:fill="ffffff"/>
            <w:tcW w:w="510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амер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видео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наблюдения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Trassir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TR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D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8121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CL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FTC IP уличная для полноцветной ночной съемки. Матрица 1/2.8" CMOS 2Мп, чувствительность: 0.0015Лк (F1.0) / 0Лк (LED вкл.), разрешение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FullHD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(1920x1080) @ 25 к/с, объектив 2,8 мм, режим "день/ночь" (FTC), кодек H.265+,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real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WDR (120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dB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), 3D-DNR, ROI,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Defog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, встроенный микрофон, встроенный видеоархив (Edge Storage) -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MicroSD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до 128 Гб, LED-подсветка до 25 м; питание 12В DC или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PoE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(802.3af), -40°C ... +60°C, IP66, TVS 4000V. Встроенная аналитика: детектор людей, детектор пересечения линии, детектор контроля области. Поддержка TRASSIR CLOUD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ffffff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 xml:space="preserve">27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</w:p>
        </w:tc>
        <w:tc>
          <w:tcPr>
            <w:shd w:val="clear" w:color="auto" w:fill="ffffff"/>
            <w:tcW w:w="1843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fffff"/>
            <w:tcW w:w="1858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92"/>
        </w:trPr>
        <w:tc>
          <w:tcPr>
            <w:tcW w:w="510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Итог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руб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3"/>
            <w:tcW w:w="497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507"/>
        </w:trPr>
        <w:tc>
          <w:tcPr>
            <w:tcW w:w="510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НДС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3"/>
            <w:tcW w:w="497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</w:tbl>
    <w:p>
      <w:pPr>
        <w:pStyle w:val="85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tbl>
      <w:tblPr>
        <w:tblW w:w="10591" w:type="dxa"/>
        <w:tblInd w:w="23" w:type="dxa"/>
        <w:tblLayout w:type="fixed"/>
        <w:tblLook w:val="04A0" w:firstRow="1" w:lastRow="0" w:firstColumn="1" w:lastColumn="0" w:noHBand="0" w:noVBand="1"/>
      </w:tblPr>
      <w:tblGrid>
        <w:gridCol w:w="4994"/>
        <w:gridCol w:w="5597"/>
      </w:tblGrid>
      <w:tr>
        <w:tblPrEx/>
        <w:trPr>
          <w:trHeight w:val="2479"/>
        </w:trPr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94" w:type="dxa"/>
            <w:textDirection w:val="lrTb"/>
            <w:noWrap w:val="false"/>
          </w:tcPr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97" w:type="dxa"/>
            <w:textDirection w:val="lrTb"/>
            <w:noWrap w:val="false"/>
          </w:tcPr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 Директор </w:t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МОБУ «Муринская СОШ № 5»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  <w:t xml:space="preserve">                                                              ____________________/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</w:rPr>
              <w:t xml:space="preserve">Шенкевич Г.Б./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  <w:p>
            <w:pPr>
              <w:pStyle w:val="857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  <w:szCs w:val="22"/>
                <w:lang w:val="ru-RU"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  <w:p>
            <w:pPr>
              <w:pStyle w:val="8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u-RU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</w:tbl>
    <w:p>
      <w:pPr>
        <w:pStyle w:val="857"/>
        <w:ind w:right="-76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sectPr>
      <w:footnotePr/>
      <w:endnotePr/>
      <w:type w:val="nextPage"/>
      <w:pgSz w:w="11906" w:h="16838" w:orient="portrait"/>
      <w:pgMar w:top="567" w:right="1021" w:bottom="567" w:left="794" w:header="720" w:footer="72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 Light">
    <w:panose1 w:val="020F030202020403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3"/>
      <w:numFmt w:val="decimal"/>
      <w:isLgl w:val="false"/>
      <w:suff w:val="tab"/>
      <w:lvlText w:val="%1.%2."/>
      <w:lvlJc w:val="left"/>
      <w:pPr>
        <w:ind w:left="54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-198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-14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-45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-39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-702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-648" w:hanging="180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pStyle w:val="676"/>
      <w:isLgl w:val="false"/>
      <w:suff w:val="tab"/>
      <w:lvlText w:val=""/>
      <w:lvlJc w:val="left"/>
      <w:pPr>
        <w:ind w:left="432" w:hanging="432"/>
      </w:pPr>
    </w:lvl>
    <w:lvl w:ilvl="1">
      <w:start w:val="1"/>
      <w:numFmt w:val="decimal"/>
      <w:isLgl w:val="false"/>
      <w:suff w:val="tab"/>
      <w:lvlText w:val=""/>
      <w:lvlJc w:val="left"/>
      <w:pPr>
        <w:ind w:left="576" w:hanging="576"/>
      </w:pPr>
    </w:lvl>
    <w:lvl w:ilvl="2">
      <w:start w:val="1"/>
      <w:numFmt w:val="decimal"/>
      <w:isLgl w:val="false"/>
      <w:suff w:val="tab"/>
      <w:lvlText w:val="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"/>
      <w:lvlJc w:val="left"/>
      <w:pPr>
        <w:ind w:left="864" w:hanging="864"/>
      </w:pPr>
    </w:lvl>
    <w:lvl w:ilvl="4">
      <w:start w:val="1"/>
      <w:numFmt w:val="decimal"/>
      <w:isLgl w:val="false"/>
      <w:suff w:val="tab"/>
      <w:lvlText w:val=""/>
      <w:lvlJc w:val="left"/>
      <w:pPr>
        <w:ind w:left="1008" w:hanging="1008"/>
      </w:pPr>
    </w:lvl>
    <w:lvl w:ilvl="5">
      <w:start w:val="1"/>
      <w:numFmt w:val="decimal"/>
      <w:isLgl w:val="false"/>
      <w:suff w:val="tab"/>
      <w:lvlText w:val=""/>
      <w:lvlJc w:val="left"/>
      <w:pPr>
        <w:ind w:left="1152" w:hanging="1152"/>
      </w:pPr>
    </w:lvl>
    <w:lvl w:ilvl="6">
      <w:start w:val="1"/>
      <w:numFmt w:val="decimal"/>
      <w:isLgl w:val="false"/>
      <w:suff w:val="tab"/>
      <w:lvlText w:val=""/>
      <w:lvlJc w:val="left"/>
      <w:pPr>
        <w:ind w:left="1296" w:hanging="1296"/>
      </w:pPr>
    </w:lvl>
    <w:lvl w:ilvl="7">
      <w:start w:val="1"/>
      <w:numFmt w:val="decimal"/>
      <w:isLgl w:val="false"/>
      <w:suff w:val="tab"/>
      <w:lvlText w:val="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"/>
      <w:lvlJc w:val="left"/>
      <w:pPr>
        <w:ind w:left="1584" w:hanging="1584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685"/>
    <w:link w:val="676"/>
    <w:uiPriority w:val="9"/>
    <w:rPr>
      <w:rFonts w:ascii="Arial" w:hAnsi="Arial" w:eastAsia="Arial" w:cs="Arial"/>
      <w:sz w:val="40"/>
      <w:szCs w:val="40"/>
    </w:rPr>
  </w:style>
  <w:style w:type="character" w:styleId="661">
    <w:name w:val="Heading 4 Char"/>
    <w:basedOn w:val="685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662">
    <w:name w:val="Heading 5 Char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63">
    <w:name w:val="Heading 6 Char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64">
    <w:name w:val="Heading 7 Char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5">
    <w:name w:val="Heading 8 Char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66">
    <w:name w:val="Heading 9 Char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character" w:styleId="667">
    <w:name w:val="Title Char"/>
    <w:basedOn w:val="685"/>
    <w:link w:val="699"/>
    <w:uiPriority w:val="10"/>
    <w:rPr>
      <w:sz w:val="48"/>
      <w:szCs w:val="48"/>
    </w:rPr>
  </w:style>
  <w:style w:type="character" w:styleId="668">
    <w:name w:val="Subtitle Char"/>
    <w:basedOn w:val="685"/>
    <w:link w:val="701"/>
    <w:uiPriority w:val="11"/>
    <w:rPr>
      <w:sz w:val="24"/>
      <w:szCs w:val="24"/>
    </w:rPr>
  </w:style>
  <w:style w:type="character" w:styleId="669">
    <w:name w:val="Quote Char"/>
    <w:link w:val="703"/>
    <w:uiPriority w:val="29"/>
    <w:rPr>
      <w:i/>
    </w:rPr>
  </w:style>
  <w:style w:type="character" w:styleId="670">
    <w:name w:val="Intense Quote Char"/>
    <w:link w:val="705"/>
    <w:uiPriority w:val="30"/>
    <w:rPr>
      <w:i/>
    </w:rPr>
  </w:style>
  <w:style w:type="character" w:styleId="671">
    <w:name w:val="Footer Char"/>
    <w:basedOn w:val="685"/>
    <w:link w:val="709"/>
    <w:uiPriority w:val="99"/>
  </w:style>
  <w:style w:type="character" w:styleId="672">
    <w:name w:val="Caption Char"/>
    <w:basedOn w:val="685"/>
    <w:link w:val="711"/>
    <w:uiPriority w:val="35"/>
    <w:rPr>
      <w:b/>
      <w:bCs/>
      <w:color w:val="4f81bd" w:themeColor="accent1"/>
      <w:sz w:val="18"/>
      <w:szCs w:val="18"/>
    </w:rPr>
  </w:style>
  <w:style w:type="character" w:styleId="673">
    <w:name w:val="Footnote Text Char"/>
    <w:link w:val="840"/>
    <w:uiPriority w:val="99"/>
    <w:rPr>
      <w:sz w:val="18"/>
    </w:rPr>
  </w:style>
  <w:style w:type="character" w:styleId="674">
    <w:name w:val="Endnote Text Char"/>
    <w:link w:val="843"/>
    <w:uiPriority w:val="99"/>
    <w:rPr>
      <w:sz w:val="20"/>
    </w:rPr>
  </w:style>
  <w:style w:type="paragraph" w:styleId="675" w:default="1">
    <w:name w:val="Normal"/>
    <w:qFormat/>
    <w:pPr>
      <w:spacing w:after="200" w:line="276" w:lineRule="auto"/>
    </w:pPr>
    <w:rPr>
      <w:sz w:val="22"/>
      <w:szCs w:val="22"/>
    </w:rPr>
  </w:style>
  <w:style w:type="paragraph" w:styleId="676">
    <w:name w:val="Heading 1"/>
    <w:basedOn w:val="857"/>
    <w:next w:val="858"/>
    <w:link w:val="688"/>
    <w:pPr>
      <w:numPr>
        <w:ilvl w:val="0"/>
        <w:numId w:val="1"/>
      </w:numPr>
      <w:keepNext/>
      <w:outlineLvl w:val="0"/>
    </w:pPr>
    <w:rPr>
      <w:b/>
      <w:bCs/>
      <w:i/>
      <w:iCs/>
      <w:sz w:val="36"/>
      <w:szCs w:val="28"/>
      <w:u w:val="single"/>
      <w:lang w:val="ru-RU" w:eastAsia="ru-RU"/>
    </w:rPr>
  </w:style>
  <w:style w:type="paragraph" w:styleId="677">
    <w:name w:val="Heading 2"/>
    <w:basedOn w:val="675"/>
    <w:next w:val="675"/>
    <w:link w:val="859"/>
    <w:uiPriority w:val="9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678">
    <w:name w:val="Heading 3"/>
    <w:basedOn w:val="675"/>
    <w:next w:val="675"/>
    <w:link w:val="860"/>
    <w:uiPriority w:val="9"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679">
    <w:name w:val="Heading 4"/>
    <w:basedOn w:val="675"/>
    <w:next w:val="675"/>
    <w:link w:val="69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0">
    <w:name w:val="Heading 5"/>
    <w:basedOn w:val="675"/>
    <w:next w:val="675"/>
    <w:link w:val="69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675"/>
    <w:next w:val="675"/>
    <w:link w:val="69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2">
    <w:name w:val="Heading 7"/>
    <w:basedOn w:val="675"/>
    <w:next w:val="675"/>
    <w:link w:val="69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3">
    <w:name w:val="Heading 8"/>
    <w:basedOn w:val="675"/>
    <w:next w:val="675"/>
    <w:link w:val="69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4">
    <w:name w:val="Heading 9"/>
    <w:basedOn w:val="675"/>
    <w:next w:val="675"/>
    <w:link w:val="69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 w:default="1">
    <w:name w:val="Default Paragraph Font"/>
    <w:uiPriority w:val="1"/>
    <w:semiHidden/>
    <w:unhideWhenUsed/>
  </w:style>
  <w:style w:type="table" w:styleId="6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7" w:default="1">
    <w:name w:val="No List"/>
    <w:uiPriority w:val="99"/>
    <w:semiHidden/>
    <w:unhideWhenUsed/>
  </w:style>
  <w:style w:type="character" w:styleId="688" w:customStyle="1">
    <w:name w:val="Заголовок 1 Знак1"/>
    <w:link w:val="676"/>
    <w:uiPriority w:val="9"/>
    <w:rPr>
      <w:rFonts w:ascii="Arial" w:hAnsi="Arial" w:eastAsia="Arial" w:cs="Arial"/>
      <w:sz w:val="40"/>
      <w:szCs w:val="40"/>
    </w:rPr>
  </w:style>
  <w:style w:type="character" w:styleId="689" w:customStyle="1">
    <w:name w:val="Heading 2 Char"/>
    <w:uiPriority w:val="9"/>
    <w:rPr>
      <w:rFonts w:ascii="Arial" w:hAnsi="Arial" w:eastAsia="Arial" w:cs="Arial"/>
      <w:sz w:val="34"/>
    </w:rPr>
  </w:style>
  <w:style w:type="character" w:styleId="690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691" w:customStyle="1">
    <w:name w:val="Заголовок 4 Знак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692" w:customStyle="1">
    <w:name w:val="Заголовок 5 Знак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93" w:customStyle="1">
    <w:name w:val="Заголовок 6 Знак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694" w:customStyle="1">
    <w:name w:val="Заголовок 7 Знак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 w:customStyle="1">
    <w:name w:val="Заголовок 8 Знак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6" w:customStyle="1">
    <w:name w:val="Заголовок 9 Знак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97">
    <w:name w:val="List Paragraph"/>
    <w:basedOn w:val="675"/>
    <w:uiPriority w:val="1"/>
    <w:qFormat/>
    <w:pPr>
      <w:contextualSpacing/>
      <w:ind w:left="720"/>
    </w:pPr>
  </w:style>
  <w:style w:type="paragraph" w:styleId="698">
    <w:name w:val="No Spacing"/>
    <w:uiPriority w:val="1"/>
    <w:qFormat/>
  </w:style>
  <w:style w:type="paragraph" w:styleId="699">
    <w:name w:val="Title"/>
    <w:basedOn w:val="675"/>
    <w:next w:val="675"/>
    <w:link w:val="700"/>
    <w:uiPriority w:val="10"/>
    <w:qFormat/>
    <w:pPr>
      <w:contextualSpacing/>
      <w:spacing w:before="300"/>
    </w:pPr>
    <w:rPr>
      <w:sz w:val="48"/>
      <w:szCs w:val="48"/>
    </w:rPr>
  </w:style>
  <w:style w:type="character" w:styleId="700" w:customStyle="1">
    <w:name w:val="Заголовок Знак"/>
    <w:link w:val="699"/>
    <w:uiPriority w:val="10"/>
    <w:rPr>
      <w:sz w:val="48"/>
      <w:szCs w:val="48"/>
    </w:rPr>
  </w:style>
  <w:style w:type="paragraph" w:styleId="701">
    <w:name w:val="Subtitle"/>
    <w:basedOn w:val="675"/>
    <w:next w:val="675"/>
    <w:link w:val="702"/>
    <w:uiPriority w:val="11"/>
    <w:qFormat/>
    <w:pPr>
      <w:spacing w:before="200"/>
    </w:pPr>
    <w:rPr>
      <w:sz w:val="24"/>
      <w:szCs w:val="24"/>
    </w:rPr>
  </w:style>
  <w:style w:type="character" w:styleId="702" w:customStyle="1">
    <w:name w:val="Подзаголовок Знак"/>
    <w:link w:val="701"/>
    <w:uiPriority w:val="11"/>
    <w:rPr>
      <w:sz w:val="24"/>
      <w:szCs w:val="24"/>
    </w:rPr>
  </w:style>
  <w:style w:type="paragraph" w:styleId="703">
    <w:name w:val="Quote"/>
    <w:basedOn w:val="675"/>
    <w:next w:val="675"/>
    <w:link w:val="704"/>
    <w:uiPriority w:val="29"/>
    <w:qFormat/>
    <w:pPr>
      <w:ind w:left="720" w:right="720"/>
    </w:pPr>
    <w:rPr>
      <w:i/>
    </w:rPr>
  </w:style>
  <w:style w:type="character" w:styleId="704" w:customStyle="1">
    <w:name w:val="Цитата 2 Знак"/>
    <w:link w:val="703"/>
    <w:uiPriority w:val="29"/>
    <w:rPr>
      <w:i/>
    </w:rPr>
  </w:style>
  <w:style w:type="paragraph" w:styleId="705">
    <w:name w:val="Intense Quote"/>
    <w:basedOn w:val="675"/>
    <w:next w:val="675"/>
    <w:link w:val="70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6" w:customStyle="1">
    <w:name w:val="Выделенная цитата Знак"/>
    <w:link w:val="705"/>
    <w:uiPriority w:val="30"/>
    <w:rPr>
      <w:i/>
    </w:rPr>
  </w:style>
  <w:style w:type="paragraph" w:styleId="707">
    <w:name w:val="Header"/>
    <w:basedOn w:val="675"/>
    <w:link w:val="86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08" w:customStyle="1">
    <w:name w:val="Header Char"/>
    <w:uiPriority w:val="99"/>
  </w:style>
  <w:style w:type="paragraph" w:styleId="709">
    <w:name w:val="Footer"/>
    <w:basedOn w:val="675"/>
    <w:link w:val="710"/>
    <w:pPr>
      <w:tabs>
        <w:tab w:val="left" w:pos="709" w:leader="none"/>
        <w:tab w:val="center" w:pos="4536" w:leader="none"/>
        <w:tab w:val="right" w:pos="9072" w:leader="none"/>
      </w:tabs>
      <w:suppressLineNumbers/>
    </w:pPr>
    <w:rPr>
      <w:sz w:val="20"/>
      <w:szCs w:val="20"/>
    </w:rPr>
  </w:style>
  <w:style w:type="character" w:styleId="710" w:customStyle="1">
    <w:name w:val="Нижний колонтитул Знак"/>
    <w:link w:val="709"/>
    <w:uiPriority w:val="99"/>
  </w:style>
  <w:style w:type="paragraph" w:styleId="711">
    <w:name w:val="Caption"/>
    <w:basedOn w:val="675"/>
    <w:next w:val="675"/>
    <w:link w:val="71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2" w:customStyle="1">
    <w:name w:val="Название объекта Знак"/>
    <w:link w:val="711"/>
    <w:uiPriority w:val="35"/>
    <w:rPr>
      <w:b/>
      <w:bCs/>
      <w:color w:val="4f81bd" w:themeColor="accent1"/>
      <w:sz w:val="18"/>
      <w:szCs w:val="18"/>
    </w:rPr>
  </w:style>
  <w:style w:type="table" w:styleId="713">
    <w:name w:val="Table Grid"/>
    <w:basedOn w:val="686"/>
    <w:uiPriority w:val="59"/>
    <w:tblPr/>
  </w:style>
  <w:style w:type="table" w:styleId="714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5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8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0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3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4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5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6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7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8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5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6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7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8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9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0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3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5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6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8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0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3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4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5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6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7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8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9">
    <w:name w:val="Hyperlink"/>
    <w:uiPriority w:val="99"/>
    <w:unhideWhenUsed/>
    <w:rPr>
      <w:color w:val="0000ff"/>
      <w:u w:val="single"/>
    </w:rPr>
  </w:style>
  <w:style w:type="paragraph" w:styleId="840">
    <w:name w:val="footnote text"/>
    <w:basedOn w:val="675"/>
    <w:link w:val="841"/>
    <w:uiPriority w:val="99"/>
    <w:semiHidden/>
    <w:unhideWhenUsed/>
    <w:pPr>
      <w:spacing w:after="40" w:line="240" w:lineRule="auto"/>
    </w:pPr>
    <w:rPr>
      <w:sz w:val="18"/>
    </w:rPr>
  </w:style>
  <w:style w:type="character" w:styleId="841" w:customStyle="1">
    <w:name w:val="Текст сноски Знак"/>
    <w:link w:val="840"/>
    <w:uiPriority w:val="99"/>
    <w:rPr>
      <w:sz w:val="18"/>
    </w:rPr>
  </w:style>
  <w:style w:type="character" w:styleId="842">
    <w:name w:val="footnote reference"/>
    <w:uiPriority w:val="99"/>
    <w:unhideWhenUsed/>
    <w:rPr>
      <w:vertAlign w:val="superscript"/>
    </w:rPr>
  </w:style>
  <w:style w:type="paragraph" w:styleId="843">
    <w:name w:val="endnote text"/>
    <w:basedOn w:val="675"/>
    <w:link w:val="844"/>
    <w:uiPriority w:val="99"/>
    <w:semiHidden/>
    <w:unhideWhenUsed/>
    <w:pPr>
      <w:spacing w:after="0" w:line="240" w:lineRule="auto"/>
    </w:pPr>
    <w:rPr>
      <w:sz w:val="20"/>
    </w:rPr>
  </w:style>
  <w:style w:type="character" w:styleId="844" w:customStyle="1">
    <w:name w:val="Текст концевой сноски Знак"/>
    <w:link w:val="843"/>
    <w:uiPriority w:val="99"/>
    <w:rPr>
      <w:sz w:val="20"/>
    </w:rPr>
  </w:style>
  <w:style w:type="character" w:styleId="845">
    <w:name w:val="endnote reference"/>
    <w:uiPriority w:val="99"/>
    <w:semiHidden/>
    <w:unhideWhenUsed/>
    <w:rPr>
      <w:vertAlign w:val="superscript"/>
    </w:rPr>
  </w:style>
  <w:style w:type="paragraph" w:styleId="846">
    <w:name w:val="toc 1"/>
    <w:basedOn w:val="675"/>
    <w:next w:val="675"/>
    <w:uiPriority w:val="39"/>
    <w:unhideWhenUsed/>
    <w:pPr>
      <w:spacing w:after="57"/>
    </w:pPr>
  </w:style>
  <w:style w:type="paragraph" w:styleId="847">
    <w:name w:val="toc 2"/>
    <w:basedOn w:val="675"/>
    <w:next w:val="675"/>
    <w:uiPriority w:val="39"/>
    <w:unhideWhenUsed/>
    <w:pPr>
      <w:ind w:left="283"/>
      <w:spacing w:after="57"/>
    </w:pPr>
  </w:style>
  <w:style w:type="paragraph" w:styleId="848">
    <w:name w:val="toc 3"/>
    <w:basedOn w:val="675"/>
    <w:next w:val="675"/>
    <w:uiPriority w:val="39"/>
    <w:unhideWhenUsed/>
    <w:pPr>
      <w:ind w:left="567"/>
      <w:spacing w:after="57"/>
    </w:pPr>
  </w:style>
  <w:style w:type="paragraph" w:styleId="849">
    <w:name w:val="toc 4"/>
    <w:basedOn w:val="675"/>
    <w:next w:val="675"/>
    <w:uiPriority w:val="39"/>
    <w:unhideWhenUsed/>
    <w:pPr>
      <w:ind w:left="850"/>
      <w:spacing w:after="57"/>
    </w:pPr>
  </w:style>
  <w:style w:type="paragraph" w:styleId="850">
    <w:name w:val="toc 5"/>
    <w:basedOn w:val="675"/>
    <w:next w:val="675"/>
    <w:uiPriority w:val="39"/>
    <w:unhideWhenUsed/>
    <w:pPr>
      <w:ind w:left="1134"/>
      <w:spacing w:after="57"/>
    </w:pPr>
  </w:style>
  <w:style w:type="paragraph" w:styleId="851">
    <w:name w:val="toc 6"/>
    <w:basedOn w:val="675"/>
    <w:next w:val="675"/>
    <w:uiPriority w:val="39"/>
    <w:unhideWhenUsed/>
    <w:pPr>
      <w:ind w:left="1417"/>
      <w:spacing w:after="57"/>
    </w:pPr>
  </w:style>
  <w:style w:type="paragraph" w:styleId="852">
    <w:name w:val="toc 7"/>
    <w:basedOn w:val="675"/>
    <w:next w:val="675"/>
    <w:uiPriority w:val="39"/>
    <w:unhideWhenUsed/>
    <w:pPr>
      <w:ind w:left="1701"/>
      <w:spacing w:after="57"/>
    </w:pPr>
  </w:style>
  <w:style w:type="paragraph" w:styleId="853">
    <w:name w:val="toc 8"/>
    <w:basedOn w:val="675"/>
    <w:next w:val="675"/>
    <w:uiPriority w:val="39"/>
    <w:unhideWhenUsed/>
    <w:pPr>
      <w:ind w:left="1984"/>
      <w:spacing w:after="57"/>
    </w:pPr>
  </w:style>
  <w:style w:type="paragraph" w:styleId="854">
    <w:name w:val="toc 9"/>
    <w:basedOn w:val="675"/>
    <w:next w:val="675"/>
    <w:uiPriority w:val="39"/>
    <w:unhideWhenUsed/>
    <w:pPr>
      <w:ind w:left="2268"/>
      <w:spacing w:after="57"/>
    </w:pPr>
  </w:style>
  <w:style w:type="paragraph" w:styleId="855">
    <w:name w:val="TOC Heading"/>
    <w:uiPriority w:val="39"/>
    <w:unhideWhenUsed/>
  </w:style>
  <w:style w:type="paragraph" w:styleId="856">
    <w:name w:val="table of figures"/>
    <w:basedOn w:val="675"/>
    <w:next w:val="675"/>
    <w:uiPriority w:val="99"/>
    <w:unhideWhenUsed/>
    <w:pPr>
      <w:spacing w:after="0"/>
    </w:pPr>
  </w:style>
  <w:style w:type="paragraph" w:styleId="857" w:customStyle="1">
    <w:name w:val="Базовый"/>
    <w:pPr>
      <w:spacing w:line="200" w:lineRule="atLeast"/>
      <w:tabs>
        <w:tab w:val="left" w:pos="709" w:leader="none"/>
      </w:tabs>
    </w:pPr>
    <w:rPr>
      <w:rFonts w:ascii="Times New Roman" w:hAnsi="Times New Roman"/>
      <w:color w:val="00000a"/>
      <w:sz w:val="24"/>
      <w:szCs w:val="24"/>
      <w:lang w:val="en-US" w:eastAsia="en-US"/>
    </w:rPr>
  </w:style>
  <w:style w:type="paragraph" w:styleId="858">
    <w:name w:val="Body Text"/>
    <w:basedOn w:val="857"/>
    <w:pPr>
      <w:jc w:val="both"/>
      <w:spacing w:after="120"/>
    </w:pPr>
    <w:rPr>
      <w:sz w:val="22"/>
      <w:szCs w:val="20"/>
      <w:lang w:val="ru-RU" w:eastAsia="ru-RU"/>
    </w:rPr>
  </w:style>
  <w:style w:type="character" w:styleId="859" w:customStyle="1">
    <w:name w:val="Заголовок 2 Знак"/>
    <w:link w:val="677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60" w:customStyle="1">
    <w:name w:val="Заголовок 3 Знак"/>
    <w:link w:val="678"/>
    <w:uiPriority w:val="9"/>
    <w:semiHidden/>
    <w:rPr>
      <w:rFonts w:ascii="Calibri Light" w:hAnsi="Calibri Light" w:eastAsia="Times New Roman" w:cs="Times New Roman"/>
      <w:b/>
      <w:bCs/>
      <w:sz w:val="26"/>
      <w:szCs w:val="26"/>
    </w:rPr>
  </w:style>
  <w:style w:type="paragraph" w:styleId="861">
    <w:name w:val="Balloon Text"/>
    <w:basedOn w:val="675"/>
    <w:link w:val="862"/>
    <w:uiPriority w:val="99"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styleId="862" w:customStyle="1">
    <w:name w:val="Текст выноски Знак"/>
    <w:link w:val="861"/>
    <w:uiPriority w:val="99"/>
    <w:semiHidden/>
    <w:rPr>
      <w:rFonts w:ascii="Tahoma" w:hAnsi="Tahoma" w:cs="Tahoma"/>
      <w:sz w:val="16"/>
      <w:szCs w:val="16"/>
    </w:rPr>
  </w:style>
  <w:style w:type="paragraph" w:styleId="863">
    <w:name w:val="Body Text 2"/>
    <w:basedOn w:val="857"/>
  </w:style>
  <w:style w:type="character" w:styleId="864" w:customStyle="1">
    <w:name w:val="Верхний колонтитул Знак"/>
    <w:basedOn w:val="685"/>
    <w:link w:val="707"/>
    <w:uiPriority w:val="99"/>
  </w:style>
  <w:style w:type="paragraph" w:styleId="865">
    <w:name w:val="index heading"/>
    <w:basedOn w:val="857"/>
    <w:pPr>
      <w:suppressLineNumbers/>
    </w:pPr>
    <w:rPr>
      <w:rFonts w:ascii="Arial" w:hAnsi="Arial" w:cs="Tahoma"/>
    </w:rPr>
  </w:style>
  <w:style w:type="paragraph" w:styleId="866">
    <w:name w:val="Body Text Indent"/>
    <w:basedOn w:val="857"/>
    <w:pPr>
      <w:ind w:left="283" w:firstLine="720"/>
      <w:jc w:val="both"/>
    </w:pPr>
    <w:rPr>
      <w:sz w:val="18"/>
      <w:lang w:val="ru-RU"/>
    </w:rPr>
  </w:style>
  <w:style w:type="paragraph" w:styleId="867" w:customStyle="1">
    <w:name w:val="Название"/>
    <w:basedOn w:val="857"/>
    <w:next w:val="858"/>
    <w:pPr>
      <w:spacing w:before="120" w:after="120"/>
      <w:suppressLineNumbers/>
    </w:pPr>
    <w:rPr>
      <w:rFonts w:ascii="Arial" w:hAnsi="Arial" w:cs="Tahoma"/>
      <w:i/>
      <w:iCs/>
      <w:sz w:val="20"/>
    </w:rPr>
  </w:style>
  <w:style w:type="paragraph" w:styleId="868">
    <w:name w:val="List"/>
    <w:basedOn w:val="858"/>
    <w:rPr>
      <w:rFonts w:ascii="Arial" w:hAnsi="Arial" w:cs="Tahoma"/>
    </w:rPr>
  </w:style>
  <w:style w:type="character" w:styleId="869" w:customStyle="1">
    <w:name w:val="ListLabel 1"/>
  </w:style>
  <w:style w:type="character" w:styleId="870" w:customStyle="1">
    <w:name w:val="Интернет-ссылка"/>
    <w:rPr>
      <w:color w:val="000000"/>
      <w:u w:val="single"/>
      <w:lang w:val="ru-RU" w:eastAsia="ru-RU" w:bidi="ru-RU"/>
    </w:rPr>
  </w:style>
  <w:style w:type="character" w:styleId="871" w:customStyle="1">
    <w:name w:val="nowrap1"/>
    <w:basedOn w:val="685"/>
  </w:style>
  <w:style w:type="character" w:styleId="872" w:customStyle="1">
    <w:name w:val="Основной текст 2 Знак"/>
    <w:basedOn w:val="685"/>
  </w:style>
  <w:style w:type="character" w:styleId="873" w:customStyle="1">
    <w:name w:val="Заголовок 1 Знак"/>
    <w:basedOn w:val="685"/>
  </w:style>
  <w:style w:type="paragraph" w:styleId="874" w:customStyle="1">
    <w:name w:val="заголовок 1"/>
    <w:basedOn w:val="857"/>
  </w:style>
  <w:style w:type="character" w:styleId="875" w:customStyle="1">
    <w:name w:val="h3"/>
    <w:basedOn w:val="685"/>
  </w:style>
  <w:style w:type="character" w:styleId="876" w:customStyle="1">
    <w:name w:val="wmi-callto"/>
    <w:uiPriority w:val="99"/>
    <w:rPr>
      <w:rFonts w:cs="Times New Roman"/>
    </w:rPr>
  </w:style>
  <w:style w:type="character" w:styleId="877" w:customStyle="1">
    <w:name w:val="Font Style26"/>
    <w:rPr>
      <w:rFonts w:ascii="Times New Roman" w:hAnsi="Times New Roman" w:cs="Times New Roman"/>
      <w:b/>
      <w:bCs/>
      <w:sz w:val="22"/>
      <w:szCs w:val="22"/>
    </w:rPr>
  </w:style>
  <w:style w:type="character" w:styleId="878">
    <w:name w:val="Unresolved Mention"/>
    <w:uiPriority w:val="99"/>
    <w:unhideWhenUsed/>
    <w:rPr>
      <w:color w:val="605e5c"/>
      <w:shd w:val="clear" w:color="auto" w:fill="e1dfdd"/>
    </w:rPr>
  </w:style>
  <w:style w:type="paragraph" w:styleId="879" w:customStyle="1">
    <w:name w:val="Default"/>
    <w:rPr>
      <w:rFonts w:ascii="Times New Roman" w:hAnsi="Times New Roman"/>
      <w:color w:val="000000"/>
      <w:sz w:val="24"/>
      <w:szCs w:val="24"/>
    </w:rPr>
  </w:style>
  <w:style w:type="paragraph" w:styleId="880" w:customStyle="1">
    <w:name w:val="Table Paragraph"/>
    <w:basedOn w:val="675"/>
    <w:uiPriority w:val="1"/>
    <w:qFormat/>
    <w:pPr>
      <w:spacing w:after="0" w:line="240" w:lineRule="auto"/>
      <w:widowControl w:val="off"/>
    </w:pPr>
    <w:rPr>
      <w:rFonts w:ascii="Times New Roman" w:hAnsi="Times New Roman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info@mur5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Micro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creator>Alca</dc:creator>
  <cp:lastModifiedBy>a.shekhonina</cp:lastModifiedBy>
  <cp:revision>5</cp:revision>
  <dcterms:created xsi:type="dcterms:W3CDTF">2026-10-12T13:30:00Z</dcterms:created>
  <dcterms:modified xsi:type="dcterms:W3CDTF">2026-10-16T11:56:13Z</dcterms:modified>
</cp:coreProperties>
</file>