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ДОГОВОР № ___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tabs>
          <w:tab w:val="right" w:pos="10065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г. Волосово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Федеральное бюджетное учреждение здравоохранения «Центр гигиены и эпидемиологии в городе Санкт-Петербурге и Ленинградской области» – Филиал Федерального бюджетного учреждения здравоохранения «Центр гигиены и эпидемиологии в городе Санкт-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Петербурге и Ленинградской области» в Кингисеппском, Волосовском, Сланцевском и Ломоносовском районах, именуемое в дальнейшем «Исполнитель», в лице главного врача Писаревой Е.В., действующей на основании Доверенности №41 от 12.02.2025г., с одной стороны и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Муниципальное дошкольное образовательное учреждение «Детский сад № 13»</w:t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  <w:t xml:space="preserve">, именуемое в дальнейшем «Заказчик», в лице </w:t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  <w:t xml:space="preserve">заведующего</w:t>
      </w:r>
      <w:r>
        <w:rPr>
          <w:rFonts w:ascii="Times New Roman" w:hAnsi="Times New Roman" w:eastAsia="Times New Roman" w:cs="Times New Roman"/>
          <w:color w:val="000000"/>
          <w:sz w:val="24"/>
          <w:szCs w:val="20"/>
          <w:lang w:eastAsia="ru-RU"/>
        </w:rPr>
        <w:t xml:space="preserve"> Ивановой Татьяны Александровны, действующего на основании Устава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 другой стороны, именуем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ые в дальнейшем Стороны, заключили настоящий Договор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 нижеследующем: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426"/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1. Предмет договора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 По договору Исполнитель обязуется по заданию Заказчика оказать услуги, указанные в п.1.2. Настоящего договора, а Заказчик обязуется принять и оплатить заявленные услуги.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1.2. Исполнитель обязуется оказать следующие услуги: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pStyle w:val="875"/>
        <w:numPr>
          <w:ilvl w:val="0"/>
          <w:numId w:val="5"/>
        </w:numPr>
        <w:ind w:left="0" w:right="0" w:firstLine="850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Л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абораторные исследования питьевой воды, инструментальные замеры, бактериологические исследования смывов, санитарно-гигиенические исследования пищевых продуктов, бактериологические исследования пищевых продуктов, отбор проб, именуемые в дальнейшем «Услуги».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1.3. По результатам санитарно-эпидемиологических исследований (испытаний, инструментальных замеров) выдается протокол исследований (испытаний, замеров); санитарно-эпидемиологической экспертизы – экспертное заключение.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2. Срок оказания услуг: 31.12.2026г. Договор действует с момента подписания и до 31.12.2026г.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3. Датой оказания услуги считается дата передачи подписанного Заказчиком акта об оказании услуг Исполнителю.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4. Права и обязанности сторон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4.1. Исполнитель обязан оказать Услуги в установленный договором срок и с надлежащим качеством.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4.2. 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4.3. Заказчик в течении трех дней с момент получения договора обязан вернуть подписанный экземпляр договора Исполнителю.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4.4. Заказчик обязан оплатить услуги в сумме, указанной в п.6.1. Договора, в течении 10 рабочих дней с момента подписания настоящего договора  и получить Исполнителя счет-фактуру в течении 5 дней с момента оказания Услуг.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4.5. Заказчик имеет право получать информацию о ходе оказания и качестве услуги, выполняемой Исполнителем, не вмешиваясь в его деятельность.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b/>
          <w:bCs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  <w:t xml:space="preserve">5. Порядок сдачи-приемки услуг </w:t>
      </w:r>
      <w:r>
        <w:rPr>
          <w:b/>
          <w:bCs/>
        </w:rPr>
      </w:r>
      <w:r>
        <w:rPr>
          <w:b/>
          <w:bCs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highlight w:val="none"/>
        </w:rPr>
      </w:pPr>
      <w:r>
        <w:rPr>
          <w:highlight w:val="none"/>
        </w:rPr>
        <w:t xml:space="preserve">5.1. </w:t>
      </w:r>
      <w:r>
        <w:rPr>
          <w:rFonts w:ascii="Times New Roman" w:hAnsi="Times New Roman" w:eastAsia="Times New Roman" w:cs="Times New Roman"/>
          <w:highlight w:val="none"/>
        </w:rPr>
        <w:t xml:space="preserve">Исполнитель в течении 3 дней с момента  оказания услуг по настоящему договору передает Заказчику Акт об оказании услуг.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5.2. Заказчик в течении 5 дней </w:t>
      </w:r>
      <w:r>
        <w:rPr>
          <w:rFonts w:ascii="Times New Roman" w:hAnsi="Times New Roman" w:eastAsia="Times New Roman" w:cs="Times New Roman"/>
          <w:highlight w:val="none"/>
        </w:rPr>
        <w:t xml:space="preserve">с момента получения Акта об оказании услуг и подписывает его и передает Исполнителю, либо направляет мотивированный отказ от приемки. При этом замечания Заказчика не могут касаться выводов экспертов Исполнителя в части соблюдения действующих норм и правил.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b/>
          <w:bCs/>
          <w:highlight w:val="none"/>
        </w:rPr>
        <w:t xml:space="preserve">6. Сумма договора и порядок расчетов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6.1. Сумма настоящего договора составляет </w:t>
      </w:r>
      <w:r>
        <w:rPr>
          <w:rFonts w:ascii="Times New Roman" w:hAnsi="Times New Roman" w:eastAsia="Times New Roman" w:cs="Times New Roman"/>
          <w:highlight w:val="none"/>
        </w:rPr>
        <w:t xml:space="preserve">47726,36 (Сорок семь тысяч семьсот двадцать шесть рублей 36 копеек), в том числе НДС 20% -7954,39 руб.</w:t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Цена Договора является твердой, определяется на весь срок исполнения договора и не может изменяться в сторону увеличения в ходе его исполнения.</w:t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6.2. Оплата Заказчиком Исполнителю суммы договора осуществляется путем безналичного перечисления средств на расчетный счет Исполнителя, указанный в настоящем договоре, или за  наличный расчет в кассу Исполнителя.</w:t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b/>
          <w:bCs/>
          <w:highlight w:val="none"/>
        </w:rPr>
      </w:pPr>
      <w:r>
        <w:rPr>
          <w:rFonts w:ascii="Times New Roman" w:hAnsi="Times New Roman" w:eastAsia="Times New Roman" w:cs="Times New Roman"/>
          <w:b/>
          <w:bCs/>
          <w:highlight w:val="none"/>
        </w:rPr>
        <w:t xml:space="preserve">7. Прочие условия.</w:t>
      </w:r>
      <w:r>
        <w:rPr>
          <w:rFonts w:ascii="Times New Roman" w:hAnsi="Times New Roman" w:eastAsia="Times New Roman" w:cs="Times New Roman"/>
          <w:b/>
          <w:bCs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7.1. 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Договор прерывается автоматически, подписания Сторонами дополнительного соглашения не требуется. Действие договора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7.2. В случае ненадлежащего исполнения сторонами обязанностей по настоящему договору, стороны несут ответственность в соответствии с действующим законодательством. </w:t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7.3. Порядок изменения и расторжения договора определяется согласно действующему законодательству.</w:t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7.4. Все сведения, ставшие известными Исполнителю в ходе исполнения договора, являются конфиденциальными. Действие условия о конфиденциальности не распространяется на передачу информации органами Роспотребнадзора, Росаккредитации, иным государственным органам, уполномоченным законом на получение указанной информации.</w:t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7.5. Споры и разногласия, которые могут возникнуть при исполнения настоящего договора, разрешаются путем переговоров между сторонами. При не достижении согласия передаются на рассмотрение Арбитражного суда Санкт-Петербурга и Ленинградской области.</w:t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7.6.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firstLine="426"/>
        <w:jc w:val="both"/>
        <w:spacing w:after="0" w:line="240" w:lineRule="auto"/>
        <w:widowControl w:val="off"/>
        <w:tabs>
          <w:tab w:val="left" w:pos="540" w:leader="none"/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146" w:firstLine="0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  <w:t xml:space="preserve">8. ПРИЛОЖЕНИЯ К ДОГОВОРУ</w:t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aps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8.1. Приложение № 1 – Спецификация.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tabs>
          <w:tab w:val="left" w:pos="990" w:leader="none"/>
        </w:tabs>
        <w:rPr>
          <w:rFonts w:ascii="Times New Roman" w:hAnsi="Times New Roman" w:eastAsia="Arial Unicode MS" w:cs="Times New Roman"/>
          <w:sz w:val="24"/>
          <w:szCs w:val="24"/>
          <w:lang w:eastAsia="ru-RU"/>
        </w:rPr>
      </w:pP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  <w:r>
        <w:rPr>
          <w:rFonts w:ascii="Times New Roman" w:hAnsi="Times New Roman" w:eastAsia="Arial Unicode MS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9.ЮРИДИЧЕСКИЕ АДРЕСА И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БАНКОВСКИЕ РЕКВИЗИТЫ СТОРОН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5130" w:leader="none"/>
        </w:tabs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tbl>
      <w:tblPr>
        <w:tblW w:w="103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21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10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Заказчик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Поставщик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103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Муниципальное дошкольное образовательное учреждение «Детский сад №13»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188425 Ленинградская область </w:t>
            </w:r>
            <w:r>
              <w:rPr>
                <w:rFonts w:ascii="Times New Roman" w:hAnsi="Times New Roman" w:cs="Times New Roman"/>
              </w:rPr>
              <w:t xml:space="preserve">Волосовский</w:t>
            </w:r>
            <w:r>
              <w:rPr>
                <w:rFonts w:ascii="Times New Roman" w:hAnsi="Times New Roman" w:cs="Times New Roman"/>
              </w:rPr>
              <w:t xml:space="preserve"> район, </w:t>
            </w:r>
            <w:r>
              <w:rPr>
                <w:rFonts w:ascii="Times New Roman" w:hAnsi="Times New Roman" w:cs="Times New Roman"/>
              </w:rPr>
              <w:t xml:space="preserve">п</w:t>
            </w:r>
            <w:r>
              <w:rPr>
                <w:rFonts w:ascii="Times New Roman" w:hAnsi="Times New Roman" w:cs="Times New Roman"/>
              </w:rPr>
              <w:t xml:space="preserve">.З</w:t>
            </w:r>
            <w:r>
              <w:rPr>
                <w:rFonts w:ascii="Times New Roman" w:hAnsi="Times New Roman" w:cs="Times New Roman"/>
              </w:rPr>
              <w:t xml:space="preserve">имитицы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ИНН/КПП – 4717006074/470501001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ОКПО - 46248018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ОКАТО - 41206852001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ОКВЭД 85.11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ОГРН – 1024702010970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ОКТМО - 41606452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Банк: ОКЦ №1 </w:t>
            </w:r>
            <w:r>
              <w:rPr>
                <w:rFonts w:ascii="Times New Roman" w:hAnsi="Times New Roman" w:cs="Times New Roman"/>
              </w:rPr>
              <w:t xml:space="preserve">СЕВЕРО-ЗАПАДНОЕ</w:t>
            </w:r>
            <w:r>
              <w:rPr>
                <w:rFonts w:ascii="Times New Roman" w:hAnsi="Times New Roman" w:cs="Times New Roman"/>
              </w:rPr>
              <w:t xml:space="preserve"> ГУ БАНКА РОССИИ // УФК по Ленинградской области, г. Санкт-Петербург Единый казначейский счет 40102810745370000098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Казначейский счет 03231643416060004500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БИК </w:t>
            </w:r>
            <w:r>
              <w:rPr>
                <w:rFonts w:ascii="Times New Roman" w:hAnsi="Times New Roman" w:cs="Times New Roman"/>
              </w:rPr>
              <w:t xml:space="preserve"> 044030098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Тел./факс: (8 813 73) 53-733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</w:t>
            </w:r>
            <w:r>
              <w:rPr>
                <w:rFonts w:ascii="Times New Roman" w:hAnsi="Times New Roman" w:cs="Times New Roman"/>
              </w:rPr>
              <w:t xml:space="preserve">.а</w:t>
            </w:r>
            <w:r>
              <w:rPr>
                <w:rFonts w:ascii="Times New Roman" w:hAnsi="Times New Roman" w:cs="Times New Roman"/>
              </w:rPr>
              <w:t xml:space="preserve">дрес:dsad13@list.ru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Заведующий: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_________________/Иванова Т.А./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tLeast"/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tLeast"/>
              <w:tabs>
                <w:tab w:val="left" w:pos="3771" w:leader="none"/>
              </w:tabs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4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  <w:r>
              <w:rPr>
                <w:rFonts w:ascii="Times New Roman" w:hAnsi="Times New Roman" w:eastAsia="Calibri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  <w:r>
              <w:rPr>
                <w:rFonts w:ascii="Times New Roman" w:hAnsi="Times New Roman" w:eastAsia="Calibri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lang w:eastAsia="ru-RU"/>
              </w:rPr>
              <w:t xml:space="preserve"> ___________________________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sectPr>
          <w:headerReference w:type="default" r:id="rId9"/>
          <w:footnotePr/>
          <w:endnotePr/>
          <w:type w:val="nextPage"/>
          <w:pgSz w:w="11906" w:h="16838" w:orient="portrait"/>
          <w:pgMar w:top="1134" w:right="992" w:bottom="1134" w:left="851" w:header="397" w:footer="397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                     Приложение 1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Договор у № ___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                           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  <w:t xml:space="preserve">                              Спецификация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eastAsia="ru-RU"/>
        </w:rPr>
      </w:r>
    </w:p>
    <w:p>
      <w:pPr>
        <w:spacing w:after="0" w:line="240" w:lineRule="auto"/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</w:p>
    <w:tbl>
      <w:tblPr>
        <w:tblStyle w:val="877"/>
        <w:tblW w:w="0" w:type="auto"/>
        <w:tblLook w:val="04A0" w:firstRow="1" w:lastRow="0" w:firstColumn="1" w:lastColumn="0" w:noHBand="0" w:noVBand="1"/>
      </w:tblPr>
      <w:tblGrid>
        <w:gridCol w:w="360"/>
        <w:gridCol w:w="4320"/>
        <w:gridCol w:w="720"/>
        <w:gridCol w:w="1350"/>
        <w:gridCol w:w="1620"/>
        <w:gridCol w:w="1620"/>
        <w:gridCol w:w="1260"/>
      </w:tblGrid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Наименование продукта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кол-во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Цена без НДС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Сумма без НДС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Сумма  НДС 22%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Сумма с НДС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привкуса, запаха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845,83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845,83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186,08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1031,91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одного показателя фотометрическим методом: цветность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795,83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795,83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175,08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970,91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одного показателя фотометрическим методом: мутность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795,83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795,83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175,08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970,91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водородного показателя: PH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164,17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164,17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36,12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200,29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окисляемости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403,33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403,33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88,73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492,06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одного показателя фотометрическим методом: железо общее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795,83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795,83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175,08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970,91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Исследование питьевой воды (мембранный метод) ОМЧ, ОКБ, E.coli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1150,00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1150,00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253,00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1403,00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Микробиологический показатель - Энтерококки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372,50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372,50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81,95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454,45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Измерение искусственной освещенности в 1 точке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705,83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7058,30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1552,83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8611,13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Измерение параметров микроклимата в помещении в 1 точке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705,83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2823,32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621,13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3444,45</w:t>
            </w:r>
            <w:r/>
            <w:r/>
          </w:p>
        </w:tc>
      </w:tr>
      <w:tr>
        <w:tblPrEx/>
        <w:trPr>
          <w:trHeight w:val="85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Бактериологическое исследование смывов на БГКП с использованием универсальных средств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410,00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4100,00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902,00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5002,00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Бактериологическое исследование смывов на сальмонеллы классикским методом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646,67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1940,01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426,80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2366,81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13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Бактериологические исследования смывов на иерсинии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495,83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495,83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109,08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604,91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14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достаточности термической обработки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875,00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875,00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192,50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1067,50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нитратов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1037,50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1037,50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228,25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1265,75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витамина С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1376,67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1376,67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302,87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1679,54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энергетической ценности (по факту)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3747,50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3747,50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824,45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4571,95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Подсчет энергетической ценности (теория)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541,67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541,67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119,17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660,84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19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Stapylococcus aureus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316,67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316,67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69,67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386,34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бактерий рода Proteus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287,50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287,50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63,25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350,75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21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БГКП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345,83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345,83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76,08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421,91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22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КМАФАнМ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366,67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366,67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80,67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447,34</w:t>
            </w:r>
            <w:r/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Определение ПКФ, в т.ч. сальмонелл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1000,00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1000,00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220,00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1220,00</w:t>
            </w:r>
            <w:r/>
            <w:r/>
          </w:p>
        </w:tc>
      </w:tr>
      <w:tr>
        <w:tblPrEx/>
        <w:trPr>
          <w:trHeight w:val="85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24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Санитарно-паразитологические исследования смывов с поверхностей на яйца гельминтов (1 проба)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5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201,67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1008,35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221,84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1230,19</w:t>
            </w:r>
            <w:r/>
            <w:r/>
          </w:p>
        </w:tc>
      </w:tr>
      <w:tr>
        <w:tblPrEx/>
        <w:trPr>
          <w:trHeight w:val="114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25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Исследование дезинфицирующего средства на соответствие требованиям нормативных документов титриметрическим методом (1 проба)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2220,83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2220,83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488,58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2709,41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26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Взятие смывов с объектов внешней среды (до 10 смывов)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1036,67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1036,67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228,07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1264,74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27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Отбор проб воды на химический анализ (1 проба)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825,00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825,00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181,50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1006,50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28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Отбор проб воды на бактериологический или паразитологический анализ (1 проба)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985,00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985,00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216,70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1201,70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29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320" w:type="dxa"/>
            <w:vAlign w:val="bottom"/>
            <w:textDirection w:val="lrTb"/>
            <w:noWrap w:val="false"/>
          </w:tcPr>
          <w:p>
            <w:pPr>
              <w:jc w:val="left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Отбор проб пищевых продуктов (менее 5 проб)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1408,33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1408,33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309,83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1718,16</w:t>
            </w:r>
            <w:r/>
            <w:r/>
          </w:p>
        </w:tc>
      </w:tr>
      <w:tr>
        <w:tblPrEx/>
        <w:trPr>
          <w:trHeight w:val="285"/>
        </w:trPr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5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ВСЕГО: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62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60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Calibri" w:hAnsi="Calibri" w:eastAsia="Calibri" w:cs="Calibri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47726,36</w:t>
            </w:r>
            <w:r/>
            <w:r/>
          </w:p>
        </w:tc>
      </w:tr>
    </w:tbl>
    <w:p>
      <w:pPr>
        <w:spacing w:after="0" w:line="240" w:lineRule="auto"/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  <w:r>
        <w:rPr>
          <w:rFonts w:ascii="SchoolDL" w:hAnsi="SchoolDL" w:eastAsia="Times New Roman" w:cs="Times New Roman"/>
          <w:color w:val="000000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Заказчик                                                             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 Поставщик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Заведующий 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lang w:eastAsia="ru-RU"/>
        </w:rPr>
      </w:pPr>
      <w:r>
        <w:rPr>
          <w:rFonts w:ascii="Times New Roman" w:hAnsi="Times New Roman" w:eastAsia="Times New Roman" w:cs="Times New Roman"/>
          <w:b/>
        </w:rPr>
        <w:t xml:space="preserve">__________________/Иванова Т.А./                                        </w:t>
      </w:r>
      <w:r>
        <w:rPr>
          <w:rFonts w:ascii="Times New Roman" w:hAnsi="Times New Roman" w:eastAsia="Calibri" w:cs="Times New Roman"/>
          <w:b/>
          <w:lang w:eastAsia="ru-RU"/>
        </w:rPr>
        <w:t xml:space="preserve">____________ /___________/</w:t>
      </w: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lang w:eastAsia="ru-RU"/>
        </w:rPr>
      </w:pP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  <w:r>
        <w:rPr>
          <w:rFonts w:ascii="Times New Roman" w:hAnsi="Times New Roman" w:eastAsia="Calibri" w:cs="Times New Roman"/>
          <w:b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choolDL">
    <w:panose1 w:val="02000603000000000000"/>
  </w:font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5"/>
      <w:jc w:val="center"/>
      <w:spacing w:after="120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</w:lvl>
    <w:lvl w:ilvl="1">
      <w:start w:val="1"/>
      <w:numFmt w:val="decimal"/>
      <w:isLgl w:val="false"/>
      <w:suff w:val="tab"/>
      <w:lvlText w:val="%1.%2."/>
      <w:lvlJc w:val="left"/>
      <w:pPr>
        <w:ind w:left="873" w:hanging="660"/>
      </w:pPr>
    </w:lvl>
    <w:lvl w:ilvl="2">
      <w:start w:val="13"/>
      <w:numFmt w:val="decimal"/>
      <w:isLgl w:val="false"/>
      <w:suff w:val="tab"/>
      <w:lvlText w:val="%1.%2.%3."/>
      <w:lvlJc w:val="left"/>
      <w:pPr>
        <w:ind w:left="1146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359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932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718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931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504" w:hanging="180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08" w:hanging="540"/>
      </w:pPr>
      <w:rPr>
        <w:rFonts w:hint="default"/>
      </w:rPr>
    </w:lvl>
    <w:lvl w:ilvl="2">
      <w:start w:val="4"/>
      <w:numFmt w:val="decimal"/>
      <w:isLgl w:val="false"/>
      <w:suff w:val="tab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135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855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575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295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15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735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455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75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895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5">
    <w:name w:val="Heading 1 Char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676">
    <w:name w:val="Heading 2 Char"/>
    <w:basedOn w:val="700"/>
    <w:link w:val="692"/>
    <w:uiPriority w:val="9"/>
    <w:rPr>
      <w:rFonts w:ascii="Arial" w:hAnsi="Arial" w:eastAsia="Arial" w:cs="Arial"/>
      <w:sz w:val="34"/>
    </w:rPr>
  </w:style>
  <w:style w:type="character" w:styleId="677">
    <w:name w:val="Heading 3 Char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678">
    <w:name w:val="Heading 4 Char"/>
    <w:basedOn w:val="700"/>
    <w:link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679">
    <w:name w:val="Heading 5 Char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680">
    <w:name w:val="Heading 6 Char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681">
    <w:name w:val="Heading 7 Char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8 Char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683">
    <w:name w:val="Heading 9 Char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character" w:styleId="684">
    <w:name w:val="Title Char"/>
    <w:basedOn w:val="700"/>
    <w:link w:val="713"/>
    <w:uiPriority w:val="10"/>
    <w:rPr>
      <w:sz w:val="48"/>
      <w:szCs w:val="48"/>
    </w:rPr>
  </w:style>
  <w:style w:type="character" w:styleId="685">
    <w:name w:val="Subtitle Char"/>
    <w:basedOn w:val="700"/>
    <w:link w:val="715"/>
    <w:uiPriority w:val="11"/>
    <w:rPr>
      <w:sz w:val="24"/>
      <w:szCs w:val="24"/>
    </w:rPr>
  </w:style>
  <w:style w:type="character" w:styleId="686">
    <w:name w:val="Quote Char"/>
    <w:link w:val="717"/>
    <w:uiPriority w:val="29"/>
    <w:rPr>
      <w:i/>
    </w:rPr>
  </w:style>
  <w:style w:type="character" w:styleId="687">
    <w:name w:val="Intense Quote Char"/>
    <w:link w:val="719"/>
    <w:uiPriority w:val="30"/>
    <w:rPr>
      <w:i/>
    </w:rPr>
  </w:style>
  <w:style w:type="character" w:styleId="688">
    <w:name w:val="Caption Char"/>
    <w:basedOn w:val="700"/>
    <w:link w:val="723"/>
    <w:uiPriority w:val="35"/>
    <w:rPr>
      <w:b/>
      <w:bCs/>
      <w:color w:val="4f81bd" w:themeColor="accent1"/>
      <w:sz w:val="18"/>
      <w:szCs w:val="18"/>
    </w:rPr>
  </w:style>
  <w:style w:type="character" w:styleId="689">
    <w:name w:val="Endnote Text Char"/>
    <w:link w:val="851"/>
    <w:uiPriority w:val="99"/>
    <w:rPr>
      <w:sz w:val="20"/>
    </w:rPr>
  </w:style>
  <w:style w:type="paragraph" w:styleId="690" w:default="1">
    <w:name w:val="Normal"/>
    <w:qFormat/>
  </w:style>
  <w:style w:type="paragraph" w:styleId="691">
    <w:name w:val="Heading 1"/>
    <w:basedOn w:val="690"/>
    <w:next w:val="690"/>
    <w:link w:val="70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2">
    <w:name w:val="Heading 2"/>
    <w:basedOn w:val="690"/>
    <w:next w:val="690"/>
    <w:link w:val="70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3">
    <w:name w:val="Heading 3"/>
    <w:basedOn w:val="690"/>
    <w:next w:val="690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4">
    <w:name w:val="Heading 4"/>
    <w:basedOn w:val="690"/>
    <w:next w:val="690"/>
    <w:link w:val="70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690"/>
    <w:next w:val="690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6">
    <w:name w:val="Heading 6"/>
    <w:basedOn w:val="690"/>
    <w:next w:val="690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97">
    <w:name w:val="Heading 7"/>
    <w:basedOn w:val="690"/>
    <w:next w:val="690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98">
    <w:name w:val="Heading 8"/>
    <w:basedOn w:val="690"/>
    <w:next w:val="690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99">
    <w:name w:val="Heading 9"/>
    <w:basedOn w:val="690"/>
    <w:next w:val="690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character" w:styleId="703" w:customStyle="1">
    <w:name w:val="Заголовок 1 Знак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Заголовок 2 Знак"/>
    <w:basedOn w:val="700"/>
    <w:link w:val="692"/>
    <w:uiPriority w:val="9"/>
    <w:rPr>
      <w:rFonts w:ascii="Arial" w:hAnsi="Arial" w:eastAsia="Arial" w:cs="Arial"/>
      <w:sz w:val="34"/>
    </w:rPr>
  </w:style>
  <w:style w:type="character" w:styleId="705" w:customStyle="1">
    <w:name w:val="Заголовок 3 Знак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Заголовок 4 Знак"/>
    <w:basedOn w:val="700"/>
    <w:link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Заголовок 5 Знак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Заголовок 6 Знак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Заголовок 7 Знак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Заголовок 8 Знак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Заголовок 9 Знак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No Spacing"/>
    <w:uiPriority w:val="1"/>
    <w:qFormat/>
    <w:pPr>
      <w:spacing w:after="0" w:line="240" w:lineRule="auto"/>
    </w:pPr>
  </w:style>
  <w:style w:type="paragraph" w:styleId="713">
    <w:name w:val="Title"/>
    <w:basedOn w:val="690"/>
    <w:next w:val="690"/>
    <w:link w:val="71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4" w:customStyle="1">
    <w:name w:val="Название Знак"/>
    <w:basedOn w:val="700"/>
    <w:link w:val="713"/>
    <w:uiPriority w:val="10"/>
    <w:rPr>
      <w:sz w:val="48"/>
      <w:szCs w:val="48"/>
    </w:rPr>
  </w:style>
  <w:style w:type="paragraph" w:styleId="715">
    <w:name w:val="Subtitle"/>
    <w:basedOn w:val="690"/>
    <w:next w:val="690"/>
    <w:link w:val="716"/>
    <w:uiPriority w:val="11"/>
    <w:qFormat/>
    <w:pPr>
      <w:spacing w:before="200" w:after="200"/>
    </w:pPr>
    <w:rPr>
      <w:sz w:val="24"/>
      <w:szCs w:val="24"/>
    </w:rPr>
  </w:style>
  <w:style w:type="character" w:styleId="716" w:customStyle="1">
    <w:name w:val="Подзаголовок Знак"/>
    <w:basedOn w:val="700"/>
    <w:link w:val="715"/>
    <w:uiPriority w:val="11"/>
    <w:rPr>
      <w:sz w:val="24"/>
      <w:szCs w:val="24"/>
    </w:rPr>
  </w:style>
  <w:style w:type="paragraph" w:styleId="717">
    <w:name w:val="Quote"/>
    <w:basedOn w:val="690"/>
    <w:next w:val="690"/>
    <w:link w:val="718"/>
    <w:uiPriority w:val="29"/>
    <w:qFormat/>
    <w:pPr>
      <w:ind w:left="720" w:right="720"/>
    </w:pPr>
    <w:rPr>
      <w:i/>
    </w:rPr>
  </w:style>
  <w:style w:type="character" w:styleId="718" w:customStyle="1">
    <w:name w:val="Цитата 2 Знак"/>
    <w:link w:val="717"/>
    <w:uiPriority w:val="29"/>
    <w:rPr>
      <w:i/>
    </w:rPr>
  </w:style>
  <w:style w:type="paragraph" w:styleId="719">
    <w:name w:val="Intense Quote"/>
    <w:basedOn w:val="690"/>
    <w:next w:val="690"/>
    <w:link w:val="72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0" w:customStyle="1">
    <w:name w:val="Выделенная цитата Знак"/>
    <w:link w:val="719"/>
    <w:uiPriority w:val="30"/>
    <w:rPr>
      <w:i/>
    </w:rPr>
  </w:style>
  <w:style w:type="character" w:styleId="721" w:customStyle="1">
    <w:name w:val="Header Char"/>
    <w:basedOn w:val="700"/>
    <w:uiPriority w:val="99"/>
  </w:style>
  <w:style w:type="character" w:styleId="722" w:customStyle="1">
    <w:name w:val="Footer Char"/>
    <w:basedOn w:val="700"/>
    <w:uiPriority w:val="99"/>
  </w:style>
  <w:style w:type="paragraph" w:styleId="723">
    <w:name w:val="Caption"/>
    <w:basedOn w:val="690"/>
    <w:next w:val="690"/>
    <w:link w:val="724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24" w:customStyle="1">
    <w:name w:val="Название объекта Знак"/>
    <w:basedOn w:val="700"/>
    <w:link w:val="723"/>
    <w:uiPriority w:val="35"/>
    <w:rPr>
      <w:b/>
      <w:bCs/>
      <w:color w:val="4472c4" w:themeColor="accent1"/>
      <w:sz w:val="18"/>
      <w:szCs w:val="18"/>
    </w:rPr>
  </w:style>
  <w:style w:type="table" w:styleId="725" w:customStyle="1">
    <w:name w:val="Table Grid Light"/>
    <w:basedOn w:val="70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6" w:customStyle="1">
    <w:name w:val="Plain Table 1"/>
    <w:basedOn w:val="70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 w:customStyle="1">
    <w:name w:val="Plain Table 2"/>
    <w:basedOn w:val="70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 w:customStyle="1">
    <w:name w:val="Plain Table 3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 w:customStyle="1">
    <w:name w:val="Plain Table 4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Plain Table 5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1 Light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4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 w:customStyle="1">
    <w:name w:val="Grid Table 4 - Accent 1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54" w:customStyle="1">
    <w:name w:val="Grid Table 4 - Accent 2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55" w:customStyle="1">
    <w:name w:val="Grid Table 4 - Accent 3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56" w:customStyle="1">
    <w:name w:val="Grid Table 4 - Accent 4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57" w:customStyle="1">
    <w:name w:val="Grid Table 4 - Accent 5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58" w:customStyle="1">
    <w:name w:val="Grid Table 4 - Accent 6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59" w:customStyle="1">
    <w:name w:val="Grid Table 5 Dark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6 Colorful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7" w:customStyle="1">
    <w:name w:val="Grid Table 6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68" w:customStyle="1">
    <w:name w:val="Grid Table 6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69" w:customStyle="1">
    <w:name w:val="Grid Table 6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70" w:customStyle="1">
    <w:name w:val="Grid Table 6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71" w:customStyle="1">
    <w:name w:val="Grid Table 6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2" w:customStyle="1">
    <w:name w:val="Grid Table 6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3" w:customStyle="1">
    <w:name w:val="Grid Table 7 Colorful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List Table 1 Light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2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3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4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5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6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4" w:customStyle="1">
    <w:name w:val="List Table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5 Dark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6 Colorful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6" w:customStyle="1">
    <w:name w:val="List Table 6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17" w:customStyle="1">
    <w:name w:val="List Table 6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18" w:customStyle="1">
    <w:name w:val="List Table 6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19" w:customStyle="1">
    <w:name w:val="List Table 6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20" w:customStyle="1">
    <w:name w:val="List Table 6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21" w:customStyle="1">
    <w:name w:val="List Table 6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2" w:customStyle="1">
    <w:name w:val="List Table 7 Colorful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ned - Accent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Lined - Accent 1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31" w:customStyle="1">
    <w:name w:val="Lined - Accent 2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2" w:customStyle="1">
    <w:name w:val="Lined - Accent 3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3" w:customStyle="1">
    <w:name w:val="Lined - Accent 4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4" w:customStyle="1">
    <w:name w:val="Lined - Accent 5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35" w:customStyle="1">
    <w:name w:val="Lined - Accent 6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6" w:customStyle="1">
    <w:name w:val="Bordered &amp; Lined - Accent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Bordered &amp; Lined - Accent 1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38" w:customStyle="1">
    <w:name w:val="Bordered &amp; Lined - Accent 2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9" w:customStyle="1">
    <w:name w:val="Bordered &amp; Lined - Accent 3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0" w:customStyle="1">
    <w:name w:val="Bordered &amp; Lined - Accent 4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1" w:customStyle="1">
    <w:name w:val="Bordered &amp; Lined - Accent 5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2" w:customStyle="1">
    <w:name w:val="Bordered &amp; Lined - Accent 6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3" w:customStyle="1">
    <w:name w:val="Bordered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4" w:customStyle="1">
    <w:name w:val="Bordered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45" w:customStyle="1">
    <w:name w:val="Bordered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46" w:customStyle="1">
    <w:name w:val="Bordered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47" w:customStyle="1">
    <w:name w:val="Bordered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48" w:customStyle="1">
    <w:name w:val="Bordered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49" w:customStyle="1">
    <w:name w:val="Bordered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50" w:customStyle="1">
    <w:name w:val="Footnote Text Char"/>
    <w:uiPriority w:val="99"/>
    <w:rPr>
      <w:sz w:val="18"/>
    </w:rPr>
  </w:style>
  <w:style w:type="paragraph" w:styleId="851">
    <w:name w:val="endnote text"/>
    <w:basedOn w:val="690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basedOn w:val="700"/>
    <w:uiPriority w:val="99"/>
    <w:semiHidden/>
    <w:unhideWhenUsed/>
    <w:rPr>
      <w:vertAlign w:val="superscript"/>
    </w:rPr>
  </w:style>
  <w:style w:type="paragraph" w:styleId="854">
    <w:name w:val="toc 1"/>
    <w:basedOn w:val="690"/>
    <w:next w:val="690"/>
    <w:uiPriority w:val="39"/>
    <w:unhideWhenUsed/>
    <w:pPr>
      <w:spacing w:after="57"/>
    </w:pPr>
  </w:style>
  <w:style w:type="paragraph" w:styleId="855">
    <w:name w:val="toc 2"/>
    <w:basedOn w:val="690"/>
    <w:next w:val="690"/>
    <w:uiPriority w:val="39"/>
    <w:unhideWhenUsed/>
    <w:pPr>
      <w:ind w:left="283"/>
      <w:spacing w:after="57"/>
    </w:pPr>
  </w:style>
  <w:style w:type="paragraph" w:styleId="856">
    <w:name w:val="toc 3"/>
    <w:basedOn w:val="690"/>
    <w:next w:val="690"/>
    <w:uiPriority w:val="39"/>
    <w:unhideWhenUsed/>
    <w:pPr>
      <w:ind w:left="567"/>
      <w:spacing w:after="57"/>
    </w:pPr>
  </w:style>
  <w:style w:type="paragraph" w:styleId="857">
    <w:name w:val="toc 4"/>
    <w:basedOn w:val="690"/>
    <w:next w:val="690"/>
    <w:uiPriority w:val="39"/>
    <w:unhideWhenUsed/>
    <w:pPr>
      <w:ind w:left="850"/>
      <w:spacing w:after="57"/>
    </w:pPr>
  </w:style>
  <w:style w:type="paragraph" w:styleId="858">
    <w:name w:val="toc 5"/>
    <w:basedOn w:val="690"/>
    <w:next w:val="690"/>
    <w:uiPriority w:val="39"/>
    <w:unhideWhenUsed/>
    <w:pPr>
      <w:ind w:left="1134"/>
      <w:spacing w:after="57"/>
    </w:pPr>
  </w:style>
  <w:style w:type="paragraph" w:styleId="859">
    <w:name w:val="toc 6"/>
    <w:basedOn w:val="690"/>
    <w:next w:val="690"/>
    <w:uiPriority w:val="39"/>
    <w:unhideWhenUsed/>
    <w:pPr>
      <w:ind w:left="1417"/>
      <w:spacing w:after="57"/>
    </w:pPr>
  </w:style>
  <w:style w:type="paragraph" w:styleId="860">
    <w:name w:val="toc 7"/>
    <w:basedOn w:val="690"/>
    <w:next w:val="690"/>
    <w:uiPriority w:val="39"/>
    <w:unhideWhenUsed/>
    <w:pPr>
      <w:ind w:left="1701"/>
      <w:spacing w:after="57"/>
    </w:pPr>
  </w:style>
  <w:style w:type="paragraph" w:styleId="861">
    <w:name w:val="toc 8"/>
    <w:basedOn w:val="690"/>
    <w:next w:val="690"/>
    <w:uiPriority w:val="39"/>
    <w:unhideWhenUsed/>
    <w:pPr>
      <w:ind w:left="1984"/>
      <w:spacing w:after="57"/>
    </w:pPr>
  </w:style>
  <w:style w:type="paragraph" w:styleId="862">
    <w:name w:val="toc 9"/>
    <w:basedOn w:val="690"/>
    <w:next w:val="690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90"/>
    <w:next w:val="690"/>
    <w:uiPriority w:val="99"/>
    <w:unhideWhenUsed/>
    <w:pPr>
      <w:spacing w:after="0"/>
    </w:pPr>
  </w:style>
  <w:style w:type="paragraph" w:styleId="865">
    <w:name w:val="Header"/>
    <w:basedOn w:val="690"/>
    <w:link w:val="86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6" w:customStyle="1">
    <w:name w:val="Верхний колонтитул Знак"/>
    <w:basedOn w:val="700"/>
    <w:link w:val="865"/>
    <w:uiPriority w:val="99"/>
  </w:style>
  <w:style w:type="character" w:styleId="867">
    <w:name w:val="footnote reference"/>
    <w:rPr>
      <w:vertAlign w:val="superscript"/>
    </w:rPr>
  </w:style>
  <w:style w:type="paragraph" w:styleId="868">
    <w:name w:val="footnote text"/>
    <w:basedOn w:val="690"/>
    <w:link w:val="869"/>
    <w:semiHidden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69" w:customStyle="1">
    <w:name w:val="Текст сноски Знак"/>
    <w:basedOn w:val="700"/>
    <w:link w:val="868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70">
    <w:name w:val="Balloon Text"/>
    <w:basedOn w:val="690"/>
    <w:link w:val="87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71" w:customStyle="1">
    <w:name w:val="Текст выноски Знак"/>
    <w:basedOn w:val="700"/>
    <w:link w:val="870"/>
    <w:uiPriority w:val="99"/>
    <w:semiHidden/>
    <w:rPr>
      <w:rFonts w:ascii="Segoe UI" w:hAnsi="Segoe UI" w:cs="Segoe UI"/>
      <w:sz w:val="18"/>
      <w:szCs w:val="18"/>
    </w:rPr>
  </w:style>
  <w:style w:type="character" w:styleId="872">
    <w:name w:val="Hyperlink"/>
    <w:basedOn w:val="700"/>
    <w:uiPriority w:val="99"/>
    <w:unhideWhenUsed/>
    <w:rPr>
      <w:color w:val="0563c1" w:themeColor="hyperlink"/>
      <w:u w:val="single"/>
    </w:rPr>
  </w:style>
  <w:style w:type="paragraph" w:styleId="873">
    <w:name w:val="Footer"/>
    <w:basedOn w:val="690"/>
    <w:link w:val="87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4" w:customStyle="1">
    <w:name w:val="Нижний колонтитул Знак"/>
    <w:basedOn w:val="700"/>
    <w:link w:val="873"/>
    <w:uiPriority w:val="99"/>
  </w:style>
  <w:style w:type="paragraph" w:styleId="875">
    <w:name w:val="List Paragraph"/>
    <w:basedOn w:val="690"/>
    <w:uiPriority w:val="34"/>
    <w:qFormat/>
    <w:pPr>
      <w:contextualSpacing/>
      <w:ind w:left="720"/>
    </w:pPr>
  </w:style>
  <w:style w:type="table" w:styleId="876" w:customStyle="1">
    <w:name w:val="Сетка таблицы1"/>
    <w:basedOn w:val="701"/>
    <w:next w:val="877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77">
    <w:name w:val="Table Grid"/>
    <w:basedOn w:val="70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76B62-8273-4A0F-8920-C9070D088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User</cp:lastModifiedBy>
  <cp:revision>37</cp:revision>
  <dcterms:created xsi:type="dcterms:W3CDTF">2023-05-15T09:05:00Z</dcterms:created>
  <dcterms:modified xsi:type="dcterms:W3CDTF">2026-10-07T08:57:24Z</dcterms:modified>
</cp:coreProperties>
</file>