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BB83EF">
      <w:pPr>
        <w:spacing w:before="0" w:after="0"/>
        <w:jc w:val="center"/>
        <w:rPr>
          <w:rFonts w:ascii="Times New Roman" w:hAnsi="Times New Roman"/>
          <w:b/>
          <w:sz w:val="24"/>
          <w:szCs w:val="24"/>
        </w:rPr>
      </w:pPr>
      <w:r>
        <w:rPr>
          <w:rFonts w:ascii="Times New Roman" w:hAnsi="Times New Roman"/>
          <w:b/>
          <w:sz w:val="24"/>
          <w:szCs w:val="24"/>
        </w:rPr>
        <w:t>ТЕХНИЧЕСКОЕ  ЗАДАНИЕ</w:t>
      </w:r>
    </w:p>
    <w:p w14:paraId="5E62C71C">
      <w:pPr>
        <w:spacing w:before="0" w:after="0"/>
        <w:ind w:firstLine="708"/>
        <w:jc w:val="center"/>
        <w:rPr>
          <w:rFonts w:ascii="Times New Roman" w:hAnsi="Times New Roman"/>
          <w:b/>
          <w:sz w:val="24"/>
          <w:szCs w:val="24"/>
        </w:rPr>
      </w:pPr>
      <w:r>
        <w:rPr>
          <w:rFonts w:ascii="Times New Roman" w:hAnsi="Times New Roman"/>
          <w:b/>
          <w:sz w:val="24"/>
          <w:szCs w:val="24"/>
        </w:rPr>
        <w:t>на оказание услуг по проведению медицинского осмотра сотрудника</w:t>
      </w:r>
    </w:p>
    <w:p w14:paraId="20757D8D">
      <w:pPr>
        <w:pStyle w:val="13"/>
        <w:numPr>
          <w:ilvl w:val="0"/>
          <w:numId w:val="2"/>
        </w:numPr>
        <w:spacing w:before="0" w:after="0" w:line="276" w:lineRule="auto"/>
        <w:contextualSpacing/>
        <w:jc w:val="both"/>
        <w:rPr>
          <w:b/>
        </w:rPr>
      </w:pPr>
      <w:r>
        <w:rPr>
          <w:b/>
        </w:rPr>
        <w:t>Наименование оказываемых услуг:</w:t>
      </w:r>
      <w:r>
        <w:t xml:space="preserve"> </w:t>
      </w:r>
    </w:p>
    <w:tbl>
      <w:tblPr>
        <w:tblStyle w:val="4"/>
        <w:tblW w:w="9356" w:type="dxa"/>
        <w:tblInd w:w="-5" w:type="dxa"/>
        <w:tblLayout w:type="fixed"/>
        <w:tblCellMar>
          <w:top w:w="0" w:type="dxa"/>
          <w:left w:w="108" w:type="dxa"/>
          <w:bottom w:w="0" w:type="dxa"/>
          <w:right w:w="108" w:type="dxa"/>
        </w:tblCellMar>
      </w:tblPr>
      <w:tblGrid>
        <w:gridCol w:w="425"/>
        <w:gridCol w:w="5953"/>
        <w:gridCol w:w="1986"/>
        <w:gridCol w:w="991"/>
      </w:tblGrid>
      <w:tr w14:paraId="38847683">
        <w:tblPrEx>
          <w:tblCellMar>
            <w:top w:w="0" w:type="dxa"/>
            <w:left w:w="108" w:type="dxa"/>
            <w:bottom w:w="0" w:type="dxa"/>
            <w:right w:w="108" w:type="dxa"/>
          </w:tblCellMar>
        </w:tblPrEx>
        <w:tc>
          <w:tcPr>
            <w:tcW w:w="425" w:type="dxa"/>
            <w:tcBorders>
              <w:top w:val="single" w:color="000000" w:sz="4" w:space="0"/>
              <w:left w:val="single" w:color="000000" w:sz="4" w:space="0"/>
              <w:bottom w:val="single" w:color="000000" w:sz="4" w:space="0"/>
            </w:tcBorders>
            <w:shd w:val="clear" w:color="auto" w:fill="auto"/>
            <w:vAlign w:val="center"/>
          </w:tcPr>
          <w:p w14:paraId="444324E0">
            <w:pPr>
              <w:widowControl w:val="0"/>
              <w:spacing w:before="0" w:after="0"/>
              <w:jc w:val="both"/>
              <w:rPr>
                <w:rFonts w:ascii="Times New Roman" w:hAnsi="Times New Roman"/>
                <w:b/>
                <w:sz w:val="24"/>
                <w:szCs w:val="24"/>
                <w:lang w:eastAsia="ru-RU"/>
              </w:rPr>
            </w:pPr>
            <w:r>
              <w:rPr>
                <w:rFonts w:ascii="Times New Roman" w:hAnsi="Times New Roman"/>
                <w:b/>
                <w:sz w:val="24"/>
                <w:szCs w:val="24"/>
                <w:lang w:eastAsia="ru-RU"/>
              </w:rPr>
              <w:t>№</w:t>
            </w:r>
          </w:p>
        </w:tc>
        <w:tc>
          <w:tcPr>
            <w:tcW w:w="5953" w:type="dxa"/>
            <w:tcBorders>
              <w:top w:val="single" w:color="000000" w:sz="4" w:space="0"/>
              <w:left w:val="single" w:color="000000" w:sz="4" w:space="0"/>
              <w:bottom w:val="single" w:color="000000" w:sz="4" w:space="0"/>
              <w:right w:val="single" w:color="000000" w:sz="4" w:space="0"/>
            </w:tcBorders>
            <w:vAlign w:val="center"/>
          </w:tcPr>
          <w:p w14:paraId="2F6EE4BA">
            <w:pPr>
              <w:widowControl w:val="0"/>
              <w:spacing w:before="0" w:after="0"/>
              <w:jc w:val="both"/>
              <w:rPr>
                <w:rFonts w:ascii="Times New Roman" w:hAnsi="Times New Roman"/>
                <w:b/>
                <w:sz w:val="24"/>
                <w:szCs w:val="24"/>
                <w:lang w:eastAsia="ru-RU"/>
              </w:rPr>
            </w:pPr>
            <w:r>
              <w:rPr>
                <w:rFonts w:ascii="Times New Roman" w:hAnsi="Times New Roman"/>
                <w:b/>
                <w:sz w:val="24"/>
                <w:szCs w:val="24"/>
                <w:lang w:eastAsia="ru-RU"/>
              </w:rPr>
              <w:t>Наименование услуг</w:t>
            </w:r>
          </w:p>
        </w:tc>
        <w:tc>
          <w:tcPr>
            <w:tcW w:w="1986" w:type="dxa"/>
            <w:tcBorders>
              <w:top w:val="single" w:color="000000" w:sz="4" w:space="0"/>
              <w:left w:val="single" w:color="000000" w:sz="4" w:space="0"/>
              <w:bottom w:val="single" w:color="000000" w:sz="4" w:space="0"/>
            </w:tcBorders>
            <w:shd w:val="clear" w:color="auto" w:fill="auto"/>
            <w:vAlign w:val="center"/>
          </w:tcPr>
          <w:p w14:paraId="680F7641">
            <w:pPr>
              <w:widowControl w:val="0"/>
              <w:spacing w:before="0" w:after="0"/>
              <w:jc w:val="both"/>
              <w:rPr>
                <w:rFonts w:ascii="Times New Roman" w:hAnsi="Times New Roman"/>
                <w:b/>
                <w:sz w:val="24"/>
                <w:szCs w:val="24"/>
                <w:lang w:eastAsia="ru-RU"/>
              </w:rPr>
            </w:pPr>
            <w:r>
              <w:rPr>
                <w:rFonts w:ascii="Times New Roman" w:hAnsi="Times New Roman"/>
                <w:b/>
                <w:sz w:val="24"/>
                <w:szCs w:val="24"/>
                <w:lang w:eastAsia="ru-RU"/>
              </w:rPr>
              <w:t>Единица измерения</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EF6CB">
            <w:pPr>
              <w:widowControl w:val="0"/>
              <w:spacing w:before="0" w:after="0"/>
              <w:jc w:val="both"/>
              <w:rPr>
                <w:rFonts w:ascii="Times New Roman" w:hAnsi="Times New Roman"/>
                <w:b/>
                <w:sz w:val="24"/>
                <w:szCs w:val="24"/>
                <w:lang w:eastAsia="ru-RU"/>
              </w:rPr>
            </w:pPr>
            <w:r>
              <w:rPr>
                <w:rFonts w:ascii="Times New Roman" w:hAnsi="Times New Roman"/>
                <w:b/>
                <w:sz w:val="24"/>
                <w:szCs w:val="24"/>
                <w:lang w:eastAsia="ru-RU"/>
              </w:rPr>
              <w:t>Кол-во</w:t>
            </w:r>
          </w:p>
        </w:tc>
      </w:tr>
      <w:tr w14:paraId="0B74B7A7">
        <w:tblPrEx>
          <w:tblCellMar>
            <w:top w:w="0" w:type="dxa"/>
            <w:left w:w="108" w:type="dxa"/>
            <w:bottom w:w="0" w:type="dxa"/>
            <w:right w:w="108" w:type="dxa"/>
          </w:tblCellMar>
        </w:tblPrEx>
        <w:trPr>
          <w:trHeight w:val="483" w:hRule="atLeast"/>
        </w:trPr>
        <w:tc>
          <w:tcPr>
            <w:tcW w:w="425" w:type="dxa"/>
            <w:tcBorders>
              <w:top w:val="single" w:color="000000" w:sz="4" w:space="0"/>
              <w:left w:val="single" w:color="000000" w:sz="4" w:space="0"/>
              <w:bottom w:val="single" w:color="000000" w:sz="4" w:space="0"/>
            </w:tcBorders>
            <w:shd w:val="clear" w:color="auto" w:fill="auto"/>
            <w:vAlign w:val="center"/>
          </w:tcPr>
          <w:p w14:paraId="11CF8478">
            <w:pPr>
              <w:widowControl w:val="0"/>
              <w:spacing w:before="0" w:after="0"/>
              <w:jc w:val="both"/>
              <w:rPr>
                <w:rFonts w:ascii="Times New Roman" w:hAnsi="Times New Roman"/>
                <w:sz w:val="24"/>
                <w:szCs w:val="24"/>
                <w:lang w:eastAsia="ru-RU"/>
              </w:rPr>
            </w:pPr>
            <w:r>
              <w:rPr>
                <w:rFonts w:ascii="Times New Roman" w:hAnsi="Times New Roman"/>
                <w:sz w:val="24"/>
                <w:szCs w:val="24"/>
                <w:lang w:eastAsia="ru-RU"/>
              </w:rPr>
              <w:t>1.</w:t>
            </w:r>
          </w:p>
        </w:tc>
        <w:tc>
          <w:tcPr>
            <w:tcW w:w="5953" w:type="dxa"/>
            <w:tcBorders>
              <w:top w:val="single" w:color="000000" w:sz="4" w:space="0"/>
              <w:left w:val="single" w:color="000000" w:sz="4" w:space="0"/>
              <w:bottom w:val="single" w:color="000000" w:sz="4" w:space="0"/>
              <w:right w:val="single" w:color="000000" w:sz="4" w:space="0"/>
            </w:tcBorders>
            <w:vAlign w:val="center"/>
          </w:tcPr>
          <w:p w14:paraId="58327661">
            <w:pPr>
              <w:widowControl w:val="0"/>
              <w:spacing w:before="0" w:after="0"/>
              <w:jc w:val="both"/>
              <w:rPr>
                <w:rFonts w:ascii="Times New Roman" w:hAnsi="Times New Roman" w:eastAsiaTheme="minorHAnsi"/>
                <w:color w:val="000000" w:themeColor="text1"/>
                <w:sz w:val="24"/>
                <w:szCs w:val="24"/>
                <w:lang w:eastAsia="ru-RU"/>
                <w14:textFill>
                  <w14:solidFill>
                    <w14:schemeClr w14:val="tx1"/>
                  </w14:solidFill>
                </w14:textFill>
              </w:rPr>
            </w:pPr>
            <w:r>
              <w:rPr>
                <w:rFonts w:ascii="Times New Roman" w:hAnsi="Times New Roman" w:eastAsiaTheme="minorHAnsi"/>
                <w:bCs/>
                <w:color w:val="000000" w:themeColor="text1"/>
                <w:sz w:val="24"/>
                <w:szCs w:val="24"/>
                <w:shd w:val="clear" w:fill="FFFFFF"/>
                <w14:textFill>
                  <w14:solidFill>
                    <w14:schemeClr w14:val="tx1"/>
                  </w14:solidFill>
                </w14:textFill>
              </w:rPr>
              <w:t>Медицинский осмотр сотрудников</w:t>
            </w:r>
          </w:p>
        </w:tc>
        <w:tc>
          <w:tcPr>
            <w:tcW w:w="1986" w:type="dxa"/>
            <w:tcBorders>
              <w:top w:val="single" w:color="000000" w:sz="4" w:space="0"/>
              <w:left w:val="single" w:color="000000" w:sz="4" w:space="0"/>
              <w:bottom w:val="single" w:color="000000" w:sz="4" w:space="0"/>
            </w:tcBorders>
            <w:shd w:val="clear" w:color="auto" w:fill="auto"/>
            <w:vAlign w:val="center"/>
          </w:tcPr>
          <w:p w14:paraId="25788A6A">
            <w:pPr>
              <w:widowControl w:val="0"/>
              <w:spacing w:before="0" w:after="0" w:line="252" w:lineRule="auto"/>
              <w:jc w:val="both"/>
              <w:rPr>
                <w:rFonts w:ascii="Times New Roman" w:hAnsi="Times New Roman" w:eastAsiaTheme="minorHAnsi"/>
                <w:sz w:val="24"/>
                <w:szCs w:val="24"/>
                <w:lang w:eastAsia="ru-RU"/>
              </w:rPr>
            </w:pPr>
            <w:r>
              <w:rPr>
                <w:rFonts w:ascii="Times New Roman" w:hAnsi="Times New Roman" w:eastAsiaTheme="minorHAnsi"/>
                <w:sz w:val="24"/>
                <w:szCs w:val="24"/>
                <w:lang w:eastAsia="ru-RU"/>
              </w:rPr>
              <w:t>чел.</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08621">
            <w:pPr>
              <w:widowControl w:val="0"/>
              <w:spacing w:before="0" w:after="0" w:line="252" w:lineRule="auto"/>
              <w:jc w:val="both"/>
              <w:rPr>
                <w:rFonts w:hint="default" w:ascii="Times New Roman" w:hAnsi="Times New Roman" w:eastAsiaTheme="minorHAnsi"/>
                <w:color w:val="000000"/>
                <w:sz w:val="24"/>
                <w:szCs w:val="24"/>
                <w:lang w:val="en-US" w:eastAsia="ru-RU"/>
              </w:rPr>
            </w:pPr>
            <w:r>
              <w:rPr>
                <w:rFonts w:ascii="Times New Roman" w:hAnsi="Times New Roman" w:eastAsiaTheme="minorHAnsi"/>
                <w:color w:val="000000"/>
                <w:sz w:val="24"/>
                <w:szCs w:val="24"/>
                <w:lang w:eastAsia="ru-RU"/>
              </w:rPr>
              <w:t>5</w:t>
            </w:r>
            <w:r>
              <w:rPr>
                <w:rFonts w:hint="default" w:ascii="Times New Roman" w:hAnsi="Times New Roman" w:eastAsiaTheme="minorHAnsi"/>
                <w:color w:val="000000"/>
                <w:sz w:val="24"/>
                <w:szCs w:val="24"/>
                <w:lang w:val="en-US" w:eastAsia="ru-RU"/>
              </w:rPr>
              <w:t>5</w:t>
            </w:r>
          </w:p>
        </w:tc>
      </w:tr>
    </w:tbl>
    <w:p w14:paraId="7B94B7B8">
      <w:pPr>
        <w:pStyle w:val="13"/>
        <w:numPr>
          <w:ilvl w:val="0"/>
          <w:numId w:val="0"/>
        </w:numPr>
        <w:spacing w:before="0" w:after="0" w:line="276" w:lineRule="auto"/>
        <w:ind w:left="720" w:firstLine="0"/>
        <w:contextualSpacing/>
        <w:jc w:val="both"/>
        <w:rPr>
          <w:b/>
        </w:rPr>
      </w:pPr>
    </w:p>
    <w:p w14:paraId="541E388F">
      <w:pPr>
        <w:widowControl w:val="0"/>
        <w:tabs>
          <w:tab w:val="left" w:pos="720"/>
        </w:tabs>
        <w:spacing w:before="0" w:after="0" w:line="240" w:lineRule="auto"/>
        <w:ind w:left="720" w:hanging="360"/>
        <w:jc w:val="center"/>
        <w:rPr>
          <w:rFonts w:ascii="Times New Roman" w:hAnsi="Times New Roman"/>
          <w:b/>
          <w:bCs/>
          <w:sz w:val="24"/>
          <w:szCs w:val="24"/>
          <w:lang w:eastAsia="ru-RU"/>
        </w:rPr>
      </w:pPr>
      <w:r>
        <w:rPr>
          <w:rFonts w:ascii="Times New Roman" w:hAnsi="Times New Roman"/>
          <w:b/>
          <w:bCs/>
          <w:sz w:val="24"/>
          <w:szCs w:val="24"/>
          <w:lang w:eastAsia="ru-RU"/>
        </w:rPr>
        <w:t>Объекты (предмет) оказания услуг.</w:t>
      </w:r>
    </w:p>
    <w:p w14:paraId="1CCF4E2F">
      <w:pPr>
        <w:widowControl w:val="0"/>
        <w:tabs>
          <w:tab w:val="left" w:pos="720"/>
        </w:tabs>
        <w:spacing w:before="0" w:after="0" w:line="240" w:lineRule="auto"/>
        <w:ind w:left="720" w:hanging="360"/>
        <w:jc w:val="center"/>
        <w:rPr>
          <w:rFonts w:ascii="Times New Roman" w:hAnsi="Times New Roman"/>
          <w:sz w:val="24"/>
          <w:szCs w:val="24"/>
          <w:lang w:eastAsia="ru-RU"/>
        </w:rPr>
      </w:pPr>
    </w:p>
    <w:p w14:paraId="57EE2158">
      <w:pPr>
        <w:widowControl w:val="0"/>
        <w:spacing w:before="0" w:after="0" w:line="240" w:lineRule="auto"/>
        <w:jc w:val="both"/>
        <w:rPr>
          <w:rFonts w:ascii="Times New Roman CYR" w:hAnsi="Times New Roman CYR" w:cs="Times New Roman CYR"/>
          <w:sz w:val="24"/>
          <w:szCs w:val="24"/>
          <w:lang w:eastAsia="ru-RU"/>
        </w:rPr>
      </w:pPr>
      <w:r>
        <w:rPr>
          <w:rFonts w:ascii="Times New Roman" w:hAnsi="Times New Roman"/>
          <w:b/>
          <w:color w:val="000000"/>
          <w:sz w:val="24"/>
          <w:szCs w:val="24"/>
          <w:shd w:val="clear" w:fill="FFFFFF"/>
          <w:lang w:eastAsia="ru-RU"/>
        </w:rPr>
        <w:t>Краткие характеристики оказываемых услуг</w:t>
      </w:r>
      <w:r>
        <w:rPr>
          <w:rFonts w:ascii="Times New Roman" w:hAnsi="Times New Roman"/>
          <w:color w:val="000000"/>
          <w:sz w:val="24"/>
          <w:szCs w:val="24"/>
          <w:shd w:val="clear" w:fill="FFFFFF"/>
          <w:lang w:eastAsia="ru-RU"/>
        </w:rPr>
        <w:t xml:space="preserve">: Проведение обязательных периодических  медицинских осмотров по месту расположения  Исполнителя,  на основании направления на медицинский осмотр, выданного лицу, работодателем (его уполномоченным представителем) в соответствии с приказом Министерства здравоохранения Российской Федерации от 28 января 2021 г. № 29н, путем осмотра врачами-специалистами, выполнения соответствующих лабораторных и функциональных исследований с оформлением личных медицинских книжек </w:t>
      </w:r>
      <w:r>
        <w:rPr>
          <w:rFonts w:ascii="Times New Roman" w:hAnsi="Times New Roman"/>
          <w:sz w:val="24"/>
          <w:szCs w:val="24"/>
          <w:lang w:eastAsia="ru-RU"/>
        </w:rPr>
        <w:t xml:space="preserve">работнику.  </w:t>
      </w:r>
    </w:p>
    <w:p w14:paraId="4E4A9BD9">
      <w:pPr>
        <w:spacing w:before="0"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Обязательные периодические медицинские осмотры (обследования) (далее - периодические осмотры) проводятся в целях:</w:t>
      </w:r>
    </w:p>
    <w:p w14:paraId="43EAE551">
      <w:pPr>
        <w:spacing w:before="0"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1) динамического наблюдения за состоянием здоровья работников, своевременного выявления заболеваний,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формирования групп риска по развитию профессиональных заболеваний;</w:t>
      </w:r>
    </w:p>
    <w:p w14:paraId="004BBF94">
      <w:pPr>
        <w:spacing w:before="0"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2) выявления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 а также работ, при выполнении которых обязательно проведение предварительных и периодических медицинских осмотров (обследований) работников в целях охраны здоровья населения, предупреждения возникновения, и распространения заболеваний;</w:t>
      </w:r>
    </w:p>
    <w:p w14:paraId="4F9C627B">
      <w:pPr>
        <w:spacing w:before="0"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3) своевременного проведения профилактических и реабилитационных мероприятий, направленных на сохранение здоровья и восстановление трудоспособности работников;</w:t>
      </w:r>
    </w:p>
    <w:p w14:paraId="3DD039CE">
      <w:pPr>
        <w:spacing w:before="0"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4) своевременного выявления и предупреждения возникновения и распространения инфекционных и паразитарных заболеваний;</w:t>
      </w:r>
    </w:p>
    <w:p w14:paraId="2DCC53A1">
      <w:pPr>
        <w:spacing w:before="0" w:after="0" w:line="240" w:lineRule="auto"/>
        <w:ind w:firstLine="539"/>
        <w:jc w:val="both"/>
        <w:rPr>
          <w:rFonts w:ascii="Times New Roman" w:hAnsi="Times New Roman"/>
          <w:b/>
          <w:sz w:val="24"/>
          <w:szCs w:val="24"/>
          <w:lang w:eastAsia="ru-RU"/>
        </w:rPr>
      </w:pPr>
      <w:r>
        <w:rPr>
          <w:rFonts w:ascii="Times New Roman" w:hAnsi="Times New Roman"/>
          <w:sz w:val="24"/>
          <w:szCs w:val="24"/>
          <w:lang w:eastAsia="ru-RU"/>
        </w:rPr>
        <w:t>5) предупреждения несчастных случаев на производстве.</w:t>
      </w:r>
    </w:p>
    <w:p w14:paraId="2052CC22">
      <w:pPr>
        <w:widowControl w:val="0"/>
        <w:spacing w:before="0" w:after="0" w:line="240" w:lineRule="auto"/>
        <w:jc w:val="both"/>
        <w:rPr>
          <w:rFonts w:ascii="Times New Roman CYR" w:hAnsi="Times New Roman CYR" w:cs="Times New Roman CYR"/>
          <w:sz w:val="24"/>
          <w:szCs w:val="24"/>
          <w:lang w:eastAsia="ru-RU"/>
        </w:rPr>
      </w:pPr>
    </w:p>
    <w:p w14:paraId="2AC72F9F">
      <w:pPr>
        <w:widowControl w:val="0"/>
        <w:spacing w:before="0" w:after="0" w:line="240" w:lineRule="auto"/>
        <w:jc w:val="both"/>
        <w:rPr>
          <w:rFonts w:ascii="Times New Roman" w:hAnsi="Times New Roman"/>
          <w:sz w:val="24"/>
          <w:szCs w:val="24"/>
          <w:lang w:eastAsia="ru-RU"/>
        </w:rPr>
      </w:pPr>
      <w:r>
        <w:rPr>
          <w:rFonts w:ascii="Times New Roman" w:hAnsi="Times New Roman"/>
          <w:b/>
          <w:sz w:val="24"/>
          <w:szCs w:val="24"/>
          <w:lang w:eastAsia="ru-RU"/>
        </w:rPr>
        <w:t>Исполнитель</w:t>
      </w:r>
      <w:r>
        <w:rPr>
          <w:rFonts w:ascii="Times New Roman" w:hAnsi="Times New Roman"/>
          <w:sz w:val="24"/>
          <w:szCs w:val="24"/>
          <w:lang w:eastAsia="ru-RU"/>
        </w:rPr>
        <w:t xml:space="preserve">: Медицинская организация </w:t>
      </w:r>
    </w:p>
    <w:p w14:paraId="3DFD2FE6">
      <w:pPr>
        <w:widowControl w:val="0"/>
        <w:spacing w:before="0" w:after="0" w:line="240" w:lineRule="auto"/>
        <w:rPr>
          <w:rFonts w:ascii="Times New Roman" w:hAnsi="Times New Roman"/>
          <w:b/>
          <w:sz w:val="24"/>
          <w:szCs w:val="24"/>
          <w:lang w:eastAsia="ru-RU"/>
        </w:rPr>
      </w:pPr>
      <w:r>
        <w:rPr>
          <w:rFonts w:ascii="Times New Roman" w:hAnsi="Times New Roman"/>
          <w:b/>
          <w:sz w:val="24"/>
          <w:szCs w:val="24"/>
          <w:lang w:eastAsia="ru-RU"/>
        </w:rPr>
        <w:t>Заказчик</w:t>
      </w:r>
      <w:r>
        <w:rPr>
          <w:rFonts w:ascii="Times New Roman" w:hAnsi="Times New Roman"/>
          <w:sz w:val="24"/>
          <w:szCs w:val="24"/>
          <w:lang w:eastAsia="ru-RU"/>
        </w:rPr>
        <w:t xml:space="preserve">: </w:t>
      </w:r>
      <w:r>
        <w:rPr>
          <w:rFonts w:ascii="Times New Roman" w:hAnsi="Times New Roman"/>
          <w:b/>
          <w:sz w:val="24"/>
          <w:szCs w:val="24"/>
          <w:lang w:eastAsia="ru-RU"/>
        </w:rPr>
        <w:t>«Детский сад № 4 комбинированного вида города Бокситогорска»</w:t>
      </w:r>
    </w:p>
    <w:p w14:paraId="7C999A23">
      <w:pPr>
        <w:widowControl w:val="0"/>
        <w:spacing w:before="0" w:after="0" w:line="240" w:lineRule="auto"/>
        <w:rPr>
          <w:rFonts w:ascii="Times New Roman" w:hAnsi="Times New Roman"/>
          <w:sz w:val="24"/>
          <w:szCs w:val="24"/>
          <w:lang w:eastAsia="ru-RU"/>
        </w:rPr>
      </w:pPr>
      <w:r>
        <w:rPr>
          <w:rFonts w:ascii="Times New Roman" w:hAnsi="Times New Roman"/>
          <w:sz w:val="24"/>
          <w:szCs w:val="24"/>
          <w:lang w:eastAsia="ru-RU"/>
        </w:rPr>
        <w:t>Адрес: 187650, Ленинградская область, г. Бокситогорск, ул. Южная, д.3.</w:t>
      </w:r>
    </w:p>
    <w:p w14:paraId="43758205">
      <w:pPr>
        <w:widowControl w:val="0"/>
        <w:spacing w:before="0" w:after="0" w:line="240" w:lineRule="auto"/>
        <w:jc w:val="both"/>
        <w:rPr>
          <w:rFonts w:ascii="Times New Roman" w:hAnsi="Times New Roman"/>
          <w:b/>
          <w:sz w:val="24"/>
          <w:szCs w:val="24"/>
          <w:lang w:eastAsia="ru-RU"/>
        </w:rPr>
      </w:pPr>
      <w:r>
        <w:rPr>
          <w:rFonts w:ascii="Times New Roman" w:hAnsi="Times New Roman"/>
          <w:b/>
          <w:sz w:val="24"/>
          <w:szCs w:val="24"/>
          <w:lang w:eastAsia="ru-RU"/>
        </w:rPr>
        <w:t>Количество сотрудников – 5</w:t>
      </w:r>
      <w:r>
        <w:rPr>
          <w:rFonts w:hint="default" w:ascii="Times New Roman" w:hAnsi="Times New Roman"/>
          <w:b/>
          <w:sz w:val="24"/>
          <w:szCs w:val="24"/>
          <w:lang w:val="en-US" w:eastAsia="ru-RU"/>
        </w:rPr>
        <w:t>5</w:t>
      </w:r>
      <w:r>
        <w:rPr>
          <w:rFonts w:ascii="Times New Roman" w:hAnsi="Times New Roman"/>
          <w:b/>
          <w:sz w:val="24"/>
          <w:szCs w:val="24"/>
          <w:lang w:eastAsia="ru-RU"/>
        </w:rPr>
        <w:t xml:space="preserve"> человек.  </w:t>
      </w:r>
    </w:p>
    <w:p w14:paraId="1B050689">
      <w:pPr>
        <w:widowControl w:val="0"/>
        <w:spacing w:before="0" w:after="0" w:line="240" w:lineRule="auto"/>
        <w:jc w:val="both"/>
        <w:rPr>
          <w:rFonts w:ascii="Times New Roman" w:hAnsi="Times New Roman"/>
          <w:b/>
          <w:sz w:val="24"/>
          <w:szCs w:val="24"/>
          <w:lang w:eastAsia="ru-RU"/>
        </w:rPr>
      </w:pPr>
      <w:r>
        <w:rPr>
          <w:rFonts w:ascii="Times New Roman" w:hAnsi="Times New Roman"/>
          <w:b/>
          <w:sz w:val="24"/>
          <w:szCs w:val="24"/>
          <w:lang w:eastAsia="ru-RU"/>
        </w:rPr>
        <w:t xml:space="preserve">Женщины –  </w:t>
      </w:r>
      <w:r>
        <w:rPr>
          <w:rFonts w:hint="default" w:ascii="Times New Roman" w:hAnsi="Times New Roman"/>
          <w:b/>
          <w:sz w:val="24"/>
          <w:szCs w:val="24"/>
          <w:lang w:val="en-US" w:eastAsia="ru-RU"/>
        </w:rPr>
        <w:t>50</w:t>
      </w:r>
      <w:bookmarkStart w:id="0" w:name="_GoBack"/>
      <w:bookmarkEnd w:id="0"/>
      <w:r>
        <w:rPr>
          <w:rFonts w:ascii="Times New Roman" w:hAnsi="Times New Roman"/>
          <w:b/>
          <w:sz w:val="24"/>
          <w:szCs w:val="24"/>
          <w:lang w:eastAsia="ru-RU"/>
        </w:rPr>
        <w:t xml:space="preserve"> человека.</w:t>
      </w:r>
    </w:p>
    <w:p w14:paraId="53C43ECC">
      <w:pPr>
        <w:widowControl w:val="0"/>
        <w:spacing w:before="0" w:after="0" w:line="240" w:lineRule="auto"/>
        <w:jc w:val="both"/>
        <w:rPr>
          <w:rFonts w:ascii="Times New Roman" w:hAnsi="Times New Roman"/>
          <w:sz w:val="24"/>
          <w:szCs w:val="24"/>
          <w:lang w:eastAsia="ru-RU"/>
        </w:rPr>
      </w:pPr>
      <w:r>
        <w:rPr>
          <w:rFonts w:ascii="Times New Roman" w:hAnsi="Times New Roman"/>
          <w:b/>
          <w:sz w:val="24"/>
          <w:szCs w:val="24"/>
          <w:lang w:eastAsia="ru-RU"/>
        </w:rPr>
        <w:t>Место проведения медицинского осмотра</w:t>
      </w:r>
      <w:r>
        <w:rPr>
          <w:rFonts w:ascii="Times New Roman" w:hAnsi="Times New Roman"/>
          <w:sz w:val="24"/>
          <w:szCs w:val="24"/>
          <w:lang w:eastAsia="ru-RU"/>
        </w:rPr>
        <w:t>:  Медицинская организация</w:t>
      </w:r>
    </w:p>
    <w:p w14:paraId="0FB0A9B1">
      <w:pPr>
        <w:widowControl w:val="0"/>
        <w:spacing w:before="0" w:after="0" w:line="240" w:lineRule="auto"/>
        <w:jc w:val="both"/>
        <w:rPr>
          <w:rFonts w:ascii="Times New Roman" w:hAnsi="Times New Roman"/>
          <w:sz w:val="24"/>
          <w:szCs w:val="24"/>
          <w:lang w:eastAsia="ru-RU"/>
        </w:rPr>
      </w:pPr>
      <w:r>
        <w:rPr>
          <w:rFonts w:ascii="Times New Roman" w:hAnsi="Times New Roman"/>
          <w:sz w:val="24"/>
          <w:szCs w:val="24"/>
          <w:lang w:eastAsia="ru-RU"/>
        </w:rPr>
        <w:t>Срок действия договора на оказание услуг: до 31 октября 2026 года.</w:t>
      </w:r>
    </w:p>
    <w:p w14:paraId="40268FAF">
      <w:pPr>
        <w:widowControl w:val="0"/>
        <w:spacing w:before="0"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Начало оказания услуг: в соответствии с графиком, согласованным с Заказчиком </w:t>
      </w:r>
    </w:p>
    <w:p w14:paraId="5E216989">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b/>
          <w:bCs/>
          <w:sz w:val="24"/>
          <w:szCs w:val="24"/>
          <w:lang w:eastAsia="ru-RU"/>
        </w:rPr>
        <w:t>Требования к организации.</w:t>
      </w:r>
    </w:p>
    <w:p w14:paraId="1EFE26E2">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 Периодические осмотры проводятся медицинскими организациями любой формы собственности, имеющими право на проведение периодических осмотров и лабораторных и функциональных исследований, а также на экспертизу профессиональной пригодности в соответствии с действующими нормативными правовыми актами. </w:t>
      </w:r>
    </w:p>
    <w:p w14:paraId="22F55021">
      <w:pPr>
        <w:widowControl w:val="0"/>
        <w:numPr>
          <w:ilvl w:val="0"/>
          <w:numId w:val="3"/>
        </w:numPr>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       Для проведения периодического осмотра Исполнитель формирует постоянно действующую врачебную комиссию. Состав врачебной комиссии утверждается приказом (распоряжением) руководителя Исполнителя. Проведение предварительного  медицинского осмотра проводится на территории Исполнителя. Исполнитель организует проведение периодического медицинского осмотра на базе одного медицинского учреждения в одном здании, без посредников и привлечения третьих лиц.</w:t>
      </w:r>
    </w:p>
    <w:p w14:paraId="7D05F7FD">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b/>
          <w:sz w:val="24"/>
          <w:szCs w:val="24"/>
          <w:lang w:eastAsia="ru-RU"/>
        </w:rPr>
        <w:t xml:space="preserve">         Наличие лицензии на осуществление медицинской деятельности, квалификация и сертификация специалистов</w:t>
      </w:r>
      <w:r>
        <w:rPr>
          <w:rFonts w:ascii="Times New Roman CYR" w:hAnsi="Times New Roman CYR" w:cs="Times New Roman CYR"/>
          <w:sz w:val="24"/>
          <w:szCs w:val="24"/>
          <w:lang w:eastAsia="ru-RU"/>
        </w:rPr>
        <w:t>.</w:t>
      </w:r>
    </w:p>
    <w:p w14:paraId="4BC05A8C">
      <w:pPr>
        <w:widowControl w:val="0"/>
        <w:spacing w:before="0" w:after="0" w:line="240" w:lineRule="auto"/>
        <w:jc w:val="both"/>
        <w:rPr>
          <w:rFonts w:ascii="Times New Roman CYR" w:hAnsi="Times New Roman CYR" w:cs="Times New Roman CYR"/>
          <w:b/>
          <w:sz w:val="24"/>
          <w:szCs w:val="24"/>
          <w:lang w:eastAsia="ru-RU"/>
        </w:rPr>
      </w:pPr>
      <w:r>
        <w:rPr>
          <w:rFonts w:ascii="Times New Roman CYR" w:hAnsi="Times New Roman CYR" w:cs="Times New Roman CYR"/>
          <w:b/>
          <w:sz w:val="24"/>
          <w:szCs w:val="24"/>
          <w:lang w:eastAsia="ru-RU"/>
        </w:rPr>
        <w:t>ИНЫЕ ТРЕБОВАНИЯ:</w:t>
      </w:r>
    </w:p>
    <w:p w14:paraId="6CA79431">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обладать гражданской правоспособностью в полном объеме для заключения и исполнения обязательств по договору оказания услуг;</w:t>
      </w:r>
    </w:p>
    <w:p w14:paraId="6BB1A7D2">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должен зарегистрирован в качестве юридического или индивидуального  предпринимателя в установленном в Российской Федерации порядке (для резидентов Российской Федерации);</w:t>
      </w:r>
    </w:p>
    <w:p w14:paraId="566B0352">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-отсутствие сведений о Поставщике в Реестре недобросовестных Поставщиков; </w:t>
      </w:r>
    </w:p>
    <w:p w14:paraId="2BEFC11A">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исполнитель  не должен находится в процессе ликвидации (для юридического лица) и/или быть признанным по решению суда несостоятельным (банкротом) (для юридических лиц);</w:t>
      </w:r>
    </w:p>
    <w:p w14:paraId="448F4D6C">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отсутствие процессуальных решений правоохранительных органов в отношении руководителя (собственника) Исполнителя, принятых по фактам мошеннических действий, в том числе умышленного завышения объема выполненных работ, оказанных услуг, поставленных товаров, материалов и других подобных действий в течение последних 2-х лет (24 календарных месяца до момента осуществления проверки) (для юридических лиц);</w:t>
      </w:r>
    </w:p>
    <w:p w14:paraId="642917A3">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отсутствие в деятельности Исполнителя нарушений требований законодательства Российской Федерации, а также применимого законодательства любой иной страны, где Компания ведет или планирует вести деятельность в сфере противодействия коррупции деятельности и мошенничеству;</w:t>
      </w:r>
    </w:p>
    <w:p w14:paraId="1ADF5C05">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исполнитель  не должен быть включен в перечень организаций и физических лиц, в отношении которых имеются сведения о причастности к экстремистской деятельности или терроризму в соответствии с Федеральным законодательством от 07.08.2011 г. №115-ФЗ «О противодействии легализации (отмыванию) доходов, полученных преступным путем, и финансированию терроризма», в том числе Поставщик не должен иметь трудовых отношений с вышеуказанными лицами;</w:t>
      </w:r>
    </w:p>
    <w:p w14:paraId="6BA2E8DB">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должен иметь соответствующие разрешающие документы на выполнение видов деятельности в оказываемой услуги;</w:t>
      </w:r>
    </w:p>
    <w:p w14:paraId="42F1D4B6">
      <w:pPr>
        <w:widowControl w:val="0"/>
        <w:spacing w:before="0" w:after="0" w:line="240" w:lineRule="auto"/>
        <w:jc w:val="both"/>
        <w:rPr>
          <w:rFonts w:ascii="Times New Roman CYR" w:hAnsi="Times New Roman CYR" w:cs="Times New Roman CYR"/>
          <w:sz w:val="24"/>
          <w:szCs w:val="24"/>
          <w:lang w:eastAsia="ru-RU"/>
        </w:rPr>
      </w:pPr>
    </w:p>
    <w:p w14:paraId="59C292A6">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b/>
          <w:bCs/>
          <w:sz w:val="24"/>
          <w:szCs w:val="24"/>
          <w:lang w:eastAsia="ru-RU"/>
        </w:rPr>
        <w:t>Требования к порядку оказания услуг.</w:t>
      </w:r>
    </w:p>
    <w:p w14:paraId="7D12350F">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Дни проведения медицинского осмотра работникам Заказчика должны быть установлены в период с понедельника по пятницу    с 8-00 ч до 17-00 ч. </w:t>
      </w:r>
    </w:p>
    <w:p w14:paraId="25F4751D">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Заказчик предоставляет исполнителю в срок не более 5 календарных дней до начала оказания услуг поименный список работников подлежащих медосмотру с указанием даты рождения,  должность, вредный производственный фактор. </w:t>
      </w:r>
    </w:p>
    <w:p w14:paraId="5EAD3BA8">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Исполнитель в 3-х-дневный срок с момента получения от Заказчика поименного списка на основании указанного поименного списка составляет календарный план проведения периодического осмотра (далее - календарный план).</w:t>
      </w:r>
    </w:p>
    <w:p w14:paraId="44CABC65">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Календарный план согласовывается Исполнителем с Заказчиком и утверждается руководителем Исполнителя.</w:t>
      </w:r>
    </w:p>
    <w:p w14:paraId="38AB99D2">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Врачебная комиссия Исполнителя на основании указанных в поименном списке вредных производственных факторов или работ определяет необходимость участия в предварительных и периодических осмотрах соответствующих врачей-специалистов, а также виды и объемы необходимых лабораторных и функциональных исследований.</w:t>
      </w:r>
    </w:p>
    <w:p w14:paraId="77996674">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Периодический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 который предоставляет Заказчик.</w:t>
      </w:r>
    </w:p>
    <w:p w14:paraId="0E592749">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По окончании прохождения работником периодического осмотра Исполнитель оформляет медицинское заключение.</w:t>
      </w:r>
    </w:p>
    <w:p w14:paraId="652D26E1">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Заключительный акт составляется и направляется Исполнителем Заказчику в течение 10 календарных дней с момента окончания медосмотра. Момент окончания медосмотра определяется календарным планом.</w:t>
      </w:r>
    </w:p>
    <w:p w14:paraId="4A439055">
      <w:pPr>
        <w:widowControl w:val="0"/>
        <w:spacing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Данные о прохождении медосмотров вносятся в личную медицинскую книжку работника (</w:t>
      </w:r>
      <w:r>
        <w:fldChar w:fldCharType="begin"/>
      </w:r>
      <w:r>
        <w:rPr>
          <w:rFonts w:ascii="Times New Roman CYR" w:hAnsi="Times New Roman CYR" w:cs="Times New Roman CYR"/>
          <w:sz w:val="24"/>
          <w:szCs w:val="24"/>
          <w:lang w:eastAsia="ru-RU"/>
        </w:rPr>
        <w:instrText xml:space="preserve"> HYPERLINK "http://www.1kadry.ru/" \l "/document/99/901729631/ZA01LPC393/" \n 5. Данные о прохождении медицинских осмотров подлежат внесению в личные медицинские книжки и учету лечебно-профилактическими организациями государственной и муниципальной систем здравоохранения, а также органами, осуществляющими...</w:instrText>
      </w:r>
      <w:r>
        <w:rPr>
          <w:rFonts w:ascii="Times New Roman CYR" w:hAnsi="Times New Roman CYR" w:cs="Times New Roman CYR"/>
          <w:sz w:val="24"/>
          <w:szCs w:val="24"/>
          <w:lang w:eastAsia="ru-RU"/>
        </w:rPr>
        <w:fldChar w:fldCharType="separate"/>
      </w:r>
      <w:r>
        <w:rPr>
          <w:rFonts w:ascii="Times New Roman CYR" w:hAnsi="Times New Roman CYR" w:cs="Times New Roman CYR"/>
          <w:sz w:val="24"/>
          <w:szCs w:val="24"/>
          <w:lang w:eastAsia="ru-RU"/>
        </w:rPr>
        <w:t>п. 5 ст. 34 Закона от 30 марта 1999 г. № 52-ФЗ</w:t>
      </w:r>
      <w:r>
        <w:rPr>
          <w:rFonts w:ascii="Times New Roman CYR" w:hAnsi="Times New Roman CYR" w:cs="Times New Roman CYR"/>
          <w:sz w:val="24"/>
          <w:szCs w:val="24"/>
          <w:lang w:eastAsia="ru-RU"/>
        </w:rPr>
        <w:fldChar w:fldCharType="end"/>
      </w:r>
      <w:r>
        <w:rPr>
          <w:rFonts w:ascii="Times New Roman CYR" w:hAnsi="Times New Roman CYR" w:cs="Times New Roman CYR"/>
          <w:sz w:val="24"/>
          <w:szCs w:val="24"/>
          <w:lang w:eastAsia="ru-RU"/>
        </w:rPr>
        <w:t>, Приказ Минздрава РФ от 28.01.2021 N 29Н)</w:t>
      </w:r>
    </w:p>
    <w:p w14:paraId="33F5B811">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Паспорт здоровья работника; в паспорте указываются:  дата выдачи; фамилия, имя, отчество, дата рождения, пол работника; наименование работодателя; наименование должности (профессии) или вида работы; наименование вредного производственного фактора (-ов) и (или) вида работы; результаты лабораторных и инструментальных исследований, условия труда, заключения врачей-специалистов (профпригоден /профнепригоден).</w:t>
      </w:r>
    </w:p>
    <w:p w14:paraId="0EFC1DD8">
      <w:pPr>
        <w:widowControl w:val="0"/>
        <w:spacing w:before="0" w:after="0" w:line="240" w:lineRule="auto"/>
        <w:jc w:val="both"/>
        <w:rPr>
          <w:rFonts w:ascii="Times New Roman CYR" w:hAnsi="Times New Roman CYR" w:cs="Times New Roman CYR"/>
          <w:sz w:val="24"/>
          <w:szCs w:val="24"/>
          <w:lang w:eastAsia="ru-RU"/>
        </w:rPr>
      </w:pPr>
    </w:p>
    <w:p w14:paraId="1CC7EC20">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bCs/>
          <w:sz w:val="24"/>
          <w:szCs w:val="24"/>
          <w:lang w:eastAsia="ru-RU"/>
        </w:rPr>
        <w:t>Требования к перечню врачей - специалистов и объему лабораторных и функциональных исследований.</w:t>
      </w:r>
    </w:p>
    <w:p w14:paraId="447395D3">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Исполнитель должен провести осмотр работника всеми врачами-специалистами, а также выполнения полного объема лабораторных и функциональных исследовании в соответствии с приказом Министерства здравоохранения Российской Федерации от 2 января 2021г №29Н , пункт 25   </w:t>
      </w:r>
    </w:p>
    <w:p w14:paraId="69ABD750">
      <w:pPr>
        <w:widowControl w:val="0"/>
        <w:spacing w:before="0" w:after="0" w:line="240" w:lineRule="auto"/>
        <w:jc w:val="both"/>
        <w:rPr>
          <w:rFonts w:ascii="Times New Roman CYR" w:hAnsi="Times New Roman CYR" w:cs="Times New Roman CYR"/>
          <w:sz w:val="24"/>
          <w:szCs w:val="24"/>
          <w:lang w:eastAsia="ru-RU"/>
        </w:rPr>
      </w:pPr>
      <w:r>
        <w:rPr>
          <w:rFonts w:ascii="Times New Roman CYR" w:hAnsi="Times New Roman CYR" w:cs="Times New Roman CYR"/>
          <w:bCs/>
          <w:sz w:val="24"/>
          <w:szCs w:val="24"/>
          <w:lang w:eastAsia="ru-RU"/>
        </w:rPr>
        <w:t>Ориентировочный список врачей-специалистов:</w:t>
      </w:r>
    </w:p>
    <w:p w14:paraId="75B985D4">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Врач терапевт</w:t>
      </w:r>
    </w:p>
    <w:p w14:paraId="158A0A85">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Врач психиатр</w:t>
      </w:r>
    </w:p>
    <w:p w14:paraId="018E5A06">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Врач нарколог</w:t>
      </w:r>
    </w:p>
    <w:p w14:paraId="31E3E868">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Врач стоматолог</w:t>
      </w:r>
    </w:p>
    <w:p w14:paraId="6FE09FBA">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Врач отоларинголог</w:t>
      </w:r>
    </w:p>
    <w:p w14:paraId="2CCB8B4C">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Врач невролог</w:t>
      </w:r>
    </w:p>
    <w:p w14:paraId="043B12C7">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Дерматовенеролог</w:t>
      </w:r>
    </w:p>
    <w:p w14:paraId="737E8E55">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Врач акушер–гинеколог </w:t>
      </w:r>
    </w:p>
    <w:p w14:paraId="07AB7D7D">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Заключение председателя ВК врача- профпатолога</w:t>
      </w:r>
    </w:p>
    <w:p w14:paraId="713FCCFC">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Мамограмма</w:t>
      </w:r>
    </w:p>
    <w:p w14:paraId="7FBCFEAF">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УЗИ МТ</w:t>
      </w:r>
    </w:p>
    <w:p w14:paraId="19006DF8">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Клинический анализ крови  (гемоглобин, цветной показатель, эритроциты, лейкоциты, лейкоцитарная формула, СОЭ)</w:t>
      </w:r>
    </w:p>
    <w:p w14:paraId="027D197D">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Исследование крови на RW</w:t>
      </w:r>
    </w:p>
    <w:p w14:paraId="78A3F9D1">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Паразитологическое обследование на яйца гельминтов  </w:t>
      </w:r>
    </w:p>
    <w:p w14:paraId="312F76B3">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Исследование уровня сахара крови</w:t>
      </w:r>
    </w:p>
    <w:p w14:paraId="6DECA5F8">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Исследование уровня холестерина крови</w:t>
      </w:r>
    </w:p>
    <w:p w14:paraId="7CCD1738">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Клинический мочи (удельный вес, белок, сахар, микроскопия осадка)</w:t>
      </w:r>
    </w:p>
    <w:p w14:paraId="2A9BEE83">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Мазок на флору</w:t>
      </w:r>
    </w:p>
    <w:p w14:paraId="30192E50">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ЭКГ (электрокардиография)</w:t>
      </w:r>
    </w:p>
    <w:p w14:paraId="3805143D">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Цитологическое исследование мазка из цервикального канала</w:t>
      </w:r>
    </w:p>
    <w:p w14:paraId="6FD72561">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В случае возникновения необходимости проведения дополнительных исследований работникам Заказчика, Исполнитель проводит соответствующие исследования своими силами либо путем привлечения третьих лиц в соответствии с гражданским законодательством Российской Федерации. Исполнитель несет перед Заказчиком ответственность за последствия неисполнения или ненадлежащего исполнения обязательств 3-им лицом, привлеченным Исполнителем для оказания услуг.</w:t>
      </w:r>
    </w:p>
    <w:p w14:paraId="45885169">
      <w:pPr>
        <w:widowControl w:val="0"/>
        <w:spacing w:before="0" w:after="0" w:line="240" w:lineRule="auto"/>
        <w:ind w:firstLine="709"/>
        <w:jc w:val="both"/>
        <w:rPr>
          <w:rFonts w:ascii="Times New Roman CYR" w:hAnsi="Times New Roman CYR" w:cs="Times New Roman CYR"/>
          <w:b/>
          <w:sz w:val="24"/>
          <w:szCs w:val="24"/>
          <w:lang w:eastAsia="ru-RU"/>
        </w:rPr>
      </w:pPr>
      <w:r>
        <w:rPr>
          <w:rFonts w:ascii="Times New Roman CYR" w:hAnsi="Times New Roman CYR" w:cs="Times New Roman CYR"/>
          <w:sz w:val="24"/>
          <w:szCs w:val="24"/>
          <w:lang w:eastAsia="ru-RU"/>
        </w:rPr>
        <w:t>Услуги должны оказываться с применением материалов Исполнителя. Все материалы и изделия, используемые Исполнителем должны иметь паспорта и сертификаты качества в соответствии с действующими нормами и стандартами.</w:t>
      </w:r>
    </w:p>
    <w:p w14:paraId="539451C6">
      <w:pPr>
        <w:widowControl w:val="0"/>
        <w:spacing w:before="0" w:after="0" w:line="240" w:lineRule="auto"/>
        <w:ind w:firstLine="709"/>
        <w:jc w:val="both"/>
        <w:rPr>
          <w:rFonts w:ascii="Times New Roman CYR" w:hAnsi="Times New Roman CYR" w:cs="Times New Roman CYR"/>
          <w:sz w:val="24"/>
          <w:szCs w:val="24"/>
          <w:lang w:eastAsia="ru-RU"/>
        </w:rPr>
      </w:pPr>
    </w:p>
    <w:p w14:paraId="4A6AFFCD">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b/>
          <w:bCs/>
          <w:sz w:val="24"/>
          <w:szCs w:val="24"/>
          <w:lang w:eastAsia="ru-RU"/>
        </w:rPr>
        <w:t>Результат оказанных услуг.</w:t>
      </w:r>
    </w:p>
    <w:p w14:paraId="62BE2C4E">
      <w:pPr>
        <w:widowControl w:val="0"/>
        <w:spacing w:before="0" w:after="0" w:line="240" w:lineRule="auto"/>
        <w:ind w:firstLine="709"/>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Результатом оказанных услуг, является предоставление Заказчику заключительного акта о проведение медицинского осмотра в течение 30 календарных дней с момента окончания медосмотра.</w:t>
      </w:r>
    </w:p>
    <w:p w14:paraId="7F9FFEE1">
      <w:pPr>
        <w:widowControl/>
        <w:bidi w:val="0"/>
        <w:spacing w:before="0" w:after="200" w:line="276" w:lineRule="auto"/>
        <w:jc w:val="left"/>
      </w:pPr>
    </w:p>
    <w:sectPr>
      <w:pgSz w:w="11906" w:h="16838"/>
      <w:pgMar w:top="568" w:right="1134" w:bottom="851" w:left="1134" w:header="0" w:footer="0" w:gutter="0"/>
      <w:pgNumType w:fmt="decimal"/>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roman"/>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Liberation Sans">
    <w:altName w:val="Arial"/>
    <w:panose1 w:val="00000000000000000000"/>
    <w:charset w:val="CC"/>
    <w:family w:val="swiss"/>
    <w:pitch w:val="default"/>
    <w:sig w:usb0="00000000" w:usb1="00000000" w:usb2="00000000" w:usb3="00000000" w:csb0="00000000" w:csb1="00000000"/>
  </w:font>
  <w:font w:name="Noto Sans SC">
    <w:panose1 w:val="020B0200000000000000"/>
    <w:charset w:val="86"/>
    <w:family w:val="auto"/>
    <w:pitch w:val="default"/>
    <w:sig w:usb0="20000083" w:usb1="2ADF3C10" w:usb2="00000016" w:usb3="00000000" w:csb0="60060107" w:csb1="00000000"/>
  </w:font>
  <w:font w:name="Lucida Sans">
    <w:panose1 w:val="020B0602030504020204"/>
    <w:charset w:val="00"/>
    <w:family w:val="auto"/>
    <w:pitch w:val="default"/>
    <w:sig w:usb0="00000003" w:usb1="00000000" w:usb2="00000000" w:usb3="00000000" w:csb0="20000001" w:csb1="00000000"/>
  </w:font>
  <w:font w:name="Times New Roman CYR">
    <w:altName w:val="Times New Roman"/>
    <w:panose1 w:val="00000000000000000000"/>
    <w:charset w:val="CC"/>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auto"/>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tabs>
          <w:tab w:val="left" w:pos="0"/>
        </w:tabs>
        <w:ind w:left="720" w:hanging="360"/>
      </w:pPr>
      <w:rPr>
        <w:b/>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1">
    <w:nsid w:val="0053208E"/>
    <w:multiLevelType w:val="multilevel"/>
    <w:tmpl w:val="0053208E"/>
    <w:lvl w:ilvl="0" w:tentative="0">
      <w:start w:val="1"/>
      <w:numFmt w:val="decimal"/>
      <w:pStyle w:val="13"/>
      <w:lvlText w:val="%1."/>
      <w:lvlJc w:val="left"/>
      <w:pPr>
        <w:tabs>
          <w:tab w:val="left" w:pos="360"/>
        </w:tabs>
        <w:ind w:left="36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2">
    <w:nsid w:val="59ADCABA"/>
    <w:multiLevelType w:val="multilevel"/>
    <w:tmpl w:val="59ADCABA"/>
    <w:lvl w:ilvl="0" w:tentative="0">
      <w:start w:val="0"/>
      <w:numFmt w:val="bullet"/>
      <w:lvlText w:val=""/>
      <w:lvlJc w:val="left"/>
      <w:pPr>
        <w:tabs>
          <w:tab w:val="left" w:pos="0"/>
        </w:tabs>
        <w:ind w:left="540" w:firstLine="0"/>
      </w:pPr>
      <w:rPr>
        <w:rFonts w:hint="default" w:ascii="Symbol" w:hAnsi="Symbol" w:cs="Symbol"/>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autoHyphenation/>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7675D33"/>
    <w:rsid w:val="7F242B13"/>
  </w:rsids>
  <m:mathPr>
    <m:brkBin m:val="before"/>
    <m:brkBinSub m:val="--"/>
    <m:smallFrac m:val="0"/>
    <m:dispDef/>
    <m:lMargin m:val="0"/>
    <m:rMargin m:val="0"/>
    <m:defJc m:val="centerGroup"/>
    <m:wrapIndent m:val="1440"/>
    <m:intLim m:val="subSup"/>
    <m:naryLim m:val="undOvr"/>
  </m:mathPr>
  <w:themeFontLang w:val="ru-RU" w:eastAsia="zh-CN" w:bidi="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widowControl/>
      <w:suppressAutoHyphens/>
      <w:bidi w:val="0"/>
      <w:spacing w:before="0" w:after="200" w:line="276" w:lineRule="auto"/>
      <w:jc w:val="left"/>
    </w:pPr>
    <w:rPr>
      <w:rFonts w:eastAsia="Times New Roman" w:cs="Times New Roman" w:asciiTheme="minorHAnsi" w:hAnsiTheme="minorHAnsi"/>
      <w:color w:val="auto"/>
      <w:kern w:val="0"/>
      <w:sz w:val="22"/>
      <w:szCs w:val="22"/>
      <w:lang w:val="ru-RU" w:eastAsia="en-US" w:bidi="ar-SA"/>
    </w:rPr>
  </w:style>
  <w:style w:type="paragraph" w:styleId="2">
    <w:name w:val="heading 1"/>
    <w:basedOn w:val="1"/>
    <w:next w:val="1"/>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unhideWhenUsed/>
    <w:qFormat/>
    <w:uiPriority w:val="99"/>
    <w:rPr>
      <w:color w:val="0000FF" w:themeColor="hyperlink"/>
      <w:u w:val="single"/>
      <w14:textFill>
        <w14:solidFill>
          <w14:schemeClr w14:val="hlink"/>
        </w14:solidFill>
      </w14:textFill>
    </w:rPr>
  </w:style>
  <w:style w:type="paragraph" w:styleId="6">
    <w:name w:val="caption"/>
    <w:basedOn w:val="1"/>
    <w:qFormat/>
    <w:uiPriority w:val="0"/>
    <w:pPr>
      <w:suppressLineNumbers/>
      <w:spacing w:before="120" w:after="120"/>
    </w:pPr>
    <w:rPr>
      <w:rFonts w:cs="Lucida Sans"/>
      <w:i/>
      <w:iCs/>
      <w:sz w:val="24"/>
      <w:szCs w:val="24"/>
    </w:rPr>
  </w:style>
  <w:style w:type="paragraph" w:styleId="7">
    <w:name w:val="Body Text"/>
    <w:basedOn w:val="1"/>
    <w:qFormat/>
    <w:uiPriority w:val="0"/>
    <w:pPr>
      <w:spacing w:before="0" w:after="140" w:line="276" w:lineRule="auto"/>
    </w:pPr>
  </w:style>
  <w:style w:type="paragraph" w:styleId="8">
    <w:name w:val="List"/>
    <w:basedOn w:val="7"/>
    <w:qFormat/>
    <w:uiPriority w:val="0"/>
    <w:rPr>
      <w:rFonts w:cs="Lucida Sans"/>
    </w:rPr>
  </w:style>
  <w:style w:type="table" w:styleId="9">
    <w:name w:val="Table Grid"/>
    <w:basedOn w:val="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Заголовок 1 Знак"/>
    <w:basedOn w:val="3"/>
    <w:qFormat/>
    <w:uiPriority w:val="9"/>
    <w:rPr>
      <w:rFonts w:asciiTheme="majorHAnsi" w:hAnsiTheme="majorHAnsi" w:eastAsiaTheme="majorEastAsia" w:cstheme="majorBidi"/>
      <w:b/>
      <w:bCs/>
      <w:color w:val="376092" w:themeColor="accent1" w:themeShade="BF"/>
      <w:sz w:val="28"/>
      <w:szCs w:val="28"/>
    </w:rPr>
  </w:style>
  <w:style w:type="paragraph" w:customStyle="1" w:styleId="11">
    <w:name w:val="Заголовок"/>
    <w:basedOn w:val="1"/>
    <w:next w:val="7"/>
    <w:qFormat/>
    <w:uiPriority w:val="0"/>
    <w:pPr>
      <w:keepNext/>
      <w:spacing w:before="240" w:after="120"/>
    </w:pPr>
    <w:rPr>
      <w:rFonts w:ascii="Liberation Sans" w:hAnsi="Liberation Sans" w:eastAsia="Noto Sans SC" w:cs="Lucida Sans"/>
      <w:sz w:val="28"/>
      <w:szCs w:val="28"/>
    </w:rPr>
  </w:style>
  <w:style w:type="paragraph" w:customStyle="1" w:styleId="12">
    <w:name w:val="Указатель1"/>
    <w:basedOn w:val="1"/>
    <w:qFormat/>
    <w:uiPriority w:val="0"/>
    <w:pPr>
      <w:suppressLineNumbers/>
    </w:pPr>
    <w:rPr>
      <w:rFonts w:cs="Lucida Sans"/>
      <w:lang w:val="zh-CN" w:eastAsia="zh-CN" w:bidi="zh-CN"/>
    </w:rPr>
  </w:style>
  <w:style w:type="paragraph" w:styleId="13">
    <w:name w:val="List Paragraph"/>
    <w:basedOn w:val="1"/>
    <w:qFormat/>
    <w:uiPriority w:val="34"/>
    <w:pPr>
      <w:numPr>
        <w:ilvl w:val="0"/>
        <w:numId w:val="1"/>
      </w:numPr>
      <w:spacing w:before="0" w:after="0" w:line="240" w:lineRule="auto"/>
      <w:ind w:left="720" w:firstLine="0"/>
    </w:pPr>
    <w:rPr>
      <w:rFonts w:ascii="Times New Roman" w:hAnsi="Times New Roman"/>
      <w:sz w:val="24"/>
      <w:szCs w:val="24"/>
      <w:lang w:eastAsia="ru-RU"/>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1039</Words>
  <Characters>8032</Characters>
  <Paragraphs>78</Paragraphs>
  <TotalTime>117</TotalTime>
  <ScaleCrop>false</ScaleCrop>
  <LinksUpToDate>false</LinksUpToDate>
  <CharactersWithSpaces>9044</CharactersWithSpaces>
  <Application>WPS Office_12.1.0.28032_F1E327BC-269C-435d-A152-05C5408002CA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2024-12-04T05:17:00Z</dcterms:created>
  <dc:creator>1</dc:creator>
  <cp:lastModifiedBy>ЗС</cp:lastModifiedBy>
  <cp:lastPrinted>2024-12-04T06:14:00Z</cp:lastPrinted>
  <dcterms:modified xsi:type="dcterms:W3CDTF">2026-09-04T09:28:46Z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eyJoZGlkIjoiZTc5MjRhMGY1MjFiNDI0ZTFkYjliMTU3ZmFmMTBkNDcifQ==</vt:lpwstr>
  </property>
  <property fmtid="{D5CDD505-2E9C-101B-9397-08002B2CF9AE}" pid="3" name="KSOProductBuildVer">
    <vt:lpwstr>1049-12.1.0.28032</vt:lpwstr>
  </property>
  <property fmtid="{D5CDD505-2E9C-101B-9397-08002B2CF9AE}" pid="4" name="ICV">
    <vt:lpwstr>D90D34D1331148B589F58E3BD721558C_12</vt:lpwstr>
  </property>
</Properties>
</file>