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pStyle w:val="Style_1"/>
        <w:spacing w:after="0" w:before="0"/>
        <w:ind/>
        <w:rPr>
          <w:sz w:val="22"/>
        </w:rPr>
      </w:pPr>
      <w:r>
        <w:rPr>
          <w:rFonts w:ascii="Times New Roman" w:hAnsi="Times New Roman"/>
          <w:sz w:val="20"/>
        </w:rPr>
        <w:t xml:space="preserve">                                                        </w:t>
      </w:r>
      <w:r>
        <w:rPr>
          <w:rFonts w:ascii="Times New Roman" w:hAnsi="Times New Roman"/>
          <w:sz w:val="22"/>
        </w:rPr>
        <w:t xml:space="preserve">Муниципальный контракт № </w:t>
      </w:r>
    </w:p>
    <w:p w14:paraId="02000000">
      <w:pPr>
        <w:ind/>
        <w:jc w:val="center"/>
        <w:rPr>
          <w:i w:val="1"/>
          <w:sz w:val="22"/>
        </w:rPr>
      </w:pPr>
      <w:r>
        <w:rPr>
          <w:i w:val="1"/>
          <w:sz w:val="22"/>
        </w:rPr>
        <w:t xml:space="preserve">на оказание услуг по строительному контролю </w:t>
      </w:r>
      <w:bookmarkStart w:id="1" w:name="_Hlk240528663"/>
      <w:r>
        <w:rPr>
          <w:i w:val="1"/>
          <w:sz w:val="22"/>
        </w:rPr>
        <w:t>за выполнением работ</w:t>
      </w:r>
      <w:r>
        <w:rPr>
          <w:i w:val="1"/>
          <w:sz w:val="22"/>
        </w:rPr>
        <w:t xml:space="preserve"> по технологическому присоединению к тепловым сетям по адресу: п. Платформа 69-й км, ул. </w:t>
      </w:r>
      <w:r>
        <w:rPr>
          <w:i w:val="1"/>
          <w:sz w:val="22"/>
        </w:rPr>
        <w:t xml:space="preserve">Заводская </w:t>
      </w:r>
      <w:bookmarkEnd w:id="1"/>
      <w:r>
        <w:rPr>
          <w:i w:val="1"/>
          <w:sz w:val="22"/>
        </w:rPr>
        <w:tab/>
      </w:r>
    </w:p>
    <w:p w14:paraId="03000000">
      <w:pPr>
        <w:ind/>
        <w:jc w:val="center"/>
        <w:rPr>
          <w:b w:val="1"/>
          <w:color w:val="000000"/>
          <w:sz w:val="22"/>
        </w:rPr>
      </w:pPr>
      <w:r>
        <w:rPr>
          <w:b w:val="1"/>
          <w:sz w:val="22"/>
        </w:rPr>
        <w:t>ИКЗ:</w:t>
      </w:r>
      <w:r>
        <w:t xml:space="preserve"> </w:t>
      </w:r>
      <w:r>
        <w:rPr>
          <w:b w:val="1"/>
          <w:sz w:val="22"/>
        </w:rPr>
        <w:t>263</w:t>
      </w:r>
      <w:r>
        <w:rPr>
          <w:b w:val="1"/>
          <w:sz w:val="22"/>
        </w:rPr>
        <w:t>4712039439</w:t>
      </w:r>
      <w:r>
        <w:rPr>
          <w:b w:val="1"/>
          <w:sz w:val="22"/>
        </w:rPr>
        <w:t>47120100100010000000244</w:t>
      </w:r>
    </w:p>
    <w:p w14:paraId="04000000">
      <w:pPr>
        <w:ind/>
        <w:jc w:val="center"/>
        <w:rPr>
          <w:b w:val="1"/>
          <w:color w:val="000000"/>
          <w:sz w:val="18"/>
        </w:rPr>
      </w:pPr>
    </w:p>
    <w:p w14:paraId="05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ind/>
        <w:jc w:val="center"/>
        <w:rPr>
          <w:color w:val="000000"/>
          <w:sz w:val="20"/>
        </w:rPr>
      </w:pPr>
    </w:p>
    <w:p w14:paraId="06000000">
      <w:pPr>
        <w:tabs>
          <w:tab w:leader="none" w:pos="6442" w:val="left"/>
          <w:tab w:leader="underscore" w:pos="7152" w:val="left"/>
          <w:tab w:leader="underscore" w:pos="8683" w:val="left"/>
          <w:tab w:leader="underscore" w:pos="9379" w:val="left"/>
        </w:tabs>
        <w:ind/>
        <w:jc w:val="both"/>
        <w:rPr>
          <w:color w:val="000000"/>
          <w:sz w:val="20"/>
        </w:rPr>
      </w:pPr>
      <w:r>
        <w:rPr>
          <w:color w:val="000000"/>
          <w:sz w:val="20"/>
        </w:rPr>
        <w:t xml:space="preserve">п. </w:t>
      </w:r>
      <w:r>
        <w:rPr>
          <w:color w:val="000000"/>
          <w:sz w:val="20"/>
        </w:rPr>
        <w:t>Сосново</w:t>
      </w:r>
      <w:r>
        <w:rPr>
          <w:color w:val="000000"/>
          <w:sz w:val="20"/>
        </w:rPr>
        <w:t xml:space="preserve">                                                                                                </w:t>
      </w:r>
      <w:r>
        <w:rPr>
          <w:color w:val="000000"/>
          <w:sz w:val="20"/>
        </w:rPr>
        <w:t xml:space="preserve">                 </w:t>
      </w:r>
      <w:r>
        <w:rPr>
          <w:color w:val="000000"/>
          <w:sz w:val="20"/>
        </w:rPr>
        <w:t xml:space="preserve">    </w:t>
      </w:r>
      <w:r>
        <w:rPr>
          <w:color w:val="000000"/>
          <w:sz w:val="20"/>
        </w:rPr>
        <w:t xml:space="preserve">         </w:t>
      </w:r>
      <w:r>
        <w:rPr>
          <w:color w:val="000000"/>
          <w:sz w:val="20"/>
        </w:rPr>
        <w:t xml:space="preserve"> </w:t>
      </w:r>
      <w:r>
        <w:rPr>
          <w:color w:val="000000"/>
          <w:sz w:val="20"/>
          <w:highlight w:val="yellow"/>
        </w:rPr>
        <w:t>«</w:t>
      </w:r>
      <w:r>
        <w:rPr>
          <w:color w:val="000000"/>
          <w:sz w:val="20"/>
          <w:highlight w:val="yellow"/>
        </w:rPr>
        <w:t>___</w:t>
      </w:r>
      <w:r>
        <w:rPr>
          <w:color w:val="000000"/>
          <w:sz w:val="20"/>
          <w:highlight w:val="yellow"/>
        </w:rPr>
        <w:t xml:space="preserve">» </w:t>
      </w:r>
      <w:r>
        <w:rPr>
          <w:color w:val="000000"/>
          <w:sz w:val="20"/>
          <w:highlight w:val="yellow"/>
        </w:rPr>
        <w:t>_____</w:t>
      </w:r>
      <w:r>
        <w:rPr>
          <w:color w:val="000000"/>
          <w:sz w:val="20"/>
          <w:highlight w:val="yellow"/>
        </w:rPr>
        <w:t>202</w:t>
      </w:r>
      <w:r>
        <w:rPr>
          <w:color w:val="000000"/>
          <w:sz w:val="20"/>
          <w:highlight w:val="yellow"/>
        </w:rPr>
        <w:t>6</w:t>
      </w:r>
      <w:r>
        <w:rPr>
          <w:color w:val="000000"/>
          <w:sz w:val="20"/>
          <w:highlight w:val="yellow"/>
        </w:rPr>
        <w:t xml:space="preserve"> года</w:t>
      </w:r>
      <w:r>
        <w:rPr>
          <w:color w:val="000000"/>
          <w:sz w:val="20"/>
        </w:rPr>
        <w:t xml:space="preserve"> </w:t>
      </w:r>
    </w:p>
    <w:p w14:paraId="07000000">
      <w:pPr>
        <w:tabs>
          <w:tab w:leader="underscore" w:pos="6125" w:val="left"/>
        </w:tabs>
        <w:ind w:firstLine="709" w:left="0"/>
        <w:jc w:val="both"/>
        <w:rPr>
          <w:b w:val="1"/>
        </w:rPr>
      </w:pPr>
    </w:p>
    <w:p w14:paraId="08000000">
      <w:pPr>
        <w:tabs>
          <w:tab w:leader="underscore" w:pos="6125" w:val="left"/>
        </w:tabs>
        <w:ind w:firstLine="709" w:left="0"/>
        <w:jc w:val="both"/>
        <w:rPr>
          <w:sz w:val="20"/>
        </w:rPr>
      </w:pPr>
      <w:r>
        <w:rPr>
          <w:sz w:val="20"/>
        </w:rPr>
        <w:t xml:space="preserve">Администрация </w:t>
      </w:r>
      <w:r>
        <w:rPr>
          <w:sz w:val="20"/>
        </w:rPr>
        <w:t>Сосновское</w:t>
      </w:r>
      <w:r>
        <w:rPr>
          <w:sz w:val="20"/>
        </w:rPr>
        <w:t xml:space="preserve"> сельско</w:t>
      </w:r>
      <w:r>
        <w:rPr>
          <w:sz w:val="20"/>
        </w:rPr>
        <w:t>е</w:t>
      </w:r>
      <w:r>
        <w:rPr>
          <w:sz w:val="20"/>
        </w:rPr>
        <w:t xml:space="preserve"> поселени</w:t>
      </w:r>
      <w:r>
        <w:rPr>
          <w:sz w:val="20"/>
        </w:rPr>
        <w:t>е</w:t>
      </w:r>
      <w:r>
        <w:rPr>
          <w:sz w:val="20"/>
        </w:rPr>
        <w:t xml:space="preserve"> Приозерского муниципального район</w:t>
      </w:r>
      <w:r>
        <w:rPr>
          <w:sz w:val="20"/>
        </w:rPr>
        <w:t>а Ленинградской области</w:t>
      </w:r>
      <w:r>
        <w:rPr>
          <w:b w:val="1"/>
          <w:sz w:val="20"/>
        </w:rPr>
        <w:t xml:space="preserve">, </w:t>
      </w:r>
      <w:r>
        <w:rPr>
          <w:sz w:val="20"/>
        </w:rPr>
        <w:t>именуемая в дальнейшем</w:t>
      </w:r>
      <w:r>
        <w:rPr>
          <w:b w:val="1"/>
          <w:sz w:val="20"/>
        </w:rPr>
        <w:t xml:space="preserve"> </w:t>
      </w:r>
      <w:r>
        <w:rPr>
          <w:b w:val="1"/>
          <w:sz w:val="20"/>
        </w:rPr>
        <w:t>«</w:t>
      </w:r>
      <w:r>
        <w:rPr>
          <w:b w:val="1"/>
          <w:color w:val="000000"/>
          <w:sz w:val="20"/>
        </w:rPr>
        <w:t>Заказчик»</w:t>
      </w:r>
      <w:r>
        <w:rPr>
          <w:color w:val="000000"/>
          <w:sz w:val="20"/>
        </w:rPr>
        <w:t xml:space="preserve"> в лице </w:t>
      </w:r>
      <w:r>
        <w:rPr>
          <w:color w:val="000000"/>
          <w:sz w:val="20"/>
        </w:rPr>
        <w:t>_______________</w:t>
      </w:r>
      <w:r>
        <w:rPr>
          <w:color w:val="000000"/>
          <w:sz w:val="20"/>
        </w:rPr>
        <w:t xml:space="preserve">, действующего на основании </w:t>
      </w:r>
      <w:r>
        <w:rPr>
          <w:color w:val="000000"/>
          <w:sz w:val="20"/>
        </w:rPr>
        <w:t>________________</w:t>
      </w:r>
      <w:r>
        <w:rPr>
          <w:color w:val="000000"/>
          <w:sz w:val="20"/>
        </w:rPr>
        <w:t>, с одной стороны</w:t>
      </w:r>
      <w:r>
        <w:rPr>
          <w:sz w:val="20"/>
        </w:rPr>
        <w:t>,</w:t>
      </w:r>
      <w:r>
        <w:rPr>
          <w:sz w:val="20"/>
        </w:rPr>
        <w:t xml:space="preserve"> </w:t>
      </w:r>
      <w:r>
        <w:rPr>
          <w:sz w:val="20"/>
          <w:highlight w:val="yellow"/>
        </w:rPr>
        <w:t xml:space="preserve">и </w:t>
      </w:r>
      <w:r>
        <w:rPr>
          <w:b w:val="1"/>
          <w:sz w:val="20"/>
          <w:highlight w:val="yellow"/>
        </w:rPr>
        <w:t>___________________</w:t>
      </w:r>
      <w:r>
        <w:rPr>
          <w:sz w:val="20"/>
          <w:highlight w:val="yellow"/>
        </w:rPr>
        <w:t xml:space="preserve">, именуемое в дальнейшем  </w:t>
      </w:r>
      <w:r>
        <w:rPr>
          <w:sz w:val="20"/>
          <w:highlight w:val="yellow"/>
        </w:rPr>
        <w:t>«</w:t>
      </w:r>
      <w:r>
        <w:rPr>
          <w:b w:val="1"/>
          <w:sz w:val="20"/>
          <w:highlight w:val="yellow"/>
        </w:rPr>
        <w:t>Исполнитель</w:t>
      </w:r>
      <w:r>
        <w:rPr>
          <w:b w:val="1"/>
          <w:sz w:val="20"/>
          <w:highlight w:val="yellow"/>
        </w:rPr>
        <w:t>»</w:t>
      </w:r>
      <w:r>
        <w:rPr>
          <w:sz w:val="20"/>
          <w:highlight w:val="yellow"/>
        </w:rPr>
        <w:t xml:space="preserve">, в лице </w:t>
      </w:r>
      <w:r>
        <w:rPr>
          <w:sz w:val="20"/>
          <w:highlight w:val="yellow"/>
        </w:rPr>
        <w:t>_______________</w:t>
      </w:r>
      <w:r>
        <w:rPr>
          <w:sz w:val="20"/>
          <w:highlight w:val="yellow"/>
        </w:rPr>
        <w:t>, действующе</w:t>
      </w:r>
      <w:r>
        <w:rPr>
          <w:sz w:val="20"/>
          <w:highlight w:val="yellow"/>
        </w:rPr>
        <w:t>й</w:t>
      </w:r>
      <w:r>
        <w:rPr>
          <w:sz w:val="20"/>
          <w:highlight w:val="yellow"/>
        </w:rPr>
        <w:t>(го)</w:t>
      </w:r>
      <w:r>
        <w:rPr>
          <w:sz w:val="20"/>
          <w:highlight w:val="yellow"/>
        </w:rPr>
        <w:t xml:space="preserve"> на основании </w:t>
      </w:r>
      <w:r>
        <w:rPr>
          <w:sz w:val="20"/>
          <w:highlight w:val="yellow"/>
        </w:rPr>
        <w:t>____________</w:t>
      </w:r>
      <w:r>
        <w:rPr>
          <w:sz w:val="20"/>
          <w:highlight w:val="yellow"/>
        </w:rPr>
        <w:t>, с другой стороны, совместно именуемые далее – Стороны,</w:t>
      </w:r>
      <w:r>
        <w:rPr>
          <w:highlight w:val="yellow"/>
        </w:rPr>
        <w:t xml:space="preserve"> </w:t>
      </w:r>
      <w:r>
        <w:rPr>
          <w:sz w:val="20"/>
          <w:highlight w:val="yellow"/>
        </w:rPr>
        <w:t>по результатам закупки в Электронном магазине Ленинградской области №</w:t>
      </w:r>
      <w:r>
        <w:rPr>
          <w:sz w:val="20"/>
          <w:highlight w:val="yellow"/>
        </w:rPr>
        <w:t xml:space="preserve">______________ </w:t>
      </w:r>
      <w:r>
        <w:rPr>
          <w:sz w:val="20"/>
          <w:highlight w:val="yellow"/>
        </w:rPr>
        <w:t xml:space="preserve"> </w:t>
      </w:r>
      <w:r>
        <w:rPr>
          <w:color w:val="000000"/>
          <w:sz w:val="20"/>
        </w:rPr>
        <w:t xml:space="preserve">в соответствии с  п. </w:t>
      </w:r>
      <w:r>
        <w:rPr>
          <w:color w:val="000000"/>
          <w:sz w:val="20"/>
        </w:rPr>
        <w:t>4</w:t>
      </w:r>
      <w:r>
        <w:rPr>
          <w:color w:val="000000"/>
          <w:sz w:val="20"/>
        </w:rPr>
        <w:t xml:space="preserve"> </w:t>
      </w:r>
      <w:r>
        <w:rPr>
          <w:color w:val="000000"/>
          <w:sz w:val="20"/>
        </w:rPr>
        <w:t xml:space="preserve"> ч.1 ст. 93 </w:t>
      </w:r>
      <w:r>
        <w:rPr>
          <w:color w:val="000000"/>
          <w:sz w:val="20"/>
        </w:rPr>
        <w:t>Федерального закона от 05.04.2013 года № 44-ФЗ «О контрактной системе в сфере закупок товаров,</w:t>
      </w:r>
      <w:r>
        <w:rPr>
          <w:color w:val="000000"/>
          <w:sz w:val="20"/>
        </w:rPr>
        <w:t xml:space="preserve"> работ, услуг для обеспечения государственных и муниципальных нужд», заключили настоящий </w:t>
      </w:r>
      <w:r>
        <w:rPr>
          <w:color w:val="000000"/>
          <w:sz w:val="20"/>
        </w:rPr>
        <w:t>муници</w:t>
      </w:r>
      <w:r>
        <w:rPr>
          <w:color w:val="000000"/>
          <w:sz w:val="20"/>
        </w:rPr>
        <w:t xml:space="preserve">пальный </w:t>
      </w:r>
      <w:r>
        <w:rPr>
          <w:color w:val="000000"/>
          <w:sz w:val="20"/>
        </w:rPr>
        <w:t>контракт</w:t>
      </w:r>
      <w:r>
        <w:rPr>
          <w:color w:val="000000"/>
          <w:sz w:val="20"/>
        </w:rPr>
        <w:t xml:space="preserve"> (далее Контракт)</w:t>
      </w:r>
      <w:r>
        <w:rPr>
          <w:color w:val="000000"/>
          <w:sz w:val="20"/>
        </w:rPr>
        <w:t xml:space="preserve"> о следующем</w:t>
      </w:r>
      <w:r>
        <w:rPr>
          <w:sz w:val="20"/>
        </w:rPr>
        <w:t>:</w:t>
      </w:r>
    </w:p>
    <w:p w14:paraId="09000000">
      <w:pPr>
        <w:tabs>
          <w:tab w:leader="underscore" w:pos="6125" w:val="left"/>
        </w:tabs>
        <w:ind w:firstLine="709" w:left="0"/>
        <w:jc w:val="both"/>
        <w:rPr>
          <w:b w:val="1"/>
          <w:color w:val="000000"/>
        </w:rPr>
      </w:pPr>
    </w:p>
    <w:p w14:paraId="0A000000">
      <w:pPr>
        <w:pStyle w:val="Style_2"/>
        <w:widowControl w:val="1"/>
        <w:ind/>
        <w:jc w:val="center"/>
      </w:pPr>
      <w:r>
        <w:rPr>
          <w:rFonts w:ascii="Times New Roman" w:hAnsi="Times New Roman"/>
          <w:b w:val="1"/>
          <w:color w:val="000000"/>
        </w:rPr>
        <w:t>1. Предмет контракта</w:t>
      </w:r>
    </w:p>
    <w:p w14:paraId="0B000000">
      <w:pPr>
        <w:numPr>
          <w:ilvl w:val="1"/>
          <w:numId w:val="1"/>
        </w:numPr>
        <w:tabs>
          <w:tab w:leader="none" w:pos="284" w:val="left"/>
          <w:tab w:leader="none" w:pos="851" w:val="left"/>
          <w:tab w:leader="none" w:pos="1080" w:val="clear"/>
        </w:tabs>
        <w:ind w:firstLine="284" w:left="0"/>
        <w:jc w:val="both"/>
        <w:rPr>
          <w:b w:val="1"/>
          <w:sz w:val="20"/>
        </w:rPr>
      </w:pPr>
      <w:r>
        <w:rPr>
          <w:sz w:val="20"/>
        </w:rPr>
        <w:t>В соответствии с условиями настоящего Контракта Заказчик поручает, а Исполнитель принимает</w:t>
      </w:r>
      <w:r>
        <w:rPr>
          <w:sz w:val="20"/>
        </w:rPr>
        <w:t xml:space="preserve"> на се6я обязанность оказать услугу</w:t>
      </w:r>
      <w:r>
        <w:rPr>
          <w:b w:val="1"/>
          <w:sz w:val="20"/>
        </w:rPr>
        <w:t xml:space="preserve"> </w:t>
      </w:r>
      <w:r>
        <w:rPr>
          <w:b w:val="1"/>
          <w:sz w:val="20"/>
        </w:rPr>
        <w:t xml:space="preserve">по строительному контролю </w:t>
      </w:r>
      <w:r>
        <w:rPr>
          <w:b w:val="1"/>
          <w:sz w:val="20"/>
        </w:rPr>
        <w:t>за выполнением работ</w:t>
      </w:r>
      <w:r>
        <w:rPr>
          <w:b w:val="1"/>
          <w:sz w:val="20"/>
        </w:rPr>
        <w:t xml:space="preserve"> по технологическому присоединению к тепловым сетям по адресу: п. Платформа 69-й км, ул. </w:t>
      </w:r>
      <w:r>
        <w:rPr>
          <w:b w:val="1"/>
          <w:sz w:val="20"/>
        </w:rPr>
        <w:t>Заводская</w:t>
      </w:r>
      <w:r>
        <w:rPr>
          <w:b w:val="1"/>
          <w:sz w:val="20"/>
        </w:rPr>
        <w:t>.</w:t>
      </w:r>
      <w:r>
        <w:rPr>
          <w:sz w:val="20"/>
        </w:rPr>
        <w:t xml:space="preserve">(далее «Объект»).  </w:t>
      </w:r>
    </w:p>
    <w:p w14:paraId="0C000000">
      <w:pPr>
        <w:numPr>
          <w:ilvl w:val="1"/>
          <w:numId w:val="1"/>
        </w:numPr>
        <w:tabs>
          <w:tab w:leader="none" w:pos="426" w:val="left"/>
          <w:tab w:leader="none" w:pos="567" w:val="left"/>
          <w:tab w:leader="none" w:pos="644" w:val="left"/>
          <w:tab w:leader="none" w:pos="1080" w:val="clear"/>
        </w:tabs>
        <w:ind w:firstLine="426" w:left="0"/>
        <w:jc w:val="both"/>
        <w:rPr>
          <w:sz w:val="20"/>
        </w:rPr>
      </w:pPr>
      <w:r>
        <w:rPr>
          <w:sz w:val="20"/>
        </w:rPr>
        <w:t xml:space="preserve">Услуги, указанные в </w:t>
      </w:r>
      <w:r>
        <w:rPr>
          <w:sz w:val="20"/>
        </w:rPr>
        <w:t>п. 1.1. настоящего контракта, Исполни</w:t>
      </w:r>
      <w:r>
        <w:rPr>
          <w:sz w:val="20"/>
        </w:rPr>
        <w:t xml:space="preserve">тель выполняет в соответствии с </w:t>
      </w:r>
      <w:r>
        <w:rPr>
          <w:sz w:val="20"/>
        </w:rPr>
        <w:t>требованиями СНиП и условиями настоящего контракта.</w:t>
      </w:r>
    </w:p>
    <w:p w14:paraId="0D000000">
      <w:pPr>
        <w:numPr>
          <w:ilvl w:val="1"/>
          <w:numId w:val="2"/>
        </w:numPr>
        <w:tabs>
          <w:tab w:leader="none" w:pos="0" w:val="left"/>
        </w:tabs>
        <w:ind w:firstLine="349" w:left="0"/>
        <w:jc w:val="both"/>
        <w:rPr>
          <w:b w:val="1"/>
          <w:highlight w:val="yellow"/>
        </w:rPr>
      </w:pPr>
      <w:r>
        <w:rPr>
          <w:sz w:val="20"/>
        </w:rPr>
        <w:t xml:space="preserve">Право Исполнителя на осуществление деятельности, указанной в Контракте, подтверждается </w:t>
      </w:r>
      <w:r>
        <w:rPr>
          <w:sz w:val="20"/>
        </w:rPr>
        <w:t>членством</w:t>
      </w:r>
      <w:r>
        <w:rPr>
          <w:sz w:val="20"/>
        </w:rPr>
        <w:t xml:space="preserve"> саморегулируемой организации: </w:t>
      </w:r>
      <w:r>
        <w:rPr>
          <w:sz w:val="20"/>
          <w:highlight w:val="yellow"/>
        </w:rPr>
        <w:t>Ассоциация «</w:t>
      </w:r>
      <w:r>
        <w:rPr>
          <w:sz w:val="20"/>
          <w:highlight w:val="yellow"/>
        </w:rPr>
        <w:t>_________________</w:t>
      </w:r>
      <w:r>
        <w:rPr>
          <w:sz w:val="20"/>
          <w:highlight w:val="yellow"/>
        </w:rPr>
        <w:t>»</w:t>
      </w:r>
      <w:r>
        <w:rPr>
          <w:sz w:val="20"/>
          <w:highlight w:val="yellow"/>
        </w:rPr>
        <w:t>.</w:t>
      </w:r>
    </w:p>
    <w:p w14:paraId="0E000000">
      <w:pPr>
        <w:tabs>
          <w:tab w:leader="none" w:pos="0" w:val="left"/>
        </w:tabs>
        <w:ind w:firstLine="0" w:left="284"/>
        <w:jc w:val="both"/>
        <w:rPr>
          <w:b w:val="1"/>
        </w:rPr>
      </w:pPr>
    </w:p>
    <w:p w14:paraId="0F000000">
      <w:pPr>
        <w:pStyle w:val="Style_2"/>
        <w:widowControl w:val="1"/>
        <w:tabs>
          <w:tab w:leader="none" w:pos="0" w:val="left"/>
        </w:tabs>
        <w:ind w:firstLine="284" w:left="0"/>
        <w:jc w:val="center"/>
      </w:pPr>
      <w:r>
        <w:rPr>
          <w:rFonts w:ascii="Times New Roman" w:hAnsi="Times New Roman"/>
          <w:b w:val="1"/>
        </w:rPr>
        <w:t>2. Сроки выполнения</w:t>
      </w:r>
      <w:r>
        <w:rPr>
          <w:rFonts w:ascii="Times New Roman" w:hAnsi="Times New Roman"/>
        </w:rPr>
        <w:t xml:space="preserve"> </w:t>
      </w:r>
      <w:r>
        <w:rPr>
          <w:rFonts w:ascii="Times New Roman" w:hAnsi="Times New Roman"/>
          <w:b w:val="1"/>
        </w:rPr>
        <w:t>услуг</w:t>
      </w:r>
    </w:p>
    <w:p w14:paraId="10000000">
      <w:pPr>
        <w:ind w:firstLine="284" w:left="0"/>
        <w:jc w:val="both"/>
        <w:rPr>
          <w:sz w:val="20"/>
        </w:rPr>
      </w:pPr>
      <w:r>
        <w:rPr>
          <w:sz w:val="20"/>
        </w:rPr>
        <w:t xml:space="preserve">2.1. Сроки </w:t>
      </w:r>
      <w:r>
        <w:rPr>
          <w:sz w:val="20"/>
        </w:rPr>
        <w:t>услуг</w:t>
      </w:r>
      <w:r>
        <w:rPr>
          <w:sz w:val="20"/>
        </w:rPr>
        <w:t xml:space="preserve"> по осуществлению строительного контроля на Объекте: начало – с даты подписания муниципального контракта, окончание </w:t>
      </w:r>
      <w:r>
        <w:rPr>
          <w:sz w:val="20"/>
        </w:rPr>
        <w:t>«</w:t>
      </w:r>
      <w:r>
        <w:rPr>
          <w:sz w:val="20"/>
        </w:rPr>
        <w:t>20</w:t>
      </w:r>
      <w:r>
        <w:rPr>
          <w:sz w:val="20"/>
        </w:rPr>
        <w:t xml:space="preserve">» </w:t>
      </w:r>
      <w:r>
        <w:rPr>
          <w:sz w:val="20"/>
        </w:rPr>
        <w:t>ноября</w:t>
      </w:r>
      <w:r>
        <w:rPr>
          <w:sz w:val="20"/>
        </w:rPr>
        <w:t xml:space="preserve"> 202</w:t>
      </w:r>
      <w:r>
        <w:rPr>
          <w:sz w:val="20"/>
        </w:rPr>
        <w:t>6</w:t>
      </w:r>
      <w:r>
        <w:rPr>
          <w:sz w:val="20"/>
        </w:rPr>
        <w:t xml:space="preserve"> года.</w:t>
      </w:r>
    </w:p>
    <w:p w14:paraId="11000000">
      <w:pPr>
        <w:ind w:firstLine="284" w:left="0"/>
        <w:jc w:val="both"/>
        <w:rPr>
          <w:sz w:val="20"/>
        </w:rPr>
      </w:pPr>
      <w:r>
        <w:rPr>
          <w:sz w:val="20"/>
        </w:rPr>
        <w:t xml:space="preserve">2.2. </w:t>
      </w:r>
      <w:r>
        <w:rPr>
          <w:sz w:val="20"/>
        </w:rPr>
        <w:t>В случае, если услуги не оказаны в установленные сроки по причине прио</w:t>
      </w:r>
      <w:r>
        <w:rPr>
          <w:sz w:val="20"/>
        </w:rPr>
        <w:t xml:space="preserve">становки работ по контракту </w:t>
      </w:r>
      <w:r>
        <w:rPr>
          <w:rStyle w:val="Style_3_ch"/>
          <w:sz w:val="20"/>
        </w:rPr>
        <w:t xml:space="preserve">№ </w:t>
      </w:r>
      <w:r>
        <w:rPr>
          <w:rStyle w:val="Style_3_ch"/>
          <w:sz w:val="20"/>
        </w:rPr>
        <w:t>02-ЭЗК-202</w:t>
      </w:r>
      <w:r>
        <w:rPr>
          <w:rStyle w:val="Style_3_ch"/>
          <w:sz w:val="20"/>
        </w:rPr>
        <w:t>6</w:t>
      </w:r>
      <w:r>
        <w:rPr>
          <w:rStyle w:val="Style_3_ch"/>
          <w:sz w:val="20"/>
        </w:rPr>
        <w:t xml:space="preserve">, заключенному между Заказчиком и Подрядчиком, или по вине Подрядчика, Услуги оказываются до </w:t>
      </w:r>
      <w:r>
        <w:rPr>
          <w:sz w:val="20"/>
        </w:rPr>
        <w:t>момента завершения всех работ по Объекту.</w:t>
      </w:r>
    </w:p>
    <w:p w14:paraId="12000000">
      <w:pPr>
        <w:ind w:firstLine="284" w:left="0"/>
        <w:jc w:val="both"/>
        <w:rPr>
          <w:b w:val="1"/>
          <w:color w:val="000000"/>
        </w:rPr>
      </w:pPr>
    </w:p>
    <w:p w14:paraId="13000000">
      <w:pPr>
        <w:pStyle w:val="Style_2"/>
        <w:widowControl w:val="1"/>
        <w:tabs>
          <w:tab w:leader="none" w:pos="4309" w:val="left"/>
        </w:tabs>
        <w:ind/>
        <w:jc w:val="center"/>
      </w:pPr>
      <w:r>
        <w:rPr>
          <w:rFonts w:ascii="Times New Roman" w:hAnsi="Times New Roman"/>
          <w:b w:val="1"/>
          <w:color w:val="000000"/>
        </w:rPr>
        <w:t xml:space="preserve">3. Стоимость </w:t>
      </w:r>
      <w:r>
        <w:rPr>
          <w:rFonts w:ascii="Times New Roman" w:hAnsi="Times New Roman"/>
          <w:b w:val="1"/>
          <w:color w:val="000000"/>
        </w:rPr>
        <w:t>услуг</w:t>
      </w:r>
      <w:r>
        <w:rPr>
          <w:rFonts w:ascii="Times New Roman" w:hAnsi="Times New Roman"/>
          <w:b w:val="1"/>
          <w:color w:val="000000"/>
        </w:rPr>
        <w:t xml:space="preserve"> по контракту</w:t>
      </w:r>
    </w:p>
    <w:p w14:paraId="14000000">
      <w:pPr>
        <w:ind w:firstLine="284" w:left="0"/>
        <w:jc w:val="both"/>
        <w:rPr>
          <w:rStyle w:val="Style_4_ch"/>
          <w:sz w:val="20"/>
        </w:rPr>
      </w:pPr>
      <w:r>
        <w:rPr>
          <w:sz w:val="20"/>
        </w:rPr>
        <w:t>3.1. Стоимость услуг сос</w:t>
      </w:r>
      <w:r>
        <w:rPr>
          <w:sz w:val="20"/>
        </w:rPr>
        <w:t>тавляет</w:t>
      </w:r>
      <w:r>
        <w:rPr>
          <w:sz w:val="20"/>
          <w:highlight w:val="yellow"/>
        </w:rPr>
        <w:t>:</w:t>
      </w:r>
      <w:r>
        <w:rPr>
          <w:sz w:val="20"/>
          <w:highlight w:val="yellow"/>
        </w:rPr>
        <w:t xml:space="preserve"> </w:t>
      </w:r>
      <w:r>
        <w:rPr>
          <w:b w:val="1"/>
          <w:sz w:val="20"/>
          <w:highlight w:val="yellow"/>
        </w:rPr>
        <w:t>62</w:t>
      </w:r>
      <w:r>
        <w:rPr>
          <w:b w:val="1"/>
          <w:sz w:val="20"/>
          <w:highlight w:val="yellow"/>
        </w:rPr>
        <w:t> </w:t>
      </w:r>
      <w:r>
        <w:rPr>
          <w:b w:val="1"/>
          <w:sz w:val="20"/>
          <w:highlight w:val="yellow"/>
        </w:rPr>
        <w:t>153,</w:t>
      </w:r>
      <w:r>
        <w:rPr>
          <w:b w:val="1"/>
          <w:sz w:val="20"/>
          <w:highlight w:val="yellow"/>
        </w:rPr>
        <w:t>31</w:t>
      </w:r>
      <w:r>
        <w:rPr>
          <w:b w:val="1"/>
          <w:sz w:val="20"/>
          <w:highlight w:val="yellow"/>
        </w:rPr>
        <w:t>(</w:t>
      </w:r>
      <w:r>
        <w:rPr>
          <w:b w:val="1"/>
          <w:sz w:val="20"/>
          <w:highlight w:val="yellow"/>
        </w:rPr>
        <w:t>Шестьдесят две тысячи сто пятьдесят три</w:t>
      </w:r>
      <w:r>
        <w:rPr>
          <w:b w:val="1"/>
          <w:sz w:val="20"/>
          <w:highlight w:val="yellow"/>
        </w:rPr>
        <w:t>)</w:t>
      </w:r>
      <w:r>
        <w:rPr>
          <w:sz w:val="20"/>
          <w:highlight w:val="yellow"/>
        </w:rPr>
        <w:t xml:space="preserve"> рубл</w:t>
      </w:r>
      <w:r>
        <w:rPr>
          <w:sz w:val="20"/>
          <w:highlight w:val="yellow"/>
        </w:rPr>
        <w:t>я</w:t>
      </w:r>
      <w:r>
        <w:rPr>
          <w:sz w:val="20"/>
          <w:highlight w:val="yellow"/>
        </w:rPr>
        <w:t xml:space="preserve"> </w:t>
      </w:r>
      <w:r>
        <w:rPr>
          <w:sz w:val="20"/>
          <w:highlight w:val="yellow"/>
        </w:rPr>
        <w:t>31</w:t>
      </w:r>
      <w:r>
        <w:rPr>
          <w:sz w:val="20"/>
          <w:highlight w:val="yellow"/>
        </w:rPr>
        <w:t xml:space="preserve"> копе</w:t>
      </w:r>
      <w:r>
        <w:rPr>
          <w:sz w:val="20"/>
          <w:highlight w:val="yellow"/>
        </w:rPr>
        <w:t>йка</w:t>
      </w:r>
      <w:r>
        <w:rPr>
          <w:sz w:val="20"/>
          <w:highlight w:val="yellow"/>
        </w:rPr>
        <w:t>,</w:t>
      </w:r>
      <w:r>
        <w:rPr>
          <w:sz w:val="20"/>
          <w:highlight w:val="yellow"/>
        </w:rPr>
        <w:t xml:space="preserve"> </w:t>
      </w:r>
      <w:r>
        <w:rPr>
          <w:sz w:val="20"/>
          <w:highlight w:val="yellow"/>
        </w:rPr>
        <w:t>в том числе НДС_____%,</w:t>
      </w:r>
      <w:r>
        <w:rPr>
          <w:sz w:val="20"/>
          <w:highlight w:val="yellow"/>
        </w:rPr>
        <w:t xml:space="preserve"> НДС не </w:t>
      </w:r>
      <w:r>
        <w:rPr>
          <w:sz w:val="20"/>
          <w:highlight w:val="yellow"/>
        </w:rPr>
        <w:t>облагается. (Приложение № 1 к Контракту).</w:t>
      </w:r>
    </w:p>
    <w:p w14:paraId="15000000">
      <w:pPr>
        <w:ind w:firstLine="284" w:left="0"/>
        <w:jc w:val="both"/>
        <w:rPr>
          <w:rStyle w:val="Style_4_ch"/>
          <w:sz w:val="20"/>
        </w:rPr>
      </w:pPr>
      <w:r>
        <w:rPr>
          <w:rStyle w:val="Style_4_ch"/>
          <w:sz w:val="20"/>
        </w:rPr>
        <w:t>3.2. Цена Контракта является твердой и определяется на весь срок исполнения Контракта.</w:t>
      </w:r>
    </w:p>
    <w:p w14:paraId="16000000">
      <w:pPr>
        <w:ind w:firstLine="284" w:left="0"/>
        <w:jc w:val="both"/>
        <w:rPr>
          <w:rStyle w:val="Style_4_ch"/>
          <w:sz w:val="20"/>
        </w:rPr>
      </w:pPr>
      <w:r>
        <w:rPr>
          <w:rStyle w:val="Style_4_ch"/>
          <w:sz w:val="20"/>
        </w:rPr>
        <w:t xml:space="preserve">3.3 Оплата по </w:t>
      </w:r>
      <w:r>
        <w:rPr>
          <w:rStyle w:val="Style_4_ch"/>
          <w:sz w:val="20"/>
        </w:rPr>
        <w:t xml:space="preserve">настоящему Контракту производится Заказчиком за счет средств бюджета </w:t>
      </w:r>
      <w:r>
        <w:rPr>
          <w:rStyle w:val="Style_4_ch"/>
          <w:sz w:val="20"/>
        </w:rPr>
        <w:t xml:space="preserve">Сосновского сельского поселения </w:t>
      </w:r>
      <w:r>
        <w:rPr>
          <w:rStyle w:val="Style_4_ch"/>
          <w:sz w:val="20"/>
        </w:rPr>
        <w:t>предусмотренным на 202</w:t>
      </w:r>
      <w:r>
        <w:rPr>
          <w:rStyle w:val="Style_4_ch"/>
          <w:sz w:val="20"/>
        </w:rPr>
        <w:t>6</w:t>
      </w:r>
      <w:r>
        <w:rPr>
          <w:rStyle w:val="Style_4_ch"/>
          <w:sz w:val="20"/>
        </w:rPr>
        <w:t xml:space="preserve"> год.</w:t>
      </w:r>
    </w:p>
    <w:p w14:paraId="17000000">
      <w:pPr>
        <w:ind w:firstLine="284" w:left="0"/>
        <w:jc w:val="both"/>
        <w:rPr>
          <w:b w:val="1"/>
          <w:color w:val="000000"/>
        </w:rPr>
      </w:pPr>
      <w:r>
        <w:rPr>
          <w:sz w:val="20"/>
        </w:rPr>
        <w:t>3.</w:t>
      </w:r>
      <w:r>
        <w:rPr>
          <w:sz w:val="20"/>
        </w:rPr>
        <w:t>4</w:t>
      </w:r>
      <w:r>
        <w:rPr>
          <w:sz w:val="20"/>
        </w:rPr>
        <w:t xml:space="preserve">. Услуги, выполненные Исполнителем с нарушением условий Контракта, не подлежат оплате Заказчиком до устранения Исполнителем соответствующих нарушений. </w:t>
      </w:r>
    </w:p>
    <w:p w14:paraId="18000000">
      <w:pPr>
        <w:pStyle w:val="Style_2"/>
        <w:widowControl w:val="1"/>
        <w:ind/>
        <w:jc w:val="center"/>
        <w:rPr>
          <w:rFonts w:ascii="Times New Roman" w:hAnsi="Times New Roman"/>
          <w:b w:val="1"/>
          <w:color w:val="000000"/>
        </w:rPr>
      </w:pPr>
      <w:r>
        <w:rPr>
          <w:rFonts w:ascii="Times New Roman" w:hAnsi="Times New Roman"/>
          <w:b w:val="1"/>
          <w:color w:val="000000"/>
        </w:rPr>
        <w:t xml:space="preserve"> </w:t>
      </w:r>
    </w:p>
    <w:p w14:paraId="19000000">
      <w:pPr>
        <w:pStyle w:val="Style_2"/>
        <w:widowControl w:val="1"/>
        <w:ind/>
        <w:jc w:val="center"/>
      </w:pPr>
      <w:r>
        <w:rPr>
          <w:rFonts w:ascii="Times New Roman" w:hAnsi="Times New Roman"/>
          <w:b w:val="1"/>
          <w:color w:val="000000"/>
        </w:rPr>
        <w:t>4. Платежи и расчеты</w:t>
      </w:r>
    </w:p>
    <w:p w14:paraId="1A000000">
      <w:pPr>
        <w:ind w:firstLine="284" w:left="0"/>
        <w:jc w:val="both"/>
      </w:pPr>
      <w:r>
        <w:rPr>
          <w:sz w:val="20"/>
        </w:rPr>
        <w:t>4.1. Денежные средства за ока</w:t>
      </w:r>
      <w:r>
        <w:rPr>
          <w:sz w:val="20"/>
        </w:rPr>
        <w:t xml:space="preserve">занные услуги перечисляются на расчетный счет Исполнителя в соответствии с правилами казначейского исполнения бюджета </w:t>
      </w:r>
      <w:r>
        <w:rPr>
          <w:sz w:val="20"/>
        </w:rPr>
        <w:t>Сосновского</w:t>
      </w:r>
      <w:r>
        <w:rPr>
          <w:sz w:val="20"/>
        </w:rPr>
        <w:t xml:space="preserve"> сельского поселения</w:t>
      </w:r>
      <w:r>
        <w:rPr>
          <w:sz w:val="20"/>
        </w:rPr>
        <w:t xml:space="preserve"> Приозерск</w:t>
      </w:r>
      <w:r>
        <w:rPr>
          <w:sz w:val="20"/>
        </w:rPr>
        <w:t>ого</w:t>
      </w:r>
      <w:r>
        <w:rPr>
          <w:sz w:val="20"/>
        </w:rPr>
        <w:t xml:space="preserve"> муниципальн</w:t>
      </w:r>
      <w:r>
        <w:rPr>
          <w:sz w:val="20"/>
        </w:rPr>
        <w:t>ого</w:t>
      </w:r>
      <w:r>
        <w:rPr>
          <w:sz w:val="20"/>
        </w:rPr>
        <w:t xml:space="preserve"> район</w:t>
      </w:r>
      <w:r>
        <w:rPr>
          <w:sz w:val="20"/>
        </w:rPr>
        <w:t>а</w:t>
      </w:r>
      <w:r>
        <w:rPr>
          <w:sz w:val="20"/>
        </w:rPr>
        <w:t xml:space="preserve"> Ленинградской области. </w:t>
      </w:r>
    </w:p>
    <w:p w14:paraId="1B000000">
      <w:pPr>
        <w:pStyle w:val="Style_2"/>
        <w:widowControl w:val="1"/>
        <w:ind w:firstLine="284" w:left="0"/>
        <w:jc w:val="both"/>
      </w:pPr>
      <w:r>
        <w:rPr>
          <w:rFonts w:ascii="Times New Roman" w:hAnsi="Times New Roman"/>
        </w:rPr>
        <w:t>4.2.</w:t>
      </w:r>
      <w:r>
        <w:t xml:space="preserve"> </w:t>
      </w:r>
      <w:r>
        <w:rPr>
          <w:rFonts w:ascii="Times New Roman" w:hAnsi="Times New Roman"/>
        </w:rPr>
        <w:t xml:space="preserve">Оплата за оказанные услуги производится Заказчиком безналичным платежом, на основании Акта </w:t>
      </w:r>
      <w:r>
        <w:rPr>
          <w:rFonts w:ascii="Times New Roman" w:hAnsi="Times New Roman"/>
        </w:rPr>
        <w:t>приёмки оказанных услуг</w:t>
      </w:r>
      <w:r>
        <w:rPr>
          <w:rFonts w:ascii="Times New Roman" w:hAnsi="Times New Roman"/>
          <w:color w:val="000000"/>
        </w:rPr>
        <w:t>, счета на оплату</w:t>
      </w:r>
      <w:r>
        <w:rPr>
          <w:rFonts w:ascii="Times New Roman" w:hAnsi="Times New Roman"/>
        </w:rPr>
        <w:t xml:space="preserve"> в течение </w:t>
      </w:r>
      <w:r>
        <w:rPr>
          <w:rFonts w:ascii="Times New Roman" w:hAnsi="Times New Roman"/>
        </w:rPr>
        <w:t>10(Десяти)</w:t>
      </w:r>
      <w:r>
        <w:rPr>
          <w:rFonts w:ascii="Times New Roman" w:hAnsi="Times New Roman"/>
        </w:rPr>
        <w:t xml:space="preserve"> рабочих дней после подписания Акта </w:t>
      </w:r>
      <w:r>
        <w:rPr>
          <w:rFonts w:ascii="Times New Roman" w:hAnsi="Times New Roman"/>
        </w:rPr>
        <w:t>приёмки оказанных услуг Заказчиком</w:t>
      </w:r>
      <w:r>
        <w:rPr>
          <w:rFonts w:ascii="Times New Roman" w:hAnsi="Times New Roman"/>
        </w:rPr>
        <w:t>.</w:t>
      </w:r>
    </w:p>
    <w:p w14:paraId="1C000000">
      <w:pPr>
        <w:tabs>
          <w:tab w:leader="none" w:pos="1260" w:val="left"/>
        </w:tabs>
        <w:ind w:firstLine="284" w:left="0"/>
        <w:jc w:val="both"/>
        <w:rPr>
          <w:color w:val="000000"/>
        </w:rPr>
      </w:pPr>
      <w:r>
        <w:rPr>
          <w:sz w:val="20"/>
        </w:rPr>
        <w:t>Днем платежа по Контракту считается дата списания денежных средств со счет</w:t>
      </w:r>
      <w:r>
        <w:rPr>
          <w:sz w:val="20"/>
        </w:rPr>
        <w:t>а Заказчика.</w:t>
      </w:r>
    </w:p>
    <w:p w14:paraId="1D000000">
      <w:pPr>
        <w:pStyle w:val="Style_2"/>
        <w:widowControl w:val="1"/>
        <w:ind/>
        <w:jc w:val="both"/>
      </w:pPr>
      <w:r>
        <w:rPr>
          <w:rFonts w:ascii="Times New Roman" w:hAnsi="Times New Roman"/>
          <w:color w:val="000000"/>
        </w:rPr>
        <w:t xml:space="preserve">     4.3. Исполнитель составляет и передает Заказчику документы, указанные в п. 4.2. Заказчик в течение 5 (пяти) рабочих дней со дня получения вышеуказанных документов, подписывает их и передает Исполнителю.</w:t>
      </w:r>
    </w:p>
    <w:p w14:paraId="1E000000">
      <w:pPr>
        <w:pStyle w:val="Style_5"/>
        <w:ind w:firstLine="284" w:left="0"/>
        <w:rPr>
          <w:sz w:val="20"/>
        </w:rPr>
      </w:pPr>
      <w:r>
        <w:rPr>
          <w:sz w:val="20"/>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w:t>
      </w:r>
      <w:r>
        <w:rPr>
          <w:sz w:val="20"/>
        </w:rPr>
        <w:t>нную оплату оказанных услуг Исполнителем.</w:t>
      </w:r>
    </w:p>
    <w:p w14:paraId="1F000000">
      <w:pPr>
        <w:pStyle w:val="Style_5"/>
        <w:ind w:firstLine="284" w:left="0"/>
        <w:rPr>
          <w:sz w:val="20"/>
        </w:rPr>
      </w:pPr>
    </w:p>
    <w:p w14:paraId="20000000">
      <w:pPr>
        <w:pStyle w:val="Style_2"/>
        <w:widowControl w:val="1"/>
        <w:ind/>
        <w:jc w:val="center"/>
        <w:rPr>
          <w:rFonts w:ascii="Times New Roman" w:hAnsi="Times New Roman"/>
          <w:b w:val="1"/>
          <w:color w:val="000000"/>
          <w:u w:val="single"/>
        </w:rPr>
      </w:pPr>
      <w:r>
        <w:rPr>
          <w:rFonts w:ascii="Times New Roman" w:hAnsi="Times New Roman"/>
          <w:b w:val="1"/>
          <w:color w:val="000000"/>
        </w:rPr>
        <w:t>5. Обязательства Сторон</w:t>
      </w:r>
    </w:p>
    <w:p w14:paraId="21000000">
      <w:pPr>
        <w:pStyle w:val="Style_2"/>
        <w:widowControl w:val="1"/>
        <w:numPr>
          <w:ilvl w:val="1"/>
          <w:numId w:val="3"/>
        </w:numPr>
        <w:tabs>
          <w:tab w:leader="none" w:pos="0" w:val="left"/>
        </w:tabs>
        <w:ind w:firstLine="284" w:left="0"/>
        <w:jc w:val="both"/>
        <w:rPr>
          <w:rFonts w:ascii="Times New Roman" w:hAnsi="Times New Roman"/>
        </w:rPr>
      </w:pPr>
      <w:r>
        <w:rPr>
          <w:rFonts w:ascii="Times New Roman" w:hAnsi="Times New Roman"/>
          <w:b w:val="1"/>
          <w:color w:val="000000"/>
          <w:u w:val="single"/>
        </w:rPr>
        <w:t>Заказчик обязан:</w:t>
      </w:r>
    </w:p>
    <w:p w14:paraId="22000000">
      <w:pPr>
        <w:pStyle w:val="Style_6"/>
        <w:ind w:firstLine="360" w:left="0" w:right="0"/>
        <w:jc w:val="both"/>
        <w:rPr>
          <w:rFonts w:ascii="Times New Roman" w:hAnsi="Times New Roman"/>
          <w:sz w:val="20"/>
        </w:rPr>
      </w:pPr>
      <w:r>
        <w:rPr>
          <w:rFonts w:ascii="Times New Roman" w:hAnsi="Times New Roman"/>
          <w:sz w:val="20"/>
        </w:rPr>
        <w:t xml:space="preserve">5.1.1. Обеспечить доступ представителя Исполнителя к объекту для осуществления строительного контроля </w:t>
      </w:r>
      <w:r>
        <w:rPr>
          <w:rFonts w:ascii="Times New Roman" w:hAnsi="Times New Roman"/>
          <w:color w:val="000000"/>
          <w:sz w:val="20"/>
        </w:rPr>
        <w:t>на весь период действия</w:t>
      </w:r>
      <w:r>
        <w:rPr>
          <w:rFonts w:ascii="Times New Roman" w:hAnsi="Times New Roman"/>
          <w:sz w:val="20"/>
        </w:rPr>
        <w:t xml:space="preserve"> Контракта</w:t>
      </w:r>
      <w:r>
        <w:rPr>
          <w:rFonts w:ascii="Times New Roman" w:hAnsi="Times New Roman"/>
          <w:color w:val="000000"/>
          <w:sz w:val="20"/>
        </w:rPr>
        <w:t>.</w:t>
      </w:r>
    </w:p>
    <w:p w14:paraId="23000000">
      <w:pPr>
        <w:pStyle w:val="Style_6"/>
        <w:ind w:firstLine="360" w:left="0" w:right="0"/>
        <w:jc w:val="both"/>
        <w:rPr>
          <w:rFonts w:ascii="Times New Roman" w:hAnsi="Times New Roman"/>
          <w:sz w:val="20"/>
        </w:rPr>
      </w:pPr>
      <w:r>
        <w:rPr>
          <w:rFonts w:ascii="Times New Roman" w:hAnsi="Times New Roman"/>
          <w:sz w:val="20"/>
        </w:rPr>
        <w:t>5.1.2. Предоставлять по требованию Исполнителя необходимую документацию для выполнения Исполнителем своих обязательств по настоящему Контракту.</w:t>
      </w:r>
    </w:p>
    <w:p w14:paraId="24000000">
      <w:pPr>
        <w:pStyle w:val="Style_6"/>
        <w:ind w:firstLine="360" w:left="0" w:right="0"/>
        <w:jc w:val="both"/>
        <w:rPr>
          <w:sz w:val="20"/>
        </w:rPr>
      </w:pPr>
      <w:r>
        <w:rPr>
          <w:rFonts w:ascii="Times New Roman" w:hAnsi="Times New Roman"/>
          <w:sz w:val="20"/>
        </w:rPr>
        <w:t>5.1.3. Принимать и оплачивать выполненную Исполнителем работу в порядке, установленном условиям настоящего Контракта.</w:t>
      </w:r>
    </w:p>
    <w:p w14:paraId="25000000">
      <w:pPr>
        <w:numPr>
          <w:ilvl w:val="2"/>
          <w:numId w:val="4"/>
        </w:numPr>
        <w:tabs>
          <w:tab w:leader="none" w:pos="1066" w:val="left"/>
          <w:tab w:leader="none" w:pos="1440" w:val="clear"/>
        </w:tabs>
        <w:ind w:hanging="720" w:left="1066"/>
        <w:rPr>
          <w:sz w:val="20"/>
        </w:rPr>
      </w:pPr>
      <w:r>
        <w:rPr>
          <w:sz w:val="20"/>
        </w:rPr>
        <w:t>Предоставить Исполнителю:</w:t>
      </w:r>
    </w:p>
    <w:p w14:paraId="26000000">
      <w:pPr>
        <w:numPr>
          <w:ilvl w:val="0"/>
          <w:numId w:val="5"/>
        </w:numPr>
        <w:tabs>
          <w:tab w:leader="none" w:pos="993" w:val="left"/>
        </w:tabs>
        <w:ind/>
        <w:rPr>
          <w:b w:val="1"/>
          <w:color w:val="000000"/>
        </w:rPr>
      </w:pPr>
      <w:r>
        <w:rPr>
          <w:sz w:val="20"/>
        </w:rPr>
        <w:t>Коп</w:t>
      </w:r>
      <w:r>
        <w:rPr>
          <w:sz w:val="20"/>
        </w:rPr>
        <w:t>ию муниципального контракта на Объект с Подрядчиком.</w:t>
      </w:r>
    </w:p>
    <w:p w14:paraId="27000000">
      <w:pPr>
        <w:pStyle w:val="Style_2"/>
        <w:widowControl w:val="1"/>
        <w:ind/>
        <w:jc w:val="both"/>
      </w:pPr>
      <w:r>
        <w:rPr>
          <w:rFonts w:ascii="Times New Roman" w:hAnsi="Times New Roman"/>
          <w:b w:val="1"/>
          <w:color w:val="000000"/>
        </w:rPr>
        <w:t xml:space="preserve">      5.2.   </w:t>
      </w:r>
      <w:r>
        <w:rPr>
          <w:rFonts w:ascii="Times New Roman" w:hAnsi="Times New Roman"/>
          <w:b w:val="1"/>
          <w:color w:val="000000"/>
          <w:u w:val="single"/>
        </w:rPr>
        <w:t>Исполнитель обязан:</w:t>
      </w:r>
    </w:p>
    <w:p w14:paraId="28000000">
      <w:pPr>
        <w:rPr>
          <w:sz w:val="20"/>
        </w:rPr>
      </w:pPr>
      <w:r>
        <w:rPr>
          <w:sz w:val="20"/>
        </w:rPr>
        <w:t xml:space="preserve">         5.2.1. Обеспечивать строительный контроль за всеми работами, проводимыми на объекте, в течение всего периода действия контракта. </w:t>
      </w:r>
    </w:p>
    <w:p w14:paraId="29000000">
      <w:pPr>
        <w:pStyle w:val="Style_7"/>
        <w:ind/>
        <w:jc w:val="both"/>
        <w:rPr>
          <w:sz w:val="20"/>
        </w:rPr>
      </w:pPr>
      <w:r>
        <w:rPr>
          <w:sz w:val="20"/>
        </w:rPr>
        <w:t xml:space="preserve">         5.2.2. Не допускать проведения и приёмки выполненных строительных работ с нарушением требований согласованной и утверждённой сметной документации, строительных норм, правил, стандартов и технических условий, использования недоброкачественных строительных материалов, конструкций</w:t>
      </w:r>
      <w:r>
        <w:rPr>
          <w:sz w:val="20"/>
        </w:rPr>
        <w:t>, изделий, ввода в эксплуатацию объекта с нарушением установленных правил.</w:t>
      </w:r>
    </w:p>
    <w:p w14:paraId="2A000000">
      <w:pPr>
        <w:ind/>
        <w:jc w:val="both"/>
        <w:rPr>
          <w:sz w:val="20"/>
        </w:rPr>
      </w:pPr>
      <w:r>
        <w:rPr>
          <w:sz w:val="20"/>
        </w:rPr>
        <w:t xml:space="preserve">         5.2.3. Осуществлять строительный контроль за ходом строительно-монтажных работ. </w:t>
      </w:r>
    </w:p>
    <w:p w14:paraId="2B000000">
      <w:pPr>
        <w:pStyle w:val="Style_7"/>
        <w:ind/>
        <w:jc w:val="both"/>
        <w:rPr>
          <w:sz w:val="20"/>
        </w:rPr>
      </w:pPr>
      <w:r>
        <w:rPr>
          <w:sz w:val="20"/>
        </w:rPr>
        <w:t xml:space="preserve">         5.2.4. Контролировать строительно-монтажные, инженерные работы и испытания, осуществляемые Подрядчиком, и соответствие их СНиП, ГОСТ, иным Техническим Регламентам и Законодательству РФ. </w:t>
      </w:r>
    </w:p>
    <w:p w14:paraId="2C000000">
      <w:pPr>
        <w:pStyle w:val="Style_7"/>
        <w:ind/>
        <w:jc w:val="both"/>
        <w:rPr>
          <w:sz w:val="20"/>
        </w:rPr>
      </w:pPr>
      <w:r>
        <w:rPr>
          <w:sz w:val="20"/>
        </w:rPr>
        <w:t xml:space="preserve">         5.2.5. Контролировать соблюдение Подрядчиком строительных технологических процессов. </w:t>
      </w:r>
    </w:p>
    <w:p w14:paraId="2D000000">
      <w:pPr>
        <w:pStyle w:val="Style_7"/>
        <w:ind/>
        <w:jc w:val="both"/>
        <w:rPr>
          <w:sz w:val="20"/>
        </w:rPr>
      </w:pPr>
      <w:r>
        <w:rPr>
          <w:sz w:val="20"/>
        </w:rPr>
        <w:t xml:space="preserve">         5.2.6. Контролировать качество применяемых стро</w:t>
      </w:r>
      <w:r>
        <w:rPr>
          <w:sz w:val="20"/>
        </w:rPr>
        <w:t xml:space="preserve">ительных материалов, комплектующих и оборудования, в соответствии со СНиП, ГОСТ и иным Техническим Регламентам и Законодательству РФ. </w:t>
      </w:r>
    </w:p>
    <w:p w14:paraId="2E000000">
      <w:pPr>
        <w:ind/>
        <w:jc w:val="both"/>
        <w:rPr>
          <w:sz w:val="20"/>
        </w:rPr>
      </w:pPr>
      <w:r>
        <w:rPr>
          <w:sz w:val="20"/>
        </w:rPr>
        <w:t xml:space="preserve">         5.2.7. Немедленно извещать Заказчика и до получения от не</w:t>
      </w:r>
      <w:r>
        <w:rPr>
          <w:sz w:val="20"/>
        </w:rPr>
        <w:t>го указаний приостанавливать работы при обнаружении:</w:t>
      </w:r>
    </w:p>
    <w:p w14:paraId="2F000000">
      <w:pPr>
        <w:ind/>
        <w:jc w:val="both"/>
        <w:rPr>
          <w:sz w:val="20"/>
        </w:rPr>
      </w:pPr>
      <w:r>
        <w:rPr>
          <w:sz w:val="20"/>
        </w:rPr>
        <w:t xml:space="preserve">- непригодности или недоброкачественности строительных материалов, оборудования, технической документации; </w:t>
      </w:r>
    </w:p>
    <w:p w14:paraId="30000000">
      <w:pPr>
        <w:ind/>
        <w:jc w:val="both"/>
        <w:rPr>
          <w:sz w:val="20"/>
        </w:rPr>
      </w:pPr>
      <w:r>
        <w:rPr>
          <w:sz w:val="20"/>
        </w:rPr>
        <w:t xml:space="preserve">- возможных неблагоприятных для Заказчика последствий выполнения его указаний об иных способах исполнения работ; </w:t>
      </w:r>
    </w:p>
    <w:p w14:paraId="31000000">
      <w:pPr>
        <w:ind/>
        <w:jc w:val="both"/>
        <w:rPr>
          <w:sz w:val="20"/>
        </w:rPr>
      </w:pPr>
      <w:r>
        <w:rPr>
          <w:sz w:val="20"/>
        </w:rPr>
        <w:t>- нарушений технологии и ухудшения к</w:t>
      </w:r>
      <w:r>
        <w:rPr>
          <w:sz w:val="20"/>
        </w:rPr>
        <w:t>ачества строительно-монтажных работ.</w:t>
      </w:r>
    </w:p>
    <w:p w14:paraId="32000000">
      <w:pPr>
        <w:pStyle w:val="Style_7"/>
        <w:ind/>
        <w:jc w:val="both"/>
        <w:rPr>
          <w:sz w:val="20"/>
        </w:rPr>
      </w:pPr>
      <w:r>
        <w:rPr>
          <w:sz w:val="20"/>
        </w:rPr>
        <w:t xml:space="preserve">         5.2.8. Контролировать сроки выполнения строительно-монтажных работ, предусмотренные договором подряда. </w:t>
      </w:r>
    </w:p>
    <w:p w14:paraId="33000000">
      <w:pPr>
        <w:pStyle w:val="Style_7"/>
        <w:ind/>
        <w:jc w:val="both"/>
        <w:rPr>
          <w:sz w:val="20"/>
        </w:rPr>
      </w:pPr>
      <w:r>
        <w:rPr>
          <w:sz w:val="20"/>
        </w:rPr>
        <w:t xml:space="preserve">        5.2.9. Контролировать своевр</w:t>
      </w:r>
      <w:r>
        <w:rPr>
          <w:sz w:val="20"/>
        </w:rPr>
        <w:t xml:space="preserve">еменное устранение недостатков и дефектов, выявленных при выполнении и приемке работ. </w:t>
      </w:r>
    </w:p>
    <w:p w14:paraId="34000000">
      <w:pPr>
        <w:pStyle w:val="Style_7"/>
        <w:ind/>
        <w:jc w:val="both"/>
        <w:rPr>
          <w:sz w:val="20"/>
        </w:rPr>
      </w:pPr>
      <w:r>
        <w:rPr>
          <w:sz w:val="20"/>
        </w:rPr>
        <w:t xml:space="preserve">         5.2.10. Участвовать в приемке законченных этапов работ. </w:t>
      </w:r>
    </w:p>
    <w:p w14:paraId="35000000">
      <w:pPr>
        <w:pStyle w:val="Style_7"/>
        <w:ind/>
        <w:jc w:val="both"/>
        <w:rPr>
          <w:sz w:val="20"/>
        </w:rPr>
      </w:pPr>
      <w:r>
        <w:rPr>
          <w:sz w:val="20"/>
        </w:rPr>
        <w:t xml:space="preserve">         5.2.11. Участвовать в приемке и составлении актов скрытых работ. </w:t>
      </w:r>
    </w:p>
    <w:p w14:paraId="36000000">
      <w:pPr>
        <w:pStyle w:val="Style_7"/>
        <w:ind/>
        <w:jc w:val="both"/>
        <w:rPr>
          <w:sz w:val="20"/>
        </w:rPr>
      </w:pPr>
      <w:r>
        <w:rPr>
          <w:sz w:val="20"/>
        </w:rPr>
        <w:t xml:space="preserve">         5.2.12. Проверять акты на соответствие выполненным объемам работ и качеству. </w:t>
      </w:r>
    </w:p>
    <w:p w14:paraId="37000000">
      <w:pPr>
        <w:ind/>
        <w:jc w:val="both"/>
        <w:rPr>
          <w:sz w:val="20"/>
        </w:rPr>
      </w:pPr>
      <w:r>
        <w:rPr>
          <w:sz w:val="20"/>
        </w:rPr>
        <w:t xml:space="preserve">         5.</w:t>
      </w:r>
      <w:r>
        <w:rPr>
          <w:sz w:val="20"/>
        </w:rPr>
        <w:t>2.13. Незамедлительно извещать Заказчика в случае, если будут обнаружены некачественно выполненные строительно-монтажные работы, и требовать от подрядной организации (без увеличения стоимости работ по Контракту) в кратчайший срок устранения отмеченных недостатков.</w:t>
      </w:r>
    </w:p>
    <w:p w14:paraId="38000000">
      <w:pPr>
        <w:pStyle w:val="Style_7"/>
        <w:ind/>
        <w:jc w:val="both"/>
        <w:rPr>
          <w:sz w:val="20"/>
        </w:rPr>
      </w:pPr>
      <w:r>
        <w:rPr>
          <w:sz w:val="20"/>
        </w:rPr>
        <w:t xml:space="preserve">         5.2.14. Извещать Заказчика о завершении строительно-монтажных работ на объекте.</w:t>
      </w:r>
    </w:p>
    <w:p w14:paraId="39000000">
      <w:pPr>
        <w:pStyle w:val="Style_7"/>
        <w:ind/>
        <w:jc w:val="both"/>
        <w:rPr>
          <w:sz w:val="20"/>
        </w:rPr>
      </w:pPr>
      <w:r>
        <w:rPr>
          <w:sz w:val="20"/>
        </w:rPr>
        <w:t xml:space="preserve">         5.2.15. Передать Заказчику всю исполнительную документацию, полученную для проверки от Подрядчика, к моменту приемки объекта в эксп</w:t>
      </w:r>
      <w:r>
        <w:rPr>
          <w:sz w:val="20"/>
        </w:rPr>
        <w:t xml:space="preserve">луатацию. </w:t>
      </w:r>
    </w:p>
    <w:p w14:paraId="3A000000">
      <w:pPr>
        <w:widowControl w:val="0"/>
        <w:ind/>
        <w:jc w:val="both"/>
        <w:rPr>
          <w:sz w:val="20"/>
        </w:rPr>
      </w:pPr>
      <w:r>
        <w:rPr>
          <w:sz w:val="20"/>
        </w:rPr>
        <w:t xml:space="preserve">       </w:t>
      </w:r>
      <w:r>
        <w:rPr>
          <w:sz w:val="20"/>
        </w:rPr>
        <w:t xml:space="preserve">  5.2.16. При предъявлении Подрядчиком к оплате объемов выполненных работ сверять их соответствие фактически выполненным объемам, предъявленным к приемке, подписывать и заверять печатью формы КС-2.</w:t>
      </w:r>
    </w:p>
    <w:p w14:paraId="3B000000">
      <w:pPr>
        <w:rPr>
          <w:b w:val="1"/>
          <w:color w:val="000000"/>
        </w:rPr>
      </w:pPr>
    </w:p>
    <w:p w14:paraId="3C000000">
      <w:pPr>
        <w:pStyle w:val="Style_2"/>
        <w:widowControl w:val="1"/>
        <w:ind/>
        <w:jc w:val="center"/>
      </w:pPr>
      <w:r>
        <w:rPr>
          <w:rFonts w:ascii="Times New Roman" w:hAnsi="Times New Roman"/>
          <w:b w:val="1"/>
          <w:color w:val="000000"/>
        </w:rPr>
        <w:t>6. Ответственность сторон и иные последствия нарушения обязательств</w:t>
      </w:r>
    </w:p>
    <w:p w14:paraId="3D000000">
      <w:pPr>
        <w:ind w:firstLine="284" w:left="0"/>
        <w:jc w:val="both"/>
        <w:rPr>
          <w:sz w:val="20"/>
        </w:rPr>
      </w:pPr>
      <w:r>
        <w:rPr>
          <w:sz w:val="20"/>
        </w:rPr>
        <w:t xml:space="preserve"> 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и настоящим Контрактом.</w:t>
      </w:r>
    </w:p>
    <w:p w14:paraId="3E000000">
      <w:pPr>
        <w:ind w:firstLine="284" w:left="0"/>
        <w:jc w:val="both"/>
        <w:rPr>
          <w:sz w:val="20"/>
        </w:rPr>
      </w:pPr>
      <w:r>
        <w:rPr>
          <w:sz w:val="20"/>
        </w:rPr>
        <w:t>6.2. В случае просрочки исполнения Исполни</w:t>
      </w:r>
      <w:r>
        <w:rPr>
          <w:sz w:val="20"/>
        </w:rPr>
        <w:t>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F000000">
      <w:pPr>
        <w:ind w:firstLine="284" w:left="0"/>
        <w:jc w:val="both"/>
        <w:rPr>
          <w:sz w:val="20"/>
        </w:rPr>
      </w:pPr>
      <w:r>
        <w:rPr>
          <w:sz w:val="20"/>
        </w:rPr>
        <w:t xml:space="preserve">6.3. За каждый факт неисполнения или ненадлежащего исполнения </w:t>
      </w:r>
      <w:r>
        <w:rPr>
          <w:color w:val="000000"/>
          <w:sz w:val="20"/>
        </w:rPr>
        <w:t xml:space="preserve">Исполнителем </w:t>
      </w:r>
      <w:r>
        <w:rPr>
          <w:sz w:val="20"/>
        </w:rPr>
        <w:t>обязательств, предусмотренных Контрактом, за исключением просрочки исполнения обязательств (в том числе гарантийного обя</w:t>
      </w:r>
      <w:r>
        <w:rPr>
          <w:sz w:val="20"/>
        </w:rPr>
        <w:t>зательства), предусмотренных</w:t>
      </w:r>
      <w:r>
        <w:rPr>
          <w:sz w:val="20"/>
        </w:rPr>
        <w:t xml:space="preserve"> Контрактом, размер штрафа устанавливается в виде фиксированной суммы, определяемой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w:t>
      </w:r>
      <w:r>
        <w:rPr>
          <w:sz w:val="20"/>
        </w:rPr>
        <w:t>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w:t>
      </w:r>
      <w:r>
        <w:rPr>
          <w:sz w:val="20"/>
        </w:rPr>
        <w:t>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w:t>
      </w:r>
      <w:r>
        <w:rPr>
          <w:sz w:val="20"/>
        </w:rPr>
        <w:t>я 2013 г. № 1063» (далее – постановление Правительства РФ от 30.08.2017 № 1042), и составл</w:t>
      </w:r>
      <w:r>
        <w:rPr>
          <w:sz w:val="20"/>
        </w:rPr>
        <w:t>яет 10 процентов цены контракта.</w:t>
      </w:r>
    </w:p>
    <w:p w14:paraId="40000000">
      <w:pPr>
        <w:ind w:firstLine="284" w:left="0"/>
        <w:jc w:val="both"/>
        <w:rPr>
          <w:sz w:val="20"/>
        </w:rPr>
      </w:pPr>
      <w:r>
        <w:rPr>
          <w:sz w:val="20"/>
        </w:rPr>
        <w:t>6.4. За каждый факт неисполнения или ненадлежащего ис</w:t>
      </w:r>
      <w:r>
        <w:rPr>
          <w:sz w:val="20"/>
        </w:rPr>
        <w:t>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- 1000 (Одна тысяча руб. 00 коп.) рублей.</w:t>
      </w:r>
    </w:p>
    <w:p w14:paraId="41000000">
      <w:pPr>
        <w:ind w:firstLine="284" w:left="0"/>
        <w:jc w:val="both"/>
        <w:rPr>
          <w:sz w:val="20"/>
        </w:rPr>
      </w:pPr>
      <w:r>
        <w:rPr>
          <w:sz w:val="20"/>
        </w:rPr>
        <w:t>6.5. В случае просрочки исполнения своих обязательств по настоящему Контракту Исполнитель уплачивает Заказчику неустойку (пени).</w:t>
      </w:r>
    </w:p>
    <w:p w14:paraId="42000000">
      <w:pPr>
        <w:ind w:firstLine="284" w:left="0"/>
        <w:jc w:val="both"/>
        <w:rPr>
          <w:sz w:val="20"/>
        </w:rPr>
      </w:pPr>
      <w:r>
        <w:rPr>
          <w:sz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w:t>
      </w:r>
      <w:r>
        <w:rPr>
          <w:sz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3000000">
      <w:pPr>
        <w:ind w:firstLine="284" w:left="0"/>
        <w:jc w:val="both"/>
        <w:rPr>
          <w:sz w:val="20"/>
        </w:rPr>
      </w:pPr>
      <w:r>
        <w:rPr>
          <w:sz w:val="20"/>
        </w:rPr>
        <w:t>6.6.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44000000">
      <w:pPr>
        <w:ind w:firstLine="284" w:left="0"/>
        <w:jc w:val="both"/>
        <w:rPr>
          <w:color w:val="000000"/>
          <w:sz w:val="20"/>
        </w:rPr>
      </w:pPr>
      <w:r>
        <w:rPr>
          <w:sz w:val="20"/>
        </w:rPr>
        <w:t xml:space="preserve">6.7. </w:t>
      </w:r>
      <w:r>
        <w:rPr>
          <w:color w:val="000000"/>
          <w:sz w:val="20"/>
        </w:rPr>
        <w:t xml:space="preserve">Заказчик при оплате оказанных по настоящему Контракту услуг вправе удержать </w:t>
      </w:r>
      <w:r>
        <w:rPr>
          <w:color w:val="000000"/>
          <w:sz w:val="20"/>
        </w:rPr>
        <w:t>сумму неустойки (</w:t>
      </w:r>
      <w:r>
        <w:rPr>
          <w:sz w:val="20"/>
        </w:rPr>
        <w:t>штрафа, пени)</w:t>
      </w:r>
      <w:r>
        <w:rPr>
          <w:color w:val="000000"/>
          <w:sz w:val="20"/>
        </w:rPr>
        <w:t>, начисленную на дат</w:t>
      </w:r>
      <w:r>
        <w:rPr>
          <w:color w:val="000000"/>
          <w:sz w:val="20"/>
        </w:rPr>
        <w:t>у подписания Акта сдачи-приемки оказанных услуг с суммы, предназначенной для оплаты оказанных услуг. Сумма неустойки (</w:t>
      </w:r>
      <w:r>
        <w:rPr>
          <w:sz w:val="20"/>
        </w:rPr>
        <w:t>штрафа, пени)</w:t>
      </w:r>
      <w:r>
        <w:rPr>
          <w:color w:val="000000"/>
          <w:sz w:val="20"/>
        </w:rPr>
        <w:t xml:space="preserve"> засчитывается в счет исполнения обязательств Заказчика по оплате Исполнит</w:t>
      </w:r>
      <w:r>
        <w:rPr>
          <w:color w:val="000000"/>
          <w:sz w:val="20"/>
        </w:rPr>
        <w:t>елю стоимости оказанных услуг. При этом исполнение обязательства Исполнителя по перечислению неустойки (</w:t>
      </w:r>
      <w:r>
        <w:rPr>
          <w:sz w:val="20"/>
        </w:rPr>
        <w:t>штрафа, пени)</w:t>
      </w:r>
      <w:r>
        <w:rPr>
          <w:color w:val="000000"/>
          <w:sz w:val="20"/>
        </w:rPr>
        <w:t xml:space="preserve"> в установленном порядке в муниципальный бюджет возлагается на Заказчика.</w:t>
      </w:r>
    </w:p>
    <w:p w14:paraId="45000000">
      <w:pPr>
        <w:ind w:firstLine="284" w:left="0"/>
        <w:jc w:val="both"/>
        <w:rPr>
          <w:color w:val="000000"/>
          <w:sz w:val="20"/>
        </w:rPr>
      </w:pPr>
      <w:r>
        <w:rPr>
          <w:color w:val="000000"/>
          <w:sz w:val="20"/>
        </w:rPr>
        <w:t>6.8. В случае, если по какой-либо причине Заказчик не уд</w:t>
      </w:r>
      <w:r>
        <w:rPr>
          <w:color w:val="000000"/>
          <w:sz w:val="20"/>
        </w:rPr>
        <w:t xml:space="preserve">ержит </w:t>
      </w:r>
      <w:r>
        <w:rPr>
          <w:sz w:val="20"/>
        </w:rPr>
        <w:t xml:space="preserve">неустойку (штраф, пеню) </w:t>
      </w:r>
      <w:r>
        <w:rPr>
          <w:color w:val="000000"/>
          <w:sz w:val="20"/>
        </w:rPr>
        <w:t xml:space="preserve">при оплате </w:t>
      </w:r>
      <w:r>
        <w:rPr>
          <w:sz w:val="20"/>
        </w:rPr>
        <w:t>оказанных услуг</w:t>
      </w:r>
      <w:r>
        <w:rPr>
          <w:color w:val="000000"/>
          <w:sz w:val="20"/>
        </w:rPr>
        <w:t>, Ис</w:t>
      </w:r>
      <w:r>
        <w:rPr>
          <w:color w:val="000000"/>
          <w:sz w:val="20"/>
        </w:rPr>
        <w:t xml:space="preserve">полнитель обязан оплатить </w:t>
      </w:r>
      <w:r>
        <w:rPr>
          <w:sz w:val="20"/>
        </w:rPr>
        <w:t xml:space="preserve">в установленном порядке </w:t>
      </w:r>
      <w:r>
        <w:rPr>
          <w:color w:val="000000"/>
          <w:sz w:val="20"/>
        </w:rPr>
        <w:t xml:space="preserve">сумму </w:t>
      </w:r>
      <w:r>
        <w:rPr>
          <w:sz w:val="20"/>
        </w:rPr>
        <w:t xml:space="preserve">неустойки (штрафа, пени) в муниципальный бюджет </w:t>
      </w:r>
      <w:r>
        <w:rPr>
          <w:color w:val="000000"/>
          <w:sz w:val="20"/>
        </w:rPr>
        <w:t>по первому требованию Заказчика.</w:t>
      </w:r>
    </w:p>
    <w:p w14:paraId="46000000">
      <w:pPr>
        <w:ind w:firstLine="284" w:left="0"/>
        <w:jc w:val="both"/>
        <w:rPr>
          <w:color w:val="000000"/>
          <w:sz w:val="20"/>
        </w:rPr>
      </w:pPr>
      <w:r>
        <w:rPr>
          <w:color w:val="000000"/>
          <w:sz w:val="20"/>
        </w:rPr>
        <w:t xml:space="preserve">6.9. Удержание </w:t>
      </w:r>
      <w:r>
        <w:rPr>
          <w:sz w:val="20"/>
        </w:rPr>
        <w:t>неустойки (штрафа, пени) в соотв</w:t>
      </w:r>
      <w:r>
        <w:rPr>
          <w:sz w:val="20"/>
        </w:rPr>
        <w:t xml:space="preserve">етствии с пунктом 5.7 настоящего Контракта не лишает права Заказчика требовать от Исполнителя уплаты неустойки (штрафа, пени) за </w:t>
      </w:r>
      <w:r>
        <w:rPr>
          <w:color w:val="000000"/>
          <w:sz w:val="20"/>
        </w:rPr>
        <w:t xml:space="preserve">неисполнение или ненадлежащее исполнение обязательств по настоящему Контракту, выявленные после </w:t>
      </w:r>
      <w:r>
        <w:rPr>
          <w:sz w:val="20"/>
        </w:rPr>
        <w:t xml:space="preserve">даты подписания </w:t>
      </w:r>
      <w:r>
        <w:rPr>
          <w:color w:val="000000"/>
          <w:sz w:val="20"/>
        </w:rPr>
        <w:t>Акта сдачи-приемки оказанных услуг.</w:t>
      </w:r>
    </w:p>
    <w:p w14:paraId="47000000">
      <w:pPr>
        <w:ind w:firstLine="284" w:left="0"/>
        <w:jc w:val="both"/>
        <w:rPr>
          <w:color w:val="000000"/>
          <w:sz w:val="20"/>
        </w:rPr>
      </w:pPr>
      <w:r>
        <w:rPr>
          <w:color w:val="000000"/>
          <w:sz w:val="20"/>
        </w:rPr>
        <w:t>6.10.В случае просрочки исполнения Заказчиком обяза</w:t>
      </w:r>
      <w:r>
        <w:rPr>
          <w:color w:val="000000"/>
          <w:sz w:val="20"/>
        </w:rPr>
        <w:t xml:space="preserve">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0"/>
        </w:rPr>
        <w:t>Исполнитель</w:t>
      </w:r>
      <w:r>
        <w:rPr>
          <w:color w:val="000000"/>
          <w:sz w:val="20"/>
        </w:rPr>
        <w:t xml:space="preserve"> впр</w:t>
      </w:r>
      <w:r>
        <w:rPr>
          <w:color w:val="000000"/>
          <w:sz w:val="20"/>
        </w:rPr>
        <w:t>аве потребовать уплаты неустоек (штрафов, пеней):</w:t>
      </w:r>
    </w:p>
    <w:p w14:paraId="48000000">
      <w:pPr>
        <w:ind w:firstLine="284" w:left="0"/>
        <w:jc w:val="both"/>
        <w:rPr>
          <w:color w:val="000000"/>
          <w:sz w:val="20"/>
        </w:rPr>
      </w:pPr>
      <w:r>
        <w:rPr>
          <w:color w:val="000000"/>
          <w:sz w:val="20"/>
        </w:rPr>
        <w:t>6.11. </w:t>
      </w:r>
      <w:r>
        <w:rPr>
          <w:sz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которого устанавливается в виде фиксированной суммы, определяемой в порядк</w:t>
      </w:r>
      <w:r>
        <w:rPr>
          <w:sz w:val="20"/>
        </w:rPr>
        <w:t>е, установленном постановлением Правительства РФ от 30.08.2017 № 1042, и составляет - 1000 (Одна тысяча руб. 00 коп.) рублей.</w:t>
      </w:r>
    </w:p>
    <w:p w14:paraId="49000000">
      <w:pPr>
        <w:widowControl w:val="0"/>
        <w:ind w:firstLine="284" w:left="0"/>
        <w:jc w:val="both"/>
        <w:rPr>
          <w:sz w:val="20"/>
        </w:rPr>
      </w:pPr>
      <w:r>
        <w:rPr>
          <w:color w:val="000000"/>
          <w:sz w:val="20"/>
        </w:rPr>
        <w:t>6.12. В случае просрочки исполнения Заказчиком обязательств, предусмотренных Контрак</w:t>
      </w:r>
      <w:r>
        <w:rPr>
          <w:color w:val="000000"/>
          <w:sz w:val="20"/>
        </w:rPr>
        <w:t>том, Исполнитель вправе потребовать уплаты пени. Пеня начисляется за каждый день просрочк</w:t>
      </w:r>
      <w:r>
        <w:rPr>
          <w:color w:val="000000"/>
          <w:sz w:val="20"/>
        </w:rPr>
        <w:t>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w:t>
      </w:r>
      <w:r>
        <w:rPr>
          <w:color w:val="000000"/>
          <w:sz w:val="20"/>
        </w:rPr>
        <w:t>ючевой ставки Центрального банка Российской Федерации от не уплаченной в срок суммы.</w:t>
      </w:r>
    </w:p>
    <w:p w14:paraId="4A000000">
      <w:pPr>
        <w:widowControl w:val="0"/>
        <w:ind w:firstLine="284" w:left="0"/>
        <w:jc w:val="both"/>
        <w:rPr>
          <w:sz w:val="20"/>
        </w:rPr>
      </w:pPr>
      <w:r>
        <w:rPr>
          <w:sz w:val="20"/>
        </w:rPr>
        <w:t>6.13.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B000000">
      <w:pPr>
        <w:widowControl w:val="0"/>
        <w:tabs>
          <w:tab w:leader="none" w:pos="1134" w:val="left"/>
          <w:tab w:leader="none" w:pos="1418" w:val="left"/>
        </w:tabs>
        <w:ind w:firstLine="284" w:left="0"/>
        <w:jc w:val="both"/>
        <w:rPr>
          <w:color w:val="000000"/>
          <w:sz w:val="20"/>
        </w:rPr>
      </w:pPr>
      <w:r>
        <w:rPr>
          <w:color w:val="000000"/>
          <w:sz w:val="20"/>
        </w:rPr>
        <w:t>6.14. </w:t>
      </w:r>
      <w:r>
        <w:rPr>
          <w:color w:val="000000"/>
          <w:sz w:val="20"/>
        </w:rPr>
        <w:t>Уплата неустойки (штрафа, пени) и возмещение убытков не освобождает Стороны от исполнения обязательств по настоящему Контракту или устранения нарушений.</w:t>
      </w:r>
    </w:p>
    <w:p w14:paraId="4C000000">
      <w:pPr>
        <w:ind w:firstLine="284" w:left="0" w:right="-6"/>
        <w:jc w:val="both"/>
        <w:rPr>
          <w:color w:val="000000"/>
          <w:spacing w:val="-1"/>
          <w:sz w:val="20"/>
        </w:rPr>
      </w:pPr>
      <w:r>
        <w:rPr>
          <w:color w:val="000000"/>
          <w:sz w:val="20"/>
        </w:rPr>
        <w:t>6.15. </w:t>
      </w:r>
      <w:r>
        <w:rPr>
          <w:sz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000000">
      <w:pPr>
        <w:ind w:firstLine="284" w:left="0"/>
        <w:jc w:val="both"/>
        <w:rPr>
          <w:b w:val="1"/>
          <w:sz w:val="20"/>
        </w:rPr>
      </w:pPr>
      <w:r>
        <w:rPr>
          <w:color w:val="000000"/>
          <w:spacing w:val="-1"/>
          <w:sz w:val="20"/>
        </w:rPr>
        <w:t>6.16. Окончание срока действия настоящего Контракта не освобождает Стороны от ответственности за нарушение его условий в пер</w:t>
      </w:r>
      <w:r>
        <w:rPr>
          <w:color w:val="000000"/>
          <w:spacing w:val="-1"/>
          <w:sz w:val="20"/>
        </w:rPr>
        <w:t>иод его действия.</w:t>
      </w:r>
    </w:p>
    <w:p w14:paraId="4E000000">
      <w:pPr>
        <w:ind w:firstLine="709" w:left="0"/>
        <w:jc w:val="center"/>
        <w:rPr>
          <w:b w:val="1"/>
          <w:sz w:val="20"/>
        </w:rPr>
      </w:pPr>
    </w:p>
    <w:p w14:paraId="4F000000">
      <w:pPr>
        <w:ind w:firstLine="709" w:left="0"/>
        <w:jc w:val="center"/>
        <w:rPr>
          <w:sz w:val="20"/>
        </w:rPr>
      </w:pPr>
      <w:r>
        <w:rPr>
          <w:b w:val="1"/>
          <w:sz w:val="20"/>
        </w:rPr>
        <w:t>7. Расторжение Контракта</w:t>
      </w:r>
    </w:p>
    <w:p w14:paraId="50000000">
      <w:pPr>
        <w:ind w:firstLine="284" w:left="0"/>
        <w:jc w:val="both"/>
        <w:rPr>
          <w:sz w:val="20"/>
        </w:rPr>
      </w:pPr>
      <w:r>
        <w:rPr>
          <w:sz w:val="20"/>
        </w:rPr>
        <w:t>7.1.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1000000">
      <w:pPr>
        <w:ind w:firstLine="284" w:left="0"/>
        <w:jc w:val="both"/>
        <w:rPr>
          <w:sz w:val="20"/>
        </w:rPr>
      </w:pPr>
      <w:r>
        <w:rPr>
          <w:sz w:val="20"/>
        </w:rPr>
        <w:t xml:space="preserve">7.2. </w:t>
      </w:r>
      <w:r>
        <w:rPr>
          <w:rStyle w:val="Style_4_ch"/>
          <w:sz w:val="20"/>
        </w:rPr>
        <w:t>Заказчик принимает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52000000">
      <w:pPr>
        <w:ind w:firstLine="284" w:left="0"/>
        <w:jc w:val="both"/>
        <w:rPr>
          <w:sz w:val="20"/>
        </w:rPr>
      </w:pPr>
      <w:r>
        <w:rPr>
          <w:sz w:val="20"/>
        </w:rPr>
        <w:t>7.3. Заказчик вправе провести экспертизу оказанных услуг с привл</w:t>
      </w:r>
      <w:r>
        <w:rPr>
          <w:sz w:val="20"/>
        </w:rPr>
        <w:t>ечением экспертов, экспертных организаций до принятия решения об одностороннем отказе от исполнения Контракта.</w:t>
      </w:r>
    </w:p>
    <w:p w14:paraId="53000000">
      <w:pPr>
        <w:ind w:firstLine="284" w:left="0"/>
        <w:jc w:val="both"/>
        <w:rPr>
          <w:sz w:val="20"/>
        </w:rPr>
      </w:pPr>
      <w:r>
        <w:rPr>
          <w:sz w:val="20"/>
        </w:rPr>
        <w:t>7.4.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w:t>
      </w:r>
      <w:r>
        <w:rPr>
          <w:sz w:val="20"/>
        </w:rPr>
        <w:t>а заказчика от исполнения контракта.</w:t>
      </w:r>
    </w:p>
    <w:p w14:paraId="54000000">
      <w:pPr>
        <w:ind w:firstLine="284" w:left="0"/>
        <w:jc w:val="both"/>
        <w:rPr>
          <w:sz w:val="20"/>
        </w:rPr>
      </w:pPr>
      <w:r>
        <w:rPr>
          <w:sz w:val="20"/>
        </w:rPr>
        <w:t>7.5. Решение Заказчика об одностороннем отказе от исполнения Контракта в течение трёх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w:t>
      </w:r>
      <w:r>
        <w:rPr>
          <w:sz w:val="20"/>
        </w:rPr>
        <w:t xml:space="preserve"> подтверждения о его вручении Исполнителю. Выполнение Заказчиком 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w:t>
      </w:r>
      <w:r>
        <w:rPr>
          <w:sz w:val="20"/>
        </w:rPr>
        <w:t>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5000000">
      <w:pPr>
        <w:ind w:firstLine="284" w:left="0"/>
        <w:jc w:val="both"/>
        <w:rPr>
          <w:sz w:val="20"/>
        </w:rPr>
      </w:pPr>
      <w:r>
        <w:rPr>
          <w:sz w:val="20"/>
        </w:rPr>
        <w:t>7.6.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6000000">
      <w:pPr>
        <w:ind w:firstLine="284" w:left="0"/>
        <w:jc w:val="both"/>
        <w:rPr>
          <w:sz w:val="20"/>
        </w:rPr>
      </w:pPr>
      <w:r>
        <w:rPr>
          <w:sz w:val="20"/>
        </w:rPr>
        <w:t>7.7. Заказчик обязан отменить не вступившее в силу решение об одностороннем отказе от исполнения</w:t>
      </w:r>
      <w:r>
        <w:rPr>
          <w:sz w:val="20"/>
        </w:rPr>
        <w:t xml:space="preserve">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w:t>
      </w:r>
      <w:r>
        <w:rPr>
          <w:sz w:val="20"/>
        </w:rPr>
        <w:t xml:space="preserve"> Заказчика от исполнения Контракта.</w:t>
      </w:r>
    </w:p>
    <w:p w14:paraId="57000000">
      <w:pPr>
        <w:ind w:firstLine="284" w:left="0"/>
        <w:jc w:val="both"/>
        <w:rPr>
          <w:sz w:val="20"/>
        </w:rPr>
      </w:pPr>
      <w:r>
        <w:rPr>
          <w:sz w:val="20"/>
        </w:rPr>
        <w:t xml:space="preserve">7.8. Исполнитель вправе принять решение об одностороннем отказе от исполнения контракта по основаниям, предусмотренным Гражданским </w:t>
      </w:r>
      <w:r>
        <w:rPr>
          <w:sz w:val="20"/>
        </w:rPr>
        <w:t>кодексом</w:t>
      </w:r>
      <w:r>
        <w:rPr>
          <w:sz w:val="20"/>
        </w:rPr>
        <w:t xml:space="preserve"> РФ для одностороннего отказа от исполнения отдельных видов обязательств.</w:t>
      </w:r>
    </w:p>
    <w:p w14:paraId="58000000">
      <w:pPr>
        <w:ind w:firstLine="284" w:left="0"/>
        <w:jc w:val="both"/>
        <w:rPr>
          <w:sz w:val="20"/>
        </w:rPr>
      </w:pPr>
      <w:r>
        <w:rPr>
          <w:sz w:val="20"/>
        </w:rPr>
        <w:t xml:space="preserve">7.9. Решение Исполнителя об одностороннем отказе от исполнения Контракта в течение трёх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w:t>
      </w:r>
      <w:r>
        <w:rPr>
          <w:sz w:val="20"/>
        </w:rPr>
        <w:t>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данных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w:t>
      </w:r>
      <w:r>
        <w:rPr>
          <w:sz w:val="20"/>
        </w:rPr>
        <w:t>ления.</w:t>
      </w:r>
    </w:p>
    <w:p w14:paraId="59000000">
      <w:pPr>
        <w:ind w:firstLine="284" w:left="0"/>
        <w:jc w:val="both"/>
        <w:rPr>
          <w:sz w:val="20"/>
        </w:rPr>
      </w:pPr>
      <w:r>
        <w:rPr>
          <w:sz w:val="20"/>
        </w:rPr>
        <w:t>7.10.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A000000">
      <w:pPr>
        <w:ind w:firstLine="284" w:left="0"/>
        <w:jc w:val="both"/>
        <w:rPr>
          <w:sz w:val="20"/>
        </w:rPr>
      </w:pPr>
      <w:r>
        <w:rPr>
          <w:sz w:val="20"/>
        </w:rPr>
        <w:t>7.11.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w:t>
      </w:r>
      <w:r>
        <w:rPr>
          <w:sz w:val="20"/>
        </w:rPr>
        <w:t>анены нарушения условий Контракта, послужившие основанием для принятия указанного решения.</w:t>
      </w:r>
    </w:p>
    <w:p w14:paraId="5B000000">
      <w:pPr>
        <w:ind w:firstLine="284" w:left="0"/>
        <w:jc w:val="both"/>
        <w:rPr>
          <w:sz w:val="20"/>
        </w:rPr>
      </w:pPr>
      <w:r>
        <w:rPr>
          <w:sz w:val="20"/>
        </w:rPr>
        <w:t>7.12.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C000000">
      <w:pPr>
        <w:ind w:firstLine="284" w:left="0"/>
        <w:jc w:val="both"/>
        <w:rPr>
          <w:sz w:val="20"/>
        </w:rPr>
      </w:pPr>
      <w:r>
        <w:rPr>
          <w:sz w:val="20"/>
        </w:rPr>
        <w:t>7.13. При исполнении Контракта не допускается перемена Исполнителя, за исключени</w:t>
      </w:r>
      <w:r>
        <w:rPr>
          <w:sz w:val="20"/>
        </w:rPr>
        <w:t>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D000000">
      <w:pPr>
        <w:ind w:firstLine="284" w:left="0"/>
        <w:jc w:val="both"/>
        <w:rPr>
          <w:b w:val="1"/>
          <w:sz w:val="20"/>
        </w:rPr>
      </w:pPr>
      <w:r>
        <w:rPr>
          <w:sz w:val="20"/>
        </w:rPr>
        <w:t>7.14. В случае перемены Заказчика права и обязанности Заказчика, предусмотренные Контрактом, переходят к новому Заказчику.</w:t>
      </w:r>
    </w:p>
    <w:p w14:paraId="5E000000">
      <w:pPr>
        <w:keepNext w:val="1"/>
        <w:ind w:firstLine="709" w:left="0"/>
        <w:jc w:val="center"/>
        <w:rPr>
          <w:b w:val="1"/>
          <w:sz w:val="20"/>
        </w:rPr>
      </w:pPr>
    </w:p>
    <w:p w14:paraId="5F000000">
      <w:pPr>
        <w:keepNext w:val="1"/>
        <w:ind w:firstLine="709" w:left="0"/>
        <w:jc w:val="center"/>
        <w:rPr>
          <w:sz w:val="20"/>
        </w:rPr>
      </w:pPr>
      <w:r>
        <w:rPr>
          <w:b w:val="1"/>
          <w:sz w:val="20"/>
        </w:rPr>
        <w:t>8. Срок действия Контракта</w:t>
      </w:r>
    </w:p>
    <w:p w14:paraId="60000000">
      <w:pPr>
        <w:ind w:firstLine="284" w:left="0"/>
        <w:jc w:val="both"/>
        <w:rPr>
          <w:sz w:val="20"/>
        </w:rPr>
      </w:pPr>
      <w:r>
        <w:rPr>
          <w:sz w:val="20"/>
        </w:rPr>
        <w:t>8.1. Контракт вступает в силу с момента его подписания Сторонами и действует до полного исполнения сторонами своих обязательств, но не позднее</w:t>
      </w:r>
      <w:r>
        <w:rPr>
          <w:sz w:val="20"/>
        </w:rPr>
        <w:t xml:space="preserve"> </w:t>
      </w:r>
      <w:r>
        <w:rPr>
          <w:sz w:val="20"/>
        </w:rPr>
        <w:t>31</w:t>
      </w:r>
      <w:r>
        <w:rPr>
          <w:sz w:val="20"/>
        </w:rPr>
        <w:t>.12.202</w:t>
      </w:r>
      <w:r>
        <w:rPr>
          <w:sz w:val="20"/>
        </w:rPr>
        <w:t>6</w:t>
      </w:r>
      <w:r>
        <w:rPr>
          <w:sz w:val="20"/>
        </w:rPr>
        <w:t>г.</w:t>
      </w:r>
    </w:p>
    <w:p w14:paraId="61000000">
      <w:pPr>
        <w:keepNext w:val="1"/>
        <w:ind w:firstLine="284" w:left="0"/>
        <w:jc w:val="both"/>
        <w:rPr>
          <w:b w:val="1"/>
          <w:sz w:val="20"/>
        </w:rPr>
      </w:pPr>
      <w:r>
        <w:rPr>
          <w:sz w:val="20"/>
        </w:rPr>
        <w:t>8.2.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2000000">
      <w:pPr>
        <w:ind w:firstLine="709" w:left="0"/>
        <w:jc w:val="center"/>
        <w:rPr>
          <w:b w:val="1"/>
          <w:sz w:val="20"/>
        </w:rPr>
      </w:pPr>
      <w:r>
        <w:rPr>
          <w:b w:val="1"/>
          <w:sz w:val="20"/>
        </w:rPr>
        <w:t xml:space="preserve">     </w:t>
      </w:r>
    </w:p>
    <w:p w14:paraId="63000000">
      <w:pPr>
        <w:ind w:firstLine="709" w:left="0"/>
        <w:jc w:val="center"/>
        <w:rPr>
          <w:sz w:val="20"/>
        </w:rPr>
      </w:pPr>
      <w:r>
        <w:rPr>
          <w:b w:val="1"/>
          <w:sz w:val="20"/>
        </w:rPr>
        <w:t>9. Антикоррупционная оговорка</w:t>
      </w:r>
    </w:p>
    <w:p w14:paraId="64000000">
      <w:pPr>
        <w:ind w:firstLine="284" w:left="0"/>
        <w:jc w:val="both"/>
        <w:rPr>
          <w:sz w:val="20"/>
        </w:rPr>
      </w:pPr>
      <w:r>
        <w:rPr>
          <w:sz w:val="20"/>
        </w:rPr>
        <w:t>9.1.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w:t>
      </w:r>
      <w:r>
        <w:rPr>
          <w:sz w:val="20"/>
        </w:rPr>
        <w:t>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65000000">
      <w:pPr>
        <w:ind w:firstLine="284" w:left="0"/>
        <w:jc w:val="both"/>
        <w:rPr>
          <w:sz w:val="20"/>
        </w:rPr>
      </w:pPr>
      <w:r>
        <w:rPr>
          <w:sz w:val="20"/>
        </w:rPr>
        <w:t>9.2.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w:t>
      </w:r>
      <w:r>
        <w:rPr>
          <w:sz w:val="20"/>
        </w:rPr>
        <w:t>и легализации (отмыванию) доходов, полученных преступным путем.</w:t>
      </w:r>
    </w:p>
    <w:p w14:paraId="66000000">
      <w:pPr>
        <w:ind w:firstLine="284" w:left="0"/>
        <w:jc w:val="both"/>
        <w:rPr>
          <w:sz w:val="20"/>
        </w:rPr>
      </w:pPr>
      <w:r>
        <w:rPr>
          <w:sz w:val="20"/>
        </w:rPr>
        <w:t>9.3.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w:t>
      </w:r>
      <w:r>
        <w:rPr>
          <w:sz w:val="20"/>
        </w:rPr>
        <w:t>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7000000">
      <w:pPr>
        <w:ind w:firstLine="284" w:left="0"/>
        <w:jc w:val="both"/>
        <w:rPr>
          <w:b w:val="1"/>
          <w:sz w:val="20"/>
        </w:rPr>
      </w:pPr>
      <w:r>
        <w:rPr>
          <w:sz w:val="20"/>
        </w:rPr>
        <w:t>9.4.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68000000">
      <w:pPr>
        <w:ind w:firstLine="709" w:left="0"/>
        <w:jc w:val="center"/>
        <w:rPr>
          <w:b w:val="1"/>
          <w:sz w:val="20"/>
        </w:rPr>
      </w:pPr>
    </w:p>
    <w:p w14:paraId="69000000">
      <w:pPr>
        <w:ind w:firstLine="709" w:left="0"/>
        <w:jc w:val="center"/>
        <w:rPr>
          <w:sz w:val="20"/>
        </w:rPr>
      </w:pPr>
      <w:r>
        <w:rPr>
          <w:b w:val="1"/>
          <w:sz w:val="20"/>
        </w:rPr>
        <w:t>10. Прочие условия</w:t>
      </w:r>
    </w:p>
    <w:p w14:paraId="6A000000">
      <w:pPr>
        <w:tabs>
          <w:tab w:leader="none" w:pos="540" w:val="left"/>
        </w:tabs>
        <w:ind w:firstLine="284" w:left="0"/>
        <w:jc w:val="both"/>
        <w:rPr>
          <w:sz w:val="20"/>
        </w:rPr>
      </w:pPr>
      <w:r>
        <w:rPr>
          <w:sz w:val="20"/>
        </w:rPr>
        <w:t xml:space="preserve">10.1. Любые изменения Контракта оформляются дополнительным соглашением, которое должно быть подписано сторонами. </w:t>
      </w:r>
    </w:p>
    <w:p w14:paraId="6B000000">
      <w:pPr>
        <w:tabs>
          <w:tab w:leader="none" w:pos="540" w:val="left"/>
        </w:tabs>
        <w:ind w:firstLine="284" w:left="0"/>
        <w:jc w:val="both"/>
        <w:rPr>
          <w:sz w:val="20"/>
        </w:rPr>
      </w:pPr>
      <w:r>
        <w:rPr>
          <w:sz w:val="20"/>
        </w:rPr>
        <w:t>10.2. В случае изменения наименования, места нахождения, банковских ре</w:t>
      </w:r>
      <w:r>
        <w:rPr>
          <w:sz w:val="20"/>
        </w:rPr>
        <w:t>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6C000000">
      <w:pPr>
        <w:pStyle w:val="Style_5"/>
        <w:tabs>
          <w:tab w:leader="none" w:pos="720" w:val="left"/>
        </w:tabs>
        <w:ind w:firstLine="284" w:left="0"/>
        <w:rPr>
          <w:sz w:val="20"/>
        </w:rPr>
      </w:pPr>
      <w:r>
        <w:rPr>
          <w:sz w:val="20"/>
        </w:rPr>
        <w:t xml:space="preserve">10.3.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6D000000">
      <w:pPr>
        <w:pStyle w:val="Style_5"/>
        <w:tabs>
          <w:tab w:leader="none" w:pos="720" w:val="left"/>
        </w:tabs>
        <w:ind w:firstLine="284" w:left="0"/>
        <w:rPr>
          <w:sz w:val="20"/>
        </w:rPr>
      </w:pPr>
      <w:r>
        <w:rPr>
          <w:sz w:val="20"/>
        </w:rPr>
        <w:t>Срок рассмотрения претензии – 10 календарных дней с м</w:t>
      </w:r>
      <w:r>
        <w:rPr>
          <w:sz w:val="20"/>
        </w:rPr>
        <w:t xml:space="preserve">омента получения претензии. </w:t>
      </w:r>
    </w:p>
    <w:p w14:paraId="6E000000">
      <w:pPr>
        <w:ind w:firstLine="284" w:left="0"/>
        <w:jc w:val="both"/>
        <w:rPr>
          <w:sz w:val="20"/>
        </w:rPr>
      </w:pPr>
      <w:r>
        <w:rPr>
          <w:sz w:val="20"/>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6F000000">
      <w:pPr>
        <w:tabs>
          <w:tab w:leader="none" w:pos="360" w:val="left"/>
        </w:tabs>
        <w:ind w:firstLine="284" w:left="0"/>
        <w:jc w:val="both"/>
        <w:rPr>
          <w:sz w:val="20"/>
        </w:rPr>
      </w:pPr>
      <w:r>
        <w:rPr>
          <w:sz w:val="20"/>
        </w:rPr>
        <w:t>10.4. Контракт включает в себя нижеперечисленные приложения, являющиеся неотъемлемой частью Контракта:</w:t>
      </w:r>
    </w:p>
    <w:p w14:paraId="70000000">
      <w:pPr>
        <w:numPr>
          <w:ilvl w:val="0"/>
          <w:numId w:val="4"/>
        </w:numPr>
        <w:tabs>
          <w:tab w:leader="none" w:pos="360" w:val="left"/>
        </w:tabs>
        <w:ind w:firstLine="284" w:left="0"/>
        <w:jc w:val="both"/>
        <w:rPr>
          <w:b w:val="1"/>
          <w:sz w:val="20"/>
        </w:rPr>
      </w:pPr>
      <w:r>
        <w:rPr>
          <w:sz w:val="20"/>
        </w:rPr>
        <w:t>расчет стоимости услуг</w:t>
      </w:r>
      <w:r>
        <w:rPr>
          <w:sz w:val="20"/>
        </w:rPr>
        <w:t xml:space="preserve"> (приложение № 1 к Контракту).</w:t>
      </w:r>
      <w:bookmarkStart w:id="2" w:name="_GoBack"/>
      <w:bookmarkEnd w:id="2"/>
    </w:p>
    <w:p w14:paraId="71000000">
      <w:pPr>
        <w:ind w:firstLine="709" w:left="0"/>
        <w:jc w:val="center"/>
        <w:rPr>
          <w:b w:val="1"/>
          <w:sz w:val="20"/>
        </w:rPr>
      </w:pPr>
    </w:p>
    <w:p w14:paraId="72000000">
      <w:pPr>
        <w:ind w:firstLine="709" w:left="0"/>
        <w:jc w:val="center"/>
        <w:rPr>
          <w:b w:val="1"/>
          <w:sz w:val="20"/>
        </w:rPr>
      </w:pPr>
    </w:p>
    <w:p w14:paraId="73000000">
      <w:pPr>
        <w:keepNext w:val="1"/>
        <w:ind w:firstLine="709" w:left="0"/>
        <w:jc w:val="center"/>
        <w:rPr>
          <w:sz w:val="20"/>
        </w:rPr>
      </w:pPr>
      <w:r>
        <w:rPr>
          <w:b w:val="1"/>
          <w:sz w:val="20"/>
        </w:rPr>
        <w:t>11. Юридические адреса и реквизиты сторон.</w:t>
      </w:r>
    </w:p>
    <w:p w14:paraId="74000000">
      <w:pPr>
        <w:pStyle w:val="Style_8"/>
      </w:pPr>
    </w:p>
    <w:p w14:paraId="75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pPr>
      <w:r>
        <w:rPr>
          <w:b w:val="1"/>
          <w:color w:val="000000"/>
        </w:rPr>
        <w:t xml:space="preserve">Заказчик: </w:t>
      </w:r>
      <w:r>
        <w:rPr>
          <w:color w:val="000000"/>
        </w:rPr>
        <w:t>____________________________________________________</w:t>
      </w:r>
    </w:p>
    <w:p w14:paraId="76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pPr>
      <w:r>
        <w:t>Адрес: ________________________________________________</w:t>
      </w:r>
      <w:r>
        <w:t>_______</w:t>
      </w:r>
    </w:p>
    <w:p w14:paraId="77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pPr>
      <w:r>
        <w:t>ИНН/КПП: ____________________________________________________</w:t>
      </w:r>
    </w:p>
    <w:p w14:paraId="78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pPr>
      <w:r>
        <w:t>р/с ____________________________ в ____________________________</w:t>
      </w:r>
    </w:p>
    <w:p w14:paraId="79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pPr>
      <w:r>
        <w:t>Кор/счет _____________________________________________________</w:t>
      </w:r>
    </w:p>
    <w:p w14:paraId="7A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t>БИК ___________________________</w:t>
      </w:r>
    </w:p>
    <w:p w14:paraId="7B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b w:val="1"/>
          <w:color w:val="000000"/>
        </w:rPr>
      </w:pPr>
    </w:p>
    <w:p w14:paraId="7C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b w:val="1"/>
          <w:color w:val="000000"/>
        </w:rPr>
        <w:t>Исполнитель:</w:t>
      </w:r>
    </w:p>
    <w:p w14:paraId="7D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Ф.И.О. _________________________________________________________</w:t>
      </w:r>
    </w:p>
    <w:p w14:paraId="7E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Адрес: ___________________________________________________________________</w:t>
      </w:r>
    </w:p>
    <w:p w14:paraId="7F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 xml:space="preserve">ИНН _________________________ </w:t>
      </w:r>
    </w:p>
    <w:p w14:paraId="80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ОГРНИП _____________________</w:t>
      </w:r>
    </w:p>
    <w:p w14:paraId="81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Платежные реквизиты: ___________________________________________</w:t>
      </w:r>
    </w:p>
    <w:p w14:paraId="82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Тел.</w:t>
      </w:r>
      <w:r>
        <w:rPr>
          <w:color w:val="000000"/>
        </w:rPr>
        <w:t>: _______________</w:t>
      </w:r>
    </w:p>
    <w:p w14:paraId="83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jc w:val="both"/>
        <w:rPr>
          <w:color w:val="000000"/>
        </w:rPr>
      </w:pPr>
      <w:r>
        <w:rPr>
          <w:color w:val="000000"/>
        </w:rPr>
        <w:t>E-mail</w:t>
      </w:r>
      <w:r>
        <w:rPr>
          <w:color w:val="000000"/>
        </w:rPr>
        <w:t>: __________________</w:t>
      </w:r>
    </w:p>
    <w:p w14:paraId="84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line="240" w:lineRule="auto"/>
        <w:ind/>
      </w:pPr>
    </w:p>
    <w:p w14:paraId="85000000">
      <w:pPr>
        <w:spacing w:line="240" w:lineRule="auto"/>
        <w:ind/>
        <w:jc w:val="both"/>
      </w:pPr>
    </w:p>
    <w:tbl>
      <w:tblPr>
        <w:tblStyle w:val="Style_9"/>
        <w:tblLayout w:type="fixed"/>
      </w:tblPr>
      <w:tblGrid>
        <w:gridCol w:w="4818"/>
        <w:gridCol w:w="4819"/>
      </w:tblGrid>
      <w:tr>
        <w:tc>
          <w:tcPr>
            <w:tcW w:type="dxa" w:w="4818"/>
          </w:tcPr>
          <w:p w14:paraId="86000000">
            <w:pPr>
              <w:spacing w:line="240" w:lineRule="auto"/>
              <w:ind/>
              <w:jc w:val="both"/>
              <w:rPr>
                <w:b w:val="1"/>
              </w:rPr>
            </w:pPr>
            <w:r>
              <w:rPr>
                <w:b w:val="1"/>
              </w:rPr>
              <w:t>Заказчик:</w:t>
            </w:r>
          </w:p>
          <w:p w14:paraId="87000000">
            <w:pPr>
              <w:spacing w:line="240" w:lineRule="auto"/>
              <w:ind/>
              <w:jc w:val="both"/>
            </w:pPr>
          </w:p>
          <w:p w14:paraId="88000000">
            <w:pPr>
              <w:spacing w:line="240" w:lineRule="auto"/>
              <w:ind/>
              <w:jc w:val="both"/>
            </w:pPr>
            <w:r>
              <w:t>____________________ /_______________/</w:t>
            </w:r>
          </w:p>
          <w:p w14:paraId="89000000">
            <w:pPr>
              <w:spacing w:line="240" w:lineRule="auto"/>
              <w:ind/>
              <w:jc w:val="both"/>
            </w:pPr>
            <w:r>
              <w:t>ЭЦП</w:t>
            </w:r>
          </w:p>
        </w:tc>
        <w:tc>
          <w:tcPr>
            <w:tcW w:type="dxa" w:w="4819"/>
          </w:tcPr>
          <w:p w14:paraId="8A000000">
            <w:pPr>
              <w:spacing w:line="240" w:lineRule="auto"/>
              <w:ind/>
              <w:jc w:val="both"/>
              <w:rPr>
                <w:b w:val="1"/>
              </w:rPr>
            </w:pPr>
            <w:r>
              <w:rPr>
                <w:b w:val="1"/>
              </w:rPr>
              <w:t>Исполнитель:</w:t>
            </w:r>
          </w:p>
          <w:p w14:paraId="8B000000">
            <w:pPr>
              <w:spacing w:line="240" w:lineRule="auto"/>
              <w:ind/>
              <w:jc w:val="both"/>
            </w:pPr>
          </w:p>
          <w:p w14:paraId="8C000000">
            <w:pPr>
              <w:spacing w:line="240" w:lineRule="auto"/>
              <w:ind/>
              <w:jc w:val="both"/>
            </w:pPr>
            <w:r>
              <w:t>____________________________________</w:t>
            </w:r>
          </w:p>
          <w:p w14:paraId="8D000000">
            <w:pPr>
              <w:spacing w:line="240" w:lineRule="auto"/>
              <w:ind/>
              <w:jc w:val="both"/>
            </w:pPr>
            <w:r>
              <w:t>ЭЦП</w:t>
            </w:r>
          </w:p>
        </w:tc>
      </w:tr>
    </w:tbl>
    <w:p w14:paraId="8E000000">
      <w:pPr>
        <w:spacing w:line="240" w:lineRule="auto"/>
        <w:ind/>
        <w:jc w:val="both"/>
      </w:pPr>
    </w:p>
    <w:p w14:paraId="8F000000">
      <w:pPr>
        <w:pStyle w:val="Style_8"/>
      </w:pPr>
    </w:p>
    <w:p w14:paraId="90000000">
      <w:pPr>
        <w:pStyle w:val="Style_8"/>
      </w:pPr>
    </w:p>
    <w:p w14:paraId="91000000">
      <w:pPr>
        <w:pStyle w:val="Style_8"/>
      </w:pPr>
    </w:p>
    <w:p w14:paraId="92000000">
      <w:pPr>
        <w:pStyle w:val="Style_8"/>
      </w:pPr>
    </w:p>
    <w:p w14:paraId="93000000">
      <w:pPr>
        <w:pStyle w:val="Style_8"/>
      </w:pPr>
    </w:p>
    <w:p w14:paraId="94000000">
      <w:pPr>
        <w:pStyle w:val="Style_8"/>
      </w:pPr>
    </w:p>
    <w:p w14:paraId="95000000">
      <w:pPr>
        <w:pStyle w:val="Style_8"/>
      </w:pPr>
    </w:p>
    <w:p w14:paraId="96000000">
      <w:pPr>
        <w:pStyle w:val="Style_8"/>
      </w:pPr>
    </w:p>
    <w:p w14:paraId="97000000">
      <w:pPr>
        <w:pStyle w:val="Style_8"/>
      </w:pPr>
    </w:p>
    <w:p w14:paraId="98000000">
      <w:pPr>
        <w:pStyle w:val="Style_8"/>
      </w:pPr>
    </w:p>
    <w:p w14:paraId="99000000">
      <w:pPr>
        <w:pStyle w:val="Style_8"/>
      </w:pPr>
    </w:p>
    <w:p w14:paraId="9A000000">
      <w:pPr>
        <w:pStyle w:val="Style_8"/>
      </w:pPr>
    </w:p>
    <w:p w14:paraId="9B000000">
      <w:pPr>
        <w:pStyle w:val="Style_8"/>
      </w:pPr>
    </w:p>
    <w:p w14:paraId="9C000000">
      <w:pPr>
        <w:pStyle w:val="Style_8"/>
      </w:pPr>
    </w:p>
    <w:p w14:paraId="9D000000">
      <w:pPr>
        <w:pStyle w:val="Style_8"/>
        <w:rPr>
          <w:rFonts w:ascii="Times New Roman" w:hAnsi="Times New Roman"/>
        </w:rPr>
      </w:pPr>
    </w:p>
    <w:p w14:paraId="9E000000">
      <w:pPr>
        <w:ind/>
        <w:jc w:val="right"/>
        <w:rPr>
          <w:b w:val="1"/>
          <w:sz w:val="16"/>
        </w:rPr>
      </w:pPr>
      <w:r>
        <w:rPr>
          <w:b w:val="1"/>
          <w:sz w:val="16"/>
        </w:rPr>
        <w:t xml:space="preserve">Приложение № 1 </w:t>
      </w:r>
    </w:p>
    <w:p w14:paraId="9F000000">
      <w:pPr>
        <w:ind/>
        <w:jc w:val="right"/>
        <w:rPr>
          <w:b w:val="1"/>
          <w:sz w:val="16"/>
        </w:rPr>
      </w:pPr>
      <w:r>
        <w:rPr>
          <w:b w:val="1"/>
          <w:sz w:val="16"/>
        </w:rPr>
        <w:t>к контракту</w:t>
      </w:r>
      <w:r>
        <w:rPr>
          <w:b w:val="1"/>
          <w:sz w:val="16"/>
        </w:rPr>
        <w:t xml:space="preserve"> </w:t>
      </w:r>
      <w:r>
        <w:rPr>
          <w:b w:val="1"/>
          <w:sz w:val="16"/>
          <w:highlight w:val="yellow"/>
        </w:rPr>
        <w:t xml:space="preserve">№ </w:t>
      </w:r>
      <w:r>
        <w:rPr>
          <w:b w:val="1"/>
          <w:sz w:val="16"/>
          <w:highlight w:val="yellow"/>
        </w:rPr>
        <w:t>_________</w:t>
      </w:r>
      <w:r>
        <w:rPr>
          <w:b w:val="1"/>
          <w:sz w:val="16"/>
          <w:highlight w:val="yellow"/>
        </w:rPr>
        <w:t xml:space="preserve"> </w:t>
      </w:r>
      <w:r>
        <w:rPr>
          <w:b w:val="1"/>
          <w:sz w:val="16"/>
          <w:highlight w:val="yellow"/>
        </w:rPr>
        <w:t xml:space="preserve">  </w:t>
      </w:r>
      <w:r>
        <w:rPr>
          <w:b w:val="1"/>
          <w:sz w:val="16"/>
          <w:highlight w:val="yellow"/>
        </w:rPr>
        <w:t xml:space="preserve">от </w:t>
      </w:r>
      <w:r>
        <w:rPr>
          <w:b w:val="1"/>
          <w:sz w:val="16"/>
          <w:highlight w:val="yellow"/>
        </w:rPr>
        <w:t xml:space="preserve"> </w:t>
      </w:r>
      <w:r>
        <w:rPr>
          <w:b w:val="1"/>
          <w:sz w:val="16"/>
          <w:highlight w:val="yellow"/>
        </w:rPr>
        <w:t xml:space="preserve"> </w:t>
      </w:r>
      <w:r>
        <w:rPr>
          <w:b w:val="1"/>
          <w:sz w:val="16"/>
          <w:highlight w:val="yellow"/>
        </w:rPr>
        <w:t>«</w:t>
      </w:r>
      <w:r>
        <w:rPr>
          <w:b w:val="1"/>
          <w:sz w:val="16"/>
          <w:highlight w:val="yellow"/>
        </w:rPr>
        <w:t xml:space="preserve"> </w:t>
      </w:r>
      <w:r>
        <w:rPr>
          <w:b w:val="1"/>
          <w:sz w:val="16"/>
          <w:highlight w:val="yellow"/>
        </w:rPr>
        <w:t>____</w:t>
      </w:r>
      <w:r>
        <w:rPr>
          <w:b w:val="1"/>
          <w:sz w:val="16"/>
          <w:highlight w:val="yellow"/>
        </w:rPr>
        <w:t xml:space="preserve"> </w:t>
      </w:r>
      <w:r>
        <w:rPr>
          <w:b w:val="1"/>
          <w:sz w:val="16"/>
          <w:highlight w:val="yellow"/>
        </w:rPr>
        <w:t>»</w:t>
      </w:r>
      <w:r>
        <w:rPr>
          <w:b w:val="1"/>
          <w:sz w:val="16"/>
          <w:highlight w:val="yellow"/>
        </w:rPr>
        <w:t xml:space="preserve">  </w:t>
      </w:r>
      <w:r>
        <w:rPr>
          <w:b w:val="1"/>
          <w:sz w:val="16"/>
          <w:highlight w:val="yellow"/>
        </w:rPr>
        <w:t>____________</w:t>
      </w:r>
      <w:r>
        <w:rPr>
          <w:b w:val="1"/>
          <w:sz w:val="16"/>
          <w:highlight w:val="yellow"/>
        </w:rPr>
        <w:t>202</w:t>
      </w:r>
      <w:r>
        <w:rPr>
          <w:b w:val="1"/>
          <w:sz w:val="16"/>
          <w:highlight w:val="yellow"/>
        </w:rPr>
        <w:t>6</w:t>
      </w:r>
      <w:r>
        <w:rPr>
          <w:b w:val="1"/>
          <w:sz w:val="16"/>
          <w:highlight w:val="yellow"/>
        </w:rPr>
        <w:t xml:space="preserve"> года</w:t>
      </w:r>
    </w:p>
    <w:p w14:paraId="A0000000">
      <w:pPr>
        <w:ind/>
        <w:jc w:val="right"/>
      </w:pPr>
    </w:p>
    <w:tbl>
      <w:tblPr>
        <w:tblStyle w:val="Style_9"/>
        <w:tblLayout w:type="fixed"/>
        <w:tblCellMar>
          <w:left w:type="dxa" w:w="0"/>
          <w:right w:type="dxa" w:w="0"/>
        </w:tblCellMar>
      </w:tblPr>
      <w:tblGrid>
        <w:gridCol w:w="4540"/>
        <w:gridCol w:w="426"/>
        <w:gridCol w:w="4673"/>
      </w:tblGrid>
      <w:tr>
        <w:trPr>
          <w:trHeight w:hRule="atLeast" w:val="255"/>
        </w:trPr>
        <w:tc>
          <w:tcPr>
            <w:tcW w:type="dxa" w:w="4540"/>
            <w:tcMar>
              <w:left w:type="dxa" w:w="0"/>
              <w:right w:type="dxa" w:w="0"/>
            </w:tcMar>
          </w:tcPr>
          <w:p w14:paraId="A1000000">
            <w:pPr>
              <w:ind w:firstLine="0" w:left="85" w:right="85"/>
              <w:rPr>
                <w:b w:val="1"/>
                <w:sz w:val="20"/>
              </w:rPr>
            </w:pPr>
          </w:p>
          <w:p w14:paraId="A2000000">
            <w:pPr>
              <w:ind w:right="85"/>
              <w:rPr>
                <w:sz w:val="20"/>
              </w:rPr>
            </w:pPr>
            <w:r>
              <w:rPr>
                <w:b w:val="1"/>
                <w:sz w:val="20"/>
              </w:rPr>
              <w:t>СОГЛАСОВАНО:</w:t>
            </w:r>
          </w:p>
        </w:tc>
        <w:tc>
          <w:tcPr>
            <w:tcW w:type="dxa" w:w="426"/>
            <w:tcMar>
              <w:left w:type="dxa" w:w="0"/>
              <w:right w:type="dxa" w:w="0"/>
            </w:tcMar>
          </w:tcPr>
          <w:p w14:paraId="A3000000">
            <w:pPr>
              <w:ind w:firstLine="0" w:left="85" w:right="85"/>
              <w:rPr>
                <w:sz w:val="20"/>
              </w:rPr>
            </w:pPr>
          </w:p>
        </w:tc>
        <w:tc>
          <w:tcPr>
            <w:tcW w:type="dxa" w:w="4673"/>
            <w:tcMar>
              <w:left w:type="dxa" w:w="0"/>
              <w:right w:type="dxa" w:w="0"/>
            </w:tcMar>
          </w:tcPr>
          <w:p w14:paraId="A4000000">
            <w:pPr>
              <w:ind w:firstLine="0" w:left="85" w:right="85"/>
              <w:rPr>
                <w:b w:val="1"/>
                <w:sz w:val="20"/>
              </w:rPr>
            </w:pPr>
          </w:p>
          <w:p w14:paraId="A5000000">
            <w:pPr>
              <w:ind w:right="85"/>
            </w:pPr>
            <w:r>
              <w:rPr>
                <w:b w:val="1"/>
                <w:sz w:val="20"/>
              </w:rPr>
              <w:t>УТВЕРЖДАЮ:</w:t>
            </w:r>
          </w:p>
        </w:tc>
      </w:tr>
      <w:tr>
        <w:trPr>
          <w:trHeight w:hRule="atLeast" w:val="663"/>
        </w:trPr>
        <w:tc>
          <w:tcPr>
            <w:tcW w:type="dxa" w:w="4540"/>
            <w:tcMar>
              <w:left w:type="dxa" w:w="0"/>
              <w:right w:type="dxa" w:w="0"/>
            </w:tcMar>
          </w:tcPr>
          <w:p w14:paraId="A6000000">
            <w:pPr>
              <w:rPr>
                <w:sz w:val="20"/>
              </w:rPr>
            </w:pPr>
          </w:p>
          <w:p w14:paraId="A7000000">
            <w:pPr>
              <w:rPr>
                <w:sz w:val="20"/>
              </w:rPr>
            </w:pPr>
          </w:p>
          <w:p w14:paraId="A8000000">
            <w:pPr>
              <w:spacing w:line="240" w:lineRule="atLeast"/>
              <w:ind/>
              <w:rPr>
                <w:sz w:val="20"/>
              </w:rPr>
            </w:pPr>
            <w:r>
              <w:rPr>
                <w:sz w:val="20"/>
              </w:rPr>
              <w:t xml:space="preserve">______________________ </w:t>
            </w:r>
            <w:r>
              <w:rPr>
                <w:sz w:val="20"/>
              </w:rPr>
              <w:t>/</w:t>
            </w:r>
            <w:r>
              <w:rPr>
                <w:sz w:val="20"/>
              </w:rPr>
              <w:t xml:space="preserve">  </w:t>
            </w:r>
            <w:r>
              <w:rPr>
                <w:sz w:val="20"/>
              </w:rPr>
              <w:t>________________</w:t>
            </w:r>
          </w:p>
        </w:tc>
        <w:tc>
          <w:tcPr>
            <w:tcW w:type="dxa" w:w="426"/>
            <w:tcMar>
              <w:left w:type="dxa" w:w="0"/>
              <w:right w:type="dxa" w:w="0"/>
            </w:tcMar>
          </w:tcPr>
          <w:p w14:paraId="A9000000">
            <w:pPr>
              <w:ind w:firstLine="0" w:left="85" w:right="85"/>
              <w:rPr>
                <w:sz w:val="20"/>
              </w:rPr>
            </w:pPr>
          </w:p>
        </w:tc>
        <w:tc>
          <w:tcPr>
            <w:tcW w:type="dxa" w:w="4673"/>
            <w:tcMar>
              <w:left w:type="dxa" w:w="0"/>
              <w:right w:type="dxa" w:w="0"/>
            </w:tcMar>
          </w:tcPr>
          <w:p w14:paraId="AA000000">
            <w:pPr>
              <w:rPr>
                <w:sz w:val="20"/>
              </w:rPr>
            </w:pPr>
          </w:p>
          <w:p w14:paraId="AB000000">
            <w:pPr>
              <w:rPr>
                <w:sz w:val="20"/>
              </w:rPr>
            </w:pPr>
          </w:p>
          <w:p w14:paraId="AC000000">
            <w:pPr>
              <w:tabs>
                <w:tab w:leader="none" w:pos="3159" w:val="left"/>
              </w:tabs>
              <w:ind w:firstLine="0" w:left="45"/>
            </w:pPr>
            <w:r>
              <w:rPr>
                <w:sz w:val="20"/>
              </w:rPr>
              <w:t xml:space="preserve">_____________________  </w:t>
            </w:r>
            <w:r>
              <w:rPr>
                <w:sz w:val="20"/>
              </w:rPr>
              <w:t>/__________________</w:t>
            </w:r>
          </w:p>
        </w:tc>
      </w:tr>
      <w:tr>
        <w:trPr>
          <w:trHeight w:hRule="atLeast" w:val="255"/>
        </w:trPr>
        <w:tc>
          <w:tcPr>
            <w:tcW w:type="dxa" w:w="4540"/>
            <w:tcMar>
              <w:left w:type="dxa" w:w="0"/>
              <w:right w:type="dxa" w:w="0"/>
            </w:tcMar>
          </w:tcPr>
          <w:p w14:paraId="AD000000">
            <w:pPr>
              <w:ind w:firstLine="0" w:left="85" w:right="85"/>
              <w:rPr>
                <w:sz w:val="18"/>
              </w:rPr>
            </w:pPr>
          </w:p>
          <w:p w14:paraId="AE000000">
            <w:pPr>
              <w:ind w:firstLine="0" w:left="85" w:right="85"/>
              <w:rPr>
                <w:sz w:val="18"/>
              </w:rPr>
            </w:pPr>
            <w:r>
              <w:rPr>
                <w:sz w:val="18"/>
              </w:rPr>
              <w:t>ЭЦ</w:t>
            </w:r>
            <w:r>
              <w:rPr>
                <w:sz w:val="18"/>
              </w:rPr>
              <w:t>П.</w:t>
            </w:r>
          </w:p>
        </w:tc>
        <w:tc>
          <w:tcPr>
            <w:tcW w:type="dxa" w:w="426"/>
            <w:tcMar>
              <w:left w:type="dxa" w:w="0"/>
              <w:right w:type="dxa" w:w="0"/>
            </w:tcMar>
          </w:tcPr>
          <w:p w14:paraId="AF000000">
            <w:pPr>
              <w:ind w:firstLine="0" w:left="85" w:right="85"/>
              <w:rPr>
                <w:sz w:val="18"/>
              </w:rPr>
            </w:pPr>
          </w:p>
        </w:tc>
        <w:tc>
          <w:tcPr>
            <w:tcW w:type="dxa" w:w="4673"/>
            <w:tcMar>
              <w:left w:type="dxa" w:w="0"/>
              <w:right w:type="dxa" w:w="0"/>
            </w:tcMar>
          </w:tcPr>
          <w:p w14:paraId="B0000000">
            <w:pPr>
              <w:ind w:firstLine="0" w:left="85" w:right="85"/>
              <w:rPr>
                <w:sz w:val="18"/>
              </w:rPr>
            </w:pPr>
          </w:p>
          <w:p w14:paraId="B1000000">
            <w:pPr>
              <w:ind w:firstLine="0" w:left="85" w:right="85"/>
            </w:pPr>
            <w:r>
              <w:rPr>
                <w:sz w:val="18"/>
              </w:rPr>
              <w:t>ЭЦ</w:t>
            </w:r>
            <w:r>
              <w:rPr>
                <w:sz w:val="18"/>
              </w:rPr>
              <w:t>П.</w:t>
            </w:r>
          </w:p>
        </w:tc>
      </w:tr>
    </w:tbl>
    <w:p w14:paraId="B2000000">
      <w:pPr>
        <w:spacing w:line="200" w:lineRule="atLeast"/>
        <w:ind w:firstLine="0" w:left="85" w:right="85"/>
        <w:rPr>
          <w:b w:val="1"/>
          <w:sz w:val="20"/>
        </w:rPr>
      </w:pPr>
      <w:r>
        <w:rPr>
          <w:b w:val="1"/>
          <w:sz w:val="20"/>
        </w:rPr>
        <w:t xml:space="preserve">                                                                            </w:t>
      </w:r>
    </w:p>
    <w:p w14:paraId="B3000000">
      <w:pPr>
        <w:pStyle w:val="Style_10"/>
        <w:rPr>
          <w:sz w:val="24"/>
        </w:rPr>
      </w:pPr>
      <w:r>
        <w:rPr>
          <w:sz w:val="24"/>
        </w:rPr>
        <w:t>Расчёт стоимости затрат</w:t>
      </w:r>
      <w:r>
        <w:rPr>
          <w:sz w:val="24"/>
        </w:rPr>
        <w:t xml:space="preserve"> </w:t>
      </w:r>
    </w:p>
    <w:p w14:paraId="B4000000">
      <w:pPr>
        <w:pStyle w:val="Style_7"/>
        <w:ind/>
        <w:jc w:val="center"/>
        <w:rPr>
          <w:b w:val="1"/>
        </w:rPr>
      </w:pPr>
      <w:r>
        <w:rPr>
          <w:i w:val="1"/>
          <w:color w:val="000000"/>
          <w:sz w:val="22"/>
        </w:rPr>
        <w:t xml:space="preserve">на оказание услуг по строительному контролю </w:t>
      </w:r>
      <w:r>
        <w:rPr>
          <w:i w:val="1"/>
          <w:color w:val="000000"/>
          <w:sz w:val="22"/>
        </w:rPr>
        <w:t>за выполнением работ</w:t>
      </w:r>
      <w:r>
        <w:rPr>
          <w:i w:val="1"/>
          <w:color w:val="000000"/>
          <w:sz w:val="22"/>
        </w:rPr>
        <w:t xml:space="preserve"> по технологическому присоединению к тепловым сетям по адресу: п. Платформа 69-й км, ул. </w:t>
      </w:r>
      <w:r>
        <w:rPr>
          <w:i w:val="1"/>
          <w:color w:val="000000"/>
          <w:sz w:val="22"/>
        </w:rPr>
        <w:t xml:space="preserve">Заводская </w:t>
      </w:r>
      <w:r>
        <w:rPr>
          <w:i w:val="1"/>
          <w:color w:val="000000"/>
          <w:sz w:val="22"/>
        </w:rPr>
        <w:tab/>
      </w:r>
    </w:p>
    <w:p w14:paraId="B5000000">
      <w:pPr>
        <w:pStyle w:val="Style_7"/>
        <w:ind/>
        <w:jc w:val="center"/>
        <w:rPr>
          <w:b w:val="1"/>
        </w:rPr>
      </w:pPr>
    </w:p>
    <w:tbl>
      <w:tblPr>
        <w:tblStyle w:val="Style_9"/>
        <w:tblInd w:type="dxa" w:w="81"/>
        <w:tblLayout w:type="fixed"/>
        <w:tblCellMar>
          <w:top w:type="dxa" w:w="55"/>
          <w:left w:type="dxa" w:w="55"/>
          <w:bottom w:type="dxa" w:w="55"/>
          <w:right w:type="dxa" w:w="55"/>
        </w:tblCellMar>
      </w:tblPr>
      <w:tblGrid>
        <w:gridCol w:w="825"/>
        <w:gridCol w:w="4678"/>
        <w:gridCol w:w="1701"/>
        <w:gridCol w:w="1134"/>
        <w:gridCol w:w="1479"/>
      </w:tblGrid>
      <w:tr>
        <w:tc>
          <w:tcPr>
            <w:tcW w:type="dxa" w:w="825"/>
            <w:tcBorders>
              <w:top w:color="000000" w:sz="1" w:val="single"/>
              <w:left w:color="000000" w:sz="1" w:val="single"/>
              <w:bottom w:color="000000" w:sz="1" w:val="single"/>
            </w:tcBorders>
            <w:tcMar>
              <w:top w:type="dxa" w:w="55"/>
              <w:left w:type="dxa" w:w="55"/>
              <w:bottom w:type="dxa" w:w="55"/>
              <w:right w:type="dxa" w:w="55"/>
            </w:tcMar>
          </w:tcPr>
          <w:p w14:paraId="B6000000">
            <w:pPr>
              <w:pStyle w:val="Style_11"/>
              <w:ind/>
              <w:jc w:val="center"/>
              <w:rPr>
                <w:sz w:val="20"/>
              </w:rPr>
            </w:pPr>
            <w:r>
              <w:rPr>
                <w:sz w:val="20"/>
              </w:rPr>
              <w:t>№ п/п</w:t>
            </w:r>
          </w:p>
        </w:tc>
        <w:tc>
          <w:tcPr>
            <w:tcW w:type="dxa" w:w="4678"/>
            <w:tcBorders>
              <w:top w:color="000000" w:sz="1" w:val="single"/>
              <w:left w:color="000000" w:sz="1" w:val="single"/>
              <w:bottom w:color="000000" w:sz="1" w:val="single"/>
            </w:tcBorders>
            <w:tcMar>
              <w:top w:type="dxa" w:w="55"/>
              <w:left w:type="dxa" w:w="55"/>
              <w:bottom w:type="dxa" w:w="55"/>
              <w:right w:type="dxa" w:w="55"/>
            </w:tcMar>
          </w:tcPr>
          <w:p w14:paraId="B7000000">
            <w:pPr>
              <w:pStyle w:val="Style_11"/>
              <w:ind/>
              <w:jc w:val="center"/>
              <w:rPr>
                <w:sz w:val="20"/>
              </w:rPr>
            </w:pPr>
            <w:r>
              <w:rPr>
                <w:sz w:val="20"/>
              </w:rPr>
              <w:t>Наименование работ, затрат, порядок расчета</w:t>
            </w:r>
          </w:p>
        </w:tc>
        <w:tc>
          <w:tcPr>
            <w:tcW w:type="dxa" w:w="1701"/>
            <w:tcBorders>
              <w:top w:color="000000" w:sz="1" w:val="single"/>
              <w:left w:color="000000" w:sz="1" w:val="single"/>
              <w:bottom w:color="000000" w:sz="1" w:val="single"/>
            </w:tcBorders>
            <w:tcMar>
              <w:top w:type="dxa" w:w="55"/>
              <w:left w:type="dxa" w:w="55"/>
              <w:bottom w:type="dxa" w:w="55"/>
              <w:right w:type="dxa" w:w="55"/>
            </w:tcMar>
          </w:tcPr>
          <w:p w14:paraId="B8000000">
            <w:pPr>
              <w:pStyle w:val="Style_11"/>
              <w:ind/>
              <w:jc w:val="center"/>
              <w:rPr>
                <w:sz w:val="20"/>
              </w:rPr>
            </w:pPr>
            <w:r>
              <w:rPr>
                <w:sz w:val="20"/>
              </w:rPr>
              <w:t>Используемые коэффициенты</w:t>
            </w:r>
          </w:p>
        </w:tc>
        <w:tc>
          <w:tcPr>
            <w:tcW w:type="dxa" w:w="1134"/>
            <w:tcBorders>
              <w:top w:color="000000" w:sz="1" w:val="single"/>
              <w:left w:color="000000" w:sz="1" w:val="single"/>
              <w:bottom w:color="000000" w:sz="1" w:val="single"/>
            </w:tcBorders>
            <w:tcMar>
              <w:top w:type="dxa" w:w="55"/>
              <w:left w:type="dxa" w:w="55"/>
              <w:bottom w:type="dxa" w:w="55"/>
              <w:right w:type="dxa" w:w="55"/>
            </w:tcMar>
          </w:tcPr>
          <w:p w14:paraId="B9000000">
            <w:pPr>
              <w:pStyle w:val="Style_11"/>
              <w:ind/>
              <w:jc w:val="center"/>
              <w:rPr>
                <w:sz w:val="20"/>
              </w:rPr>
            </w:pPr>
            <w:r>
              <w:rPr>
                <w:sz w:val="20"/>
              </w:rPr>
              <w:t>Методика расчета</w:t>
            </w:r>
          </w:p>
        </w:tc>
        <w:tc>
          <w:tcPr>
            <w:tcW w:type="dxa" w:w="1479"/>
            <w:tcBorders>
              <w:top w:color="000000" w:sz="1" w:val="single"/>
              <w:left w:color="000000" w:sz="1" w:val="single"/>
              <w:bottom w:color="000000" w:sz="1" w:val="single"/>
              <w:right w:color="000000" w:sz="1" w:val="single"/>
            </w:tcBorders>
            <w:tcMar>
              <w:top w:type="dxa" w:w="55"/>
              <w:left w:type="dxa" w:w="55"/>
              <w:bottom w:type="dxa" w:w="55"/>
              <w:right w:type="dxa" w:w="55"/>
            </w:tcMar>
          </w:tcPr>
          <w:p w14:paraId="BA000000">
            <w:pPr>
              <w:pStyle w:val="Style_11"/>
              <w:ind/>
              <w:jc w:val="center"/>
              <w:rPr>
                <w:sz w:val="20"/>
              </w:rPr>
            </w:pPr>
            <w:r>
              <w:rPr>
                <w:sz w:val="20"/>
              </w:rPr>
              <w:t>Сумма, руб.</w:t>
            </w:r>
          </w:p>
          <w:p w14:paraId="BB000000">
            <w:pPr>
              <w:pStyle w:val="Style_11"/>
              <w:ind/>
              <w:jc w:val="center"/>
              <w:rPr>
                <w:sz w:val="20"/>
              </w:rPr>
            </w:pPr>
          </w:p>
        </w:tc>
      </w:tr>
      <w:tr>
        <w:trPr>
          <w:trHeight w:hRule="atLeast" w:val="220"/>
        </w:trPr>
        <w:tc>
          <w:tcPr>
            <w:tcW w:type="dxa" w:w="825"/>
            <w:tcBorders>
              <w:left w:color="000000" w:sz="1" w:val="single"/>
              <w:bottom w:color="000000" w:sz="1" w:val="single"/>
            </w:tcBorders>
            <w:tcMar>
              <w:top w:type="dxa" w:w="55"/>
              <w:left w:type="dxa" w:w="55"/>
              <w:bottom w:type="dxa" w:w="55"/>
              <w:right w:type="dxa" w:w="55"/>
            </w:tcMar>
          </w:tcPr>
          <w:p w14:paraId="BC000000">
            <w:pPr>
              <w:pStyle w:val="Style_11"/>
              <w:ind/>
              <w:jc w:val="center"/>
              <w:rPr>
                <w:sz w:val="20"/>
              </w:rPr>
            </w:pPr>
            <w:r>
              <w:rPr>
                <w:sz w:val="20"/>
              </w:rPr>
              <w:t>1</w:t>
            </w:r>
          </w:p>
        </w:tc>
        <w:tc>
          <w:tcPr>
            <w:tcW w:type="dxa" w:w="4678"/>
            <w:tcBorders>
              <w:left w:color="000000" w:sz="1" w:val="single"/>
              <w:bottom w:color="000000" w:sz="1" w:val="single"/>
            </w:tcBorders>
            <w:tcMar>
              <w:top w:type="dxa" w:w="55"/>
              <w:left w:type="dxa" w:w="55"/>
              <w:bottom w:type="dxa" w:w="55"/>
              <w:right w:type="dxa" w:w="55"/>
            </w:tcMar>
          </w:tcPr>
          <w:p w14:paraId="BD000000">
            <w:pPr>
              <w:pStyle w:val="Style_11"/>
              <w:ind/>
              <w:jc w:val="center"/>
              <w:rPr>
                <w:sz w:val="20"/>
              </w:rPr>
            </w:pPr>
            <w:r>
              <w:rPr>
                <w:sz w:val="20"/>
              </w:rPr>
              <w:t>2</w:t>
            </w:r>
          </w:p>
        </w:tc>
        <w:tc>
          <w:tcPr>
            <w:tcW w:type="dxa" w:w="1701"/>
            <w:tcBorders>
              <w:left w:color="000000" w:sz="1" w:val="single"/>
              <w:bottom w:color="000000" w:sz="1" w:val="single"/>
            </w:tcBorders>
            <w:tcMar>
              <w:top w:type="dxa" w:w="55"/>
              <w:left w:type="dxa" w:w="55"/>
              <w:bottom w:type="dxa" w:w="55"/>
              <w:right w:type="dxa" w:w="55"/>
            </w:tcMar>
          </w:tcPr>
          <w:p w14:paraId="BE000000">
            <w:pPr>
              <w:pStyle w:val="Style_11"/>
              <w:ind/>
              <w:jc w:val="center"/>
              <w:rPr>
                <w:sz w:val="20"/>
              </w:rPr>
            </w:pPr>
            <w:r>
              <w:rPr>
                <w:sz w:val="20"/>
              </w:rPr>
              <w:t>3</w:t>
            </w:r>
          </w:p>
        </w:tc>
        <w:tc>
          <w:tcPr>
            <w:tcW w:type="dxa" w:w="1134"/>
            <w:tcBorders>
              <w:left w:color="000000" w:sz="1" w:val="single"/>
              <w:bottom w:color="000000" w:sz="1" w:val="single"/>
            </w:tcBorders>
            <w:tcMar>
              <w:top w:type="dxa" w:w="55"/>
              <w:left w:type="dxa" w:w="55"/>
              <w:bottom w:type="dxa" w:w="55"/>
              <w:right w:type="dxa" w:w="55"/>
            </w:tcMar>
          </w:tcPr>
          <w:p w14:paraId="BF000000">
            <w:pPr>
              <w:pStyle w:val="Style_11"/>
              <w:ind/>
              <w:jc w:val="center"/>
              <w:rPr>
                <w:sz w:val="20"/>
              </w:rPr>
            </w:pPr>
            <w:r>
              <w:rPr>
                <w:sz w:val="20"/>
              </w:rPr>
              <w:t>4</w:t>
            </w:r>
          </w:p>
        </w:tc>
        <w:tc>
          <w:tcPr>
            <w:tcW w:type="dxa" w:w="1479"/>
            <w:tcBorders>
              <w:left w:color="000000" w:sz="1" w:val="single"/>
              <w:bottom w:color="000000" w:sz="1" w:val="single"/>
              <w:right w:color="000000" w:sz="1" w:val="single"/>
            </w:tcBorders>
            <w:tcMar>
              <w:top w:type="dxa" w:w="55"/>
              <w:left w:type="dxa" w:w="55"/>
              <w:bottom w:type="dxa" w:w="55"/>
              <w:right w:type="dxa" w:w="55"/>
            </w:tcMar>
          </w:tcPr>
          <w:p w14:paraId="C0000000">
            <w:pPr>
              <w:pStyle w:val="Style_11"/>
              <w:ind/>
              <w:jc w:val="center"/>
              <w:rPr>
                <w:sz w:val="20"/>
              </w:rPr>
            </w:pPr>
            <w:r>
              <w:rPr>
                <w:sz w:val="20"/>
              </w:rPr>
              <w:t>5</w:t>
            </w:r>
          </w:p>
        </w:tc>
      </w:tr>
      <w:tr>
        <w:trPr>
          <w:trHeight w:hRule="atLeast" w:val="451"/>
        </w:trPr>
        <w:tc>
          <w:tcPr>
            <w:tcW w:type="dxa" w:w="825"/>
            <w:tcBorders>
              <w:left w:color="000000" w:sz="1" w:val="single"/>
              <w:bottom w:color="000000" w:sz="1" w:val="single"/>
            </w:tcBorders>
            <w:tcMar>
              <w:top w:type="dxa" w:w="55"/>
              <w:left w:type="dxa" w:w="55"/>
              <w:bottom w:type="dxa" w:w="55"/>
              <w:right w:type="dxa" w:w="55"/>
            </w:tcMar>
          </w:tcPr>
          <w:p w14:paraId="C1000000">
            <w:pPr>
              <w:pStyle w:val="Style_11"/>
              <w:ind/>
              <w:jc w:val="center"/>
              <w:rPr>
                <w:sz w:val="22"/>
              </w:rPr>
            </w:pPr>
            <w:r>
              <w:rPr>
                <w:sz w:val="22"/>
              </w:rPr>
              <w:t>1</w:t>
            </w:r>
          </w:p>
        </w:tc>
        <w:tc>
          <w:tcPr>
            <w:tcW w:type="dxa" w:w="4678"/>
            <w:tcBorders>
              <w:left w:color="000000" w:sz="1" w:val="single"/>
              <w:bottom w:color="000000" w:sz="1" w:val="single"/>
            </w:tcBorders>
            <w:tcMar>
              <w:top w:type="dxa" w:w="55"/>
              <w:left w:type="dxa" w:w="55"/>
              <w:bottom w:type="dxa" w:w="55"/>
              <w:right w:type="dxa" w:w="55"/>
            </w:tcMar>
          </w:tcPr>
          <w:p w14:paraId="C2000000">
            <w:pPr>
              <w:rPr>
                <w:sz w:val="22"/>
              </w:rPr>
            </w:pPr>
            <w:r>
              <w:rPr>
                <w:sz w:val="22"/>
              </w:rPr>
              <w:t>Стоимость строите</w:t>
            </w:r>
            <w:r>
              <w:rPr>
                <w:sz w:val="22"/>
              </w:rPr>
              <w:t>льно-монтажных работ по объекту:</w:t>
            </w:r>
            <w:bookmarkStart w:id="3" w:name="_Hlk238814930"/>
            <w:r>
              <w:t xml:space="preserve"> </w:t>
            </w:r>
            <w:r>
              <w:t xml:space="preserve">по технологическому присоединению к тепловым сетям по адресу: п. Платформа 69-й км, ул. </w:t>
            </w:r>
            <w:r>
              <w:t xml:space="preserve">Заводская </w:t>
            </w:r>
            <w:r>
              <w:rPr>
                <w:sz w:val="22"/>
              </w:rPr>
              <w:tab/>
            </w:r>
            <w:bookmarkEnd w:id="3"/>
            <w:r>
              <w:rPr>
                <w:sz w:val="22"/>
              </w:rPr>
              <w:tab/>
            </w:r>
            <w:r>
              <w:rPr>
                <w:sz w:val="22"/>
              </w:rPr>
              <w:tab/>
            </w:r>
            <w:r>
              <w:rPr>
                <w:sz w:val="22"/>
              </w:rPr>
              <w:tab/>
            </w:r>
            <w:r>
              <w:rPr>
                <w:sz w:val="22"/>
              </w:rPr>
              <w:tab/>
            </w:r>
            <w:r>
              <w:rPr>
                <w:sz w:val="22"/>
              </w:rPr>
              <w:tab/>
            </w:r>
          </w:p>
        </w:tc>
        <w:tc>
          <w:tcPr>
            <w:tcW w:type="dxa" w:w="2835"/>
            <w:gridSpan w:val="2"/>
            <w:tcBorders>
              <w:left w:color="000000" w:sz="1" w:val="single"/>
              <w:bottom w:color="000000" w:sz="1" w:val="single"/>
            </w:tcBorders>
            <w:tcMar>
              <w:top w:type="dxa" w:w="55"/>
              <w:left w:type="dxa" w:w="55"/>
              <w:bottom w:type="dxa" w:w="55"/>
              <w:right w:type="dxa" w:w="55"/>
            </w:tcMar>
            <w:vAlign w:val="center"/>
          </w:tcPr>
          <w:p w14:paraId="C3000000">
            <w:pPr>
              <w:pStyle w:val="Style_11"/>
              <w:widowControl w:val="0"/>
              <w:tabs>
                <w:tab w:leader="none" w:pos="992" w:val="left"/>
              </w:tabs>
              <w:spacing w:line="240" w:lineRule="auto"/>
              <w:ind/>
              <w:jc w:val="center"/>
              <w:rPr>
                <w:sz w:val="16"/>
              </w:rPr>
            </w:pPr>
          </w:p>
          <w:p w14:paraId="C4000000">
            <w:pPr>
              <w:pStyle w:val="Style_11"/>
              <w:widowControl w:val="0"/>
              <w:tabs>
                <w:tab w:leader="none" w:pos="992" w:val="left"/>
              </w:tabs>
              <w:spacing w:line="240" w:lineRule="auto"/>
              <w:ind/>
              <w:jc w:val="center"/>
              <w:rPr>
                <w:sz w:val="16"/>
              </w:rPr>
            </w:pPr>
            <w:r>
              <w:rPr>
                <w:sz w:val="16"/>
              </w:rPr>
              <w:t>С учетом НДС:</w:t>
            </w:r>
          </w:p>
          <w:p w14:paraId="C5000000">
            <w:pPr>
              <w:pStyle w:val="Style_11"/>
              <w:widowControl w:val="0"/>
              <w:tabs>
                <w:tab w:leader="none" w:pos="992" w:val="left"/>
              </w:tabs>
              <w:spacing w:line="240" w:lineRule="auto"/>
              <w:ind/>
              <w:jc w:val="center"/>
              <w:rPr>
                <w:sz w:val="16"/>
              </w:rPr>
            </w:pPr>
            <w:r>
              <w:rPr>
                <w:sz w:val="16"/>
              </w:rPr>
              <w:t>Без учета НДС:</w:t>
            </w:r>
          </w:p>
        </w:tc>
        <w:tc>
          <w:tcPr>
            <w:tcW w:type="dxa" w:w="1479"/>
            <w:tcBorders>
              <w:left w:color="000000" w:sz="1" w:val="single"/>
              <w:bottom w:color="000000" w:sz="1" w:val="single"/>
              <w:right w:color="000000" w:sz="1" w:val="single"/>
            </w:tcBorders>
            <w:tcMar>
              <w:top w:type="dxa" w:w="55"/>
              <w:left w:type="dxa" w:w="55"/>
              <w:bottom w:type="dxa" w:w="55"/>
              <w:right w:type="dxa" w:w="55"/>
            </w:tcMar>
          </w:tcPr>
          <w:p w14:paraId="C6000000">
            <w:pPr>
              <w:rPr>
                <w:sz w:val="22"/>
              </w:rPr>
            </w:pPr>
          </w:p>
          <w:p w14:paraId="C7000000">
            <w:pPr>
              <w:rPr>
                <w:sz w:val="22"/>
              </w:rPr>
            </w:pPr>
          </w:p>
          <w:p w14:paraId="C8000000">
            <w:pPr>
              <w:rPr>
                <w:sz w:val="22"/>
              </w:rPr>
            </w:pPr>
            <w:r>
              <w:rPr>
                <w:sz w:val="22"/>
              </w:rPr>
              <w:t>1 736 266,91</w:t>
            </w:r>
          </w:p>
          <w:p w14:paraId="C9000000">
            <w:pPr>
              <w:rPr>
                <w:sz w:val="22"/>
              </w:rPr>
            </w:pPr>
            <w:r>
              <w:rPr>
                <w:sz w:val="22"/>
              </w:rPr>
              <w:t>1 423 169,6</w:t>
            </w:r>
          </w:p>
        </w:tc>
      </w:tr>
      <w:tr>
        <w:tc>
          <w:tcPr>
            <w:tcW w:type="dxa" w:w="825"/>
            <w:tcBorders>
              <w:left w:color="000000" w:sz="1" w:val="single"/>
              <w:bottom w:color="000000" w:sz="1" w:val="single"/>
            </w:tcBorders>
            <w:tcMar>
              <w:top w:type="dxa" w:w="55"/>
              <w:left w:type="dxa" w:w="55"/>
              <w:bottom w:type="dxa" w:w="55"/>
              <w:right w:type="dxa" w:w="55"/>
            </w:tcMar>
          </w:tcPr>
          <w:p w14:paraId="CA000000">
            <w:pPr>
              <w:pStyle w:val="Style_11"/>
              <w:ind/>
              <w:jc w:val="center"/>
              <w:rPr>
                <w:sz w:val="22"/>
              </w:rPr>
            </w:pPr>
            <w:r>
              <w:rPr>
                <w:sz w:val="22"/>
              </w:rPr>
              <w:t>2</w:t>
            </w:r>
          </w:p>
        </w:tc>
        <w:tc>
          <w:tcPr>
            <w:tcW w:type="dxa" w:w="4678"/>
            <w:tcBorders>
              <w:left w:color="000000" w:sz="1" w:val="single"/>
              <w:bottom w:color="000000" w:sz="1" w:val="single"/>
            </w:tcBorders>
            <w:tcMar>
              <w:top w:type="dxa" w:w="55"/>
              <w:left w:type="dxa" w:w="55"/>
              <w:bottom w:type="dxa" w:w="55"/>
              <w:right w:type="dxa" w:w="55"/>
            </w:tcMar>
          </w:tcPr>
          <w:p w14:paraId="CB000000">
            <w:pPr>
              <w:pStyle w:val="Style_11"/>
              <w:widowControl w:val="0"/>
              <w:tabs>
                <w:tab w:leader="none" w:pos="992" w:val="left"/>
              </w:tabs>
              <w:spacing w:line="240" w:lineRule="auto"/>
              <w:ind/>
              <w:jc w:val="both"/>
              <w:rPr>
                <w:sz w:val="22"/>
              </w:rPr>
            </w:pPr>
            <w:r>
              <w:rPr>
                <w:sz w:val="22"/>
              </w:rPr>
              <w:t xml:space="preserve">Сметная стоимость строительно-монтажных работ в баз. ц. 2000 года: </w:t>
            </w:r>
            <w:r>
              <w:rPr>
                <w:sz w:val="22"/>
              </w:rPr>
              <w:t>П</w:t>
            </w:r>
            <w:r>
              <w:rPr>
                <w:sz w:val="22"/>
              </w:rPr>
              <w:t>исьм</w:t>
            </w:r>
            <w:r>
              <w:rPr>
                <w:sz w:val="22"/>
              </w:rPr>
              <w:t>о</w:t>
            </w:r>
            <w:r>
              <w:rPr>
                <w:sz w:val="22"/>
              </w:rPr>
              <w:t xml:space="preserve"> Минстроя РФ </w:t>
            </w:r>
            <w:r>
              <w:rPr>
                <w:sz w:val="22"/>
              </w:rPr>
              <w:t>от 22.05.2026 г. №31091-ИФ/09, строительство</w:t>
            </w:r>
          </w:p>
        </w:tc>
        <w:tc>
          <w:tcPr>
            <w:tcW w:type="dxa" w:w="1701"/>
            <w:tcBorders>
              <w:left w:color="000000" w:sz="1" w:val="single"/>
              <w:bottom w:color="000000" w:sz="1" w:val="single"/>
            </w:tcBorders>
            <w:tcMar>
              <w:top w:type="dxa" w:w="55"/>
              <w:left w:type="dxa" w:w="55"/>
              <w:bottom w:type="dxa" w:w="55"/>
              <w:right w:type="dxa" w:w="55"/>
            </w:tcMar>
            <w:vAlign w:val="center"/>
          </w:tcPr>
          <w:p w14:paraId="CC000000">
            <w:pPr>
              <w:pStyle w:val="Style_11"/>
              <w:widowControl w:val="0"/>
              <w:tabs>
                <w:tab w:leader="none" w:pos="992" w:val="left"/>
              </w:tabs>
              <w:spacing w:line="240" w:lineRule="auto"/>
              <w:ind/>
              <w:jc w:val="center"/>
              <w:rPr>
                <w:sz w:val="22"/>
              </w:rPr>
            </w:pPr>
            <w:r>
              <w:rPr>
                <w:sz w:val="22"/>
              </w:rPr>
              <w:t>9,</w:t>
            </w:r>
            <w:r>
              <w:rPr>
                <w:sz w:val="22"/>
              </w:rPr>
              <w:t>84</w:t>
            </w:r>
          </w:p>
        </w:tc>
        <w:tc>
          <w:tcPr>
            <w:tcW w:type="dxa" w:w="1134"/>
            <w:tcBorders>
              <w:left w:color="000000" w:sz="1" w:val="single"/>
              <w:bottom w:color="000000" w:sz="1" w:val="single"/>
            </w:tcBorders>
            <w:tcMar>
              <w:top w:type="dxa" w:w="55"/>
              <w:left w:type="dxa" w:w="55"/>
              <w:bottom w:type="dxa" w:w="55"/>
              <w:right w:type="dxa" w:w="55"/>
            </w:tcMar>
            <w:vAlign w:val="center"/>
          </w:tcPr>
          <w:p w14:paraId="CD000000">
            <w:pPr>
              <w:pStyle w:val="Style_11"/>
              <w:widowControl w:val="0"/>
              <w:tabs>
                <w:tab w:leader="none" w:pos="992" w:val="left"/>
              </w:tabs>
              <w:spacing w:line="240" w:lineRule="auto"/>
              <w:ind/>
              <w:jc w:val="center"/>
              <w:rPr>
                <w:sz w:val="22"/>
              </w:rPr>
            </w:pPr>
            <w:r>
              <w:rPr>
                <w:sz w:val="16"/>
              </w:rPr>
              <w:t>п.1 без учета НДС</w:t>
            </w:r>
            <w:r>
              <w:rPr>
                <w:sz w:val="22"/>
              </w:rPr>
              <w:t xml:space="preserve"> /9,</w:t>
            </w:r>
            <w:r>
              <w:rPr>
                <w:sz w:val="22"/>
              </w:rPr>
              <w:t>84</w:t>
            </w:r>
          </w:p>
        </w:tc>
        <w:tc>
          <w:tcPr>
            <w:tcW w:type="dxa" w:w="1479"/>
            <w:tcBorders>
              <w:left w:color="000000" w:sz="1" w:val="single"/>
              <w:bottom w:color="000000" w:sz="1" w:val="single"/>
              <w:right w:color="000000" w:sz="1" w:val="single"/>
            </w:tcBorders>
            <w:tcMar>
              <w:top w:type="dxa" w:w="55"/>
              <w:left w:type="dxa" w:w="55"/>
              <w:bottom w:type="dxa" w:w="55"/>
              <w:right w:type="dxa" w:w="55"/>
            </w:tcMar>
            <w:vAlign w:val="center"/>
          </w:tcPr>
          <w:p w14:paraId="CE000000">
            <w:pPr>
              <w:widowControl w:val="0"/>
              <w:tabs>
                <w:tab w:leader="none" w:pos="992" w:val="left"/>
              </w:tabs>
              <w:ind/>
              <w:rPr>
                <w:sz w:val="22"/>
              </w:rPr>
            </w:pPr>
            <w:r>
              <w:rPr>
                <w:sz w:val="22"/>
              </w:rPr>
              <w:t>144 631,05</w:t>
            </w:r>
          </w:p>
        </w:tc>
      </w:tr>
      <w:tr>
        <w:tc>
          <w:tcPr>
            <w:tcW w:type="dxa" w:w="825"/>
            <w:vMerge w:val="restart"/>
            <w:tcBorders>
              <w:left w:color="000000" w:sz="1" w:val="single"/>
              <w:bottom w:color="000000" w:sz="4" w:val="single"/>
            </w:tcBorders>
            <w:tcMar>
              <w:top w:type="dxa" w:w="55"/>
              <w:left w:type="dxa" w:w="55"/>
              <w:bottom w:type="dxa" w:w="55"/>
              <w:right w:type="dxa" w:w="55"/>
            </w:tcMar>
          </w:tcPr>
          <w:p w14:paraId="CF000000">
            <w:pPr>
              <w:pStyle w:val="Style_11"/>
              <w:ind/>
              <w:jc w:val="center"/>
              <w:rPr>
                <w:sz w:val="22"/>
              </w:rPr>
            </w:pPr>
            <w:r>
              <w:rPr>
                <w:sz w:val="22"/>
              </w:rPr>
              <w:t>3</w:t>
            </w:r>
          </w:p>
        </w:tc>
        <w:tc>
          <w:tcPr>
            <w:tcW w:type="dxa" w:w="4678"/>
            <w:tcBorders>
              <w:left w:color="000000" w:sz="1" w:val="single"/>
              <w:bottom w:color="000000" w:sz="1" w:val="single"/>
            </w:tcBorders>
            <w:tcMar>
              <w:top w:type="dxa" w:w="55"/>
              <w:left w:type="dxa" w:w="55"/>
              <w:bottom w:type="dxa" w:w="55"/>
              <w:right w:type="dxa" w:w="55"/>
            </w:tcMar>
          </w:tcPr>
          <w:p w14:paraId="D0000000">
            <w:pPr>
              <w:pStyle w:val="Style_11"/>
              <w:rPr>
                <w:sz w:val="22"/>
              </w:rPr>
            </w:pPr>
            <w:r>
              <w:rPr>
                <w:sz w:val="22"/>
              </w:rPr>
              <w:t>На основании Положения о проведении строительного контроля, утвержденного постановлением Правительства РФ №468 от 21.06.2010 г. Определяем норматив расходов в процентах (Н), Н=2,14%</w:t>
            </w:r>
          </w:p>
        </w:tc>
        <w:tc>
          <w:tcPr>
            <w:tcW w:type="dxa" w:w="1701"/>
            <w:vMerge w:val="restart"/>
            <w:tcBorders>
              <w:left w:color="000000" w:sz="1" w:val="single"/>
              <w:bottom w:color="000000" w:sz="4" w:val="single"/>
            </w:tcBorders>
            <w:tcMar>
              <w:top w:type="dxa" w:w="55"/>
              <w:left w:type="dxa" w:w="55"/>
              <w:bottom w:type="dxa" w:w="55"/>
              <w:right w:type="dxa" w:w="55"/>
            </w:tcMar>
            <w:vAlign w:val="center"/>
          </w:tcPr>
          <w:p w14:paraId="D1000000">
            <w:pPr>
              <w:pStyle w:val="Style_11"/>
              <w:ind/>
              <w:jc w:val="center"/>
              <w:rPr>
                <w:sz w:val="22"/>
              </w:rPr>
            </w:pPr>
            <w:r>
              <w:rPr>
                <w:sz w:val="22"/>
              </w:rPr>
              <w:t>2,14%</w:t>
            </w:r>
          </w:p>
        </w:tc>
        <w:tc>
          <w:tcPr>
            <w:tcW w:type="dxa" w:w="1134"/>
            <w:vMerge w:val="restart"/>
            <w:tcBorders>
              <w:left w:color="000000" w:sz="1" w:val="single"/>
              <w:bottom w:color="000000" w:sz="4" w:val="single"/>
            </w:tcBorders>
            <w:tcMar>
              <w:top w:type="dxa" w:w="55"/>
              <w:left w:type="dxa" w:w="55"/>
              <w:bottom w:type="dxa" w:w="55"/>
              <w:right w:type="dxa" w:w="55"/>
            </w:tcMar>
            <w:vAlign w:val="center"/>
          </w:tcPr>
          <w:p w14:paraId="D2000000">
            <w:pPr>
              <w:pStyle w:val="Style_11"/>
              <w:ind/>
              <w:jc w:val="center"/>
              <w:rPr>
                <w:sz w:val="22"/>
              </w:rPr>
            </w:pPr>
          </w:p>
        </w:tc>
        <w:tc>
          <w:tcPr>
            <w:tcW w:type="dxa" w:w="1479"/>
            <w:vMerge w:val="restart"/>
            <w:tcBorders>
              <w:left w:color="000000" w:sz="1" w:val="single"/>
              <w:bottom w:color="000000" w:sz="4" w:val="single"/>
              <w:right w:color="000000" w:sz="1" w:val="single"/>
            </w:tcBorders>
            <w:tcMar>
              <w:top w:type="dxa" w:w="55"/>
              <w:left w:type="dxa" w:w="55"/>
              <w:bottom w:type="dxa" w:w="55"/>
              <w:right w:type="dxa" w:w="55"/>
            </w:tcMar>
            <w:vAlign w:val="center"/>
          </w:tcPr>
          <w:p w14:paraId="D3000000">
            <w:pPr>
              <w:pStyle w:val="Style_11"/>
              <w:rPr>
                <w:sz w:val="22"/>
              </w:rPr>
            </w:pPr>
            <w:r>
              <w:rPr>
                <w:sz w:val="22"/>
              </w:rPr>
              <w:t>3 095,10</w:t>
            </w:r>
          </w:p>
        </w:tc>
      </w:tr>
      <w:tr>
        <w:tc>
          <w:tcPr>
            <w:tcW w:type="dxa" w:w="825"/>
            <w:gridSpan w:val="1"/>
            <w:vMerge w:val="continue"/>
            <w:tcBorders>
              <w:left w:color="000000" w:sz="1" w:val="single"/>
              <w:bottom w:color="000000" w:sz="4" w:val="single"/>
            </w:tcBorders>
            <w:tcMar>
              <w:top w:type="dxa" w:w="55"/>
              <w:left w:type="dxa" w:w="55"/>
              <w:bottom w:type="dxa" w:w="55"/>
              <w:right w:type="dxa" w:w="55"/>
            </w:tcMar>
          </w:tcPr>
          <w:p/>
        </w:tc>
        <w:tc>
          <w:tcPr>
            <w:tcW w:type="dxa" w:w="4678"/>
            <w:tcBorders>
              <w:left w:color="000000" w:sz="1" w:val="single"/>
              <w:bottom w:color="000000" w:sz="4" w:val="single"/>
            </w:tcBorders>
            <w:tcMar>
              <w:top w:type="dxa" w:w="55"/>
              <w:left w:type="dxa" w:w="55"/>
              <w:bottom w:type="dxa" w:w="55"/>
              <w:right w:type="dxa" w:w="55"/>
            </w:tcMar>
          </w:tcPr>
          <w:p w14:paraId="D4000000">
            <w:pPr>
              <w:pStyle w:val="Style_11"/>
              <w:rPr>
                <w:sz w:val="22"/>
              </w:rPr>
            </w:pPr>
            <w:r>
              <w:rPr>
                <w:sz w:val="22"/>
              </w:rPr>
              <w:t>Стоимость строительного контроля в б.ц. 2000 г.</w:t>
            </w:r>
          </w:p>
        </w:tc>
        <w:tc>
          <w:tcPr>
            <w:tcW w:type="dxa" w:w="1701"/>
            <w:gridSpan w:val="1"/>
            <w:vMerge w:val="continue"/>
            <w:tcBorders>
              <w:left w:color="000000" w:sz="1" w:val="single"/>
              <w:bottom w:color="000000" w:sz="4" w:val="single"/>
            </w:tcBorders>
            <w:tcMar>
              <w:top w:type="dxa" w:w="55"/>
              <w:left w:type="dxa" w:w="55"/>
              <w:bottom w:type="dxa" w:w="55"/>
              <w:right w:type="dxa" w:w="55"/>
            </w:tcMar>
            <w:vAlign w:val="center"/>
          </w:tcPr>
          <w:p/>
        </w:tc>
        <w:tc>
          <w:tcPr>
            <w:tcW w:type="dxa" w:w="1134"/>
            <w:gridSpan w:val="1"/>
            <w:vMerge w:val="continue"/>
            <w:tcBorders>
              <w:left w:color="000000" w:sz="1" w:val="single"/>
              <w:bottom w:color="000000" w:sz="4" w:val="single"/>
            </w:tcBorders>
            <w:tcMar>
              <w:top w:type="dxa" w:w="55"/>
              <w:left w:type="dxa" w:w="55"/>
              <w:bottom w:type="dxa" w:w="55"/>
              <w:right w:type="dxa" w:w="55"/>
            </w:tcMar>
            <w:vAlign w:val="center"/>
          </w:tcPr>
          <w:p/>
        </w:tc>
        <w:tc>
          <w:tcPr>
            <w:tcW w:type="dxa" w:w="1479"/>
            <w:gridSpan w:val="1"/>
            <w:vMerge w:val="continue"/>
            <w:tcBorders>
              <w:left w:color="000000" w:sz="1" w:val="single"/>
              <w:bottom w:color="000000" w:sz="4" w:val="single"/>
              <w:right w:color="000000" w:sz="1" w:val="single"/>
            </w:tcBorders>
            <w:tcMar>
              <w:top w:type="dxa" w:w="55"/>
              <w:left w:type="dxa" w:w="55"/>
              <w:bottom w:type="dxa" w:w="55"/>
              <w:right w:type="dxa" w:w="55"/>
            </w:tcMar>
            <w:vAlign w:val="center"/>
          </w:tcPr>
          <w:p/>
        </w:tc>
      </w:tr>
      <w:tr>
        <w:trPr>
          <w:trHeight w:hRule="atLeast" w:val="1049"/>
        </w:trPr>
        <w:tc>
          <w:tcPr>
            <w:tcW w:type="dxa" w:w="825"/>
            <w:vMerge w:val="restart"/>
            <w:tcBorders>
              <w:top w:color="000000" w:sz="4" w:val="single"/>
              <w:left w:color="000000" w:sz="4" w:val="single"/>
              <w:bottom w:color="000000" w:sz="4" w:val="single"/>
              <w:right w:color="000000" w:sz="4" w:val="single"/>
            </w:tcBorders>
            <w:tcMar>
              <w:top w:type="dxa" w:w="55"/>
              <w:left w:type="dxa" w:w="55"/>
              <w:bottom w:type="dxa" w:w="55"/>
              <w:right w:type="dxa" w:w="55"/>
            </w:tcMar>
          </w:tcPr>
          <w:p w14:paraId="D5000000">
            <w:pPr>
              <w:pStyle w:val="Style_11"/>
              <w:ind/>
              <w:jc w:val="center"/>
              <w:rPr>
                <w:sz w:val="22"/>
              </w:rPr>
            </w:pPr>
            <w:r>
              <w:rPr>
                <w:sz w:val="22"/>
              </w:rPr>
              <w:t>4</w:t>
            </w:r>
          </w:p>
        </w:tc>
        <w:tc>
          <w:tcPr>
            <w:tcW w:type="dxa" w:w="4678"/>
            <w:tcBorders>
              <w:top w:color="000000" w:sz="4" w:val="single"/>
              <w:left w:color="000000" w:sz="4" w:val="single"/>
              <w:bottom w:color="000000" w:sz="4" w:val="single"/>
              <w:right w:color="000000" w:sz="4" w:val="single"/>
            </w:tcBorders>
            <w:tcMar>
              <w:top w:type="dxa" w:w="55"/>
              <w:left w:type="dxa" w:w="55"/>
              <w:bottom w:type="dxa" w:w="55"/>
              <w:right w:type="dxa" w:w="55"/>
            </w:tcMar>
          </w:tcPr>
          <w:p w14:paraId="D6000000">
            <w:pPr>
              <w:pStyle w:val="Style_11"/>
              <w:rPr>
                <w:sz w:val="22"/>
              </w:rPr>
            </w:pPr>
            <w:r>
              <w:rPr>
                <w:sz w:val="22"/>
              </w:rPr>
              <w:t xml:space="preserve">Индекс изменения стоимости прочих работ и затрат по состоянию на </w:t>
            </w:r>
            <w:r>
              <w:rPr>
                <w:sz w:val="22"/>
              </w:rPr>
              <w:t>2</w:t>
            </w:r>
            <w:r>
              <w:rPr>
                <w:sz w:val="22"/>
              </w:rPr>
              <w:t xml:space="preserve"> кв. 202</w:t>
            </w:r>
            <w:r>
              <w:rPr>
                <w:sz w:val="22"/>
              </w:rPr>
              <w:t>6</w:t>
            </w:r>
            <w:r>
              <w:rPr>
                <w:sz w:val="22"/>
              </w:rPr>
              <w:t xml:space="preserve"> г.,</w:t>
            </w:r>
            <w:r>
              <w:rPr>
                <w:sz w:val="22"/>
              </w:rPr>
              <w:t xml:space="preserve"> приложение</w:t>
            </w:r>
          </w:p>
          <w:p w14:paraId="D7000000">
            <w:pPr>
              <w:pStyle w:val="Style_11"/>
              <w:rPr>
                <w:sz w:val="22"/>
              </w:rPr>
            </w:pPr>
            <w:r>
              <w:rPr>
                <w:sz w:val="22"/>
              </w:rPr>
              <w:t>№4 к письму Минстроя РФ от 22.05.2026 г.</w:t>
            </w:r>
          </w:p>
          <w:p w14:paraId="D8000000">
            <w:pPr>
              <w:pStyle w:val="Style_11"/>
              <w:rPr>
                <w:sz w:val="22"/>
              </w:rPr>
            </w:pPr>
            <w:r>
              <w:rPr>
                <w:sz w:val="22"/>
              </w:rPr>
              <w:t>№31091-ИФ/09 п.30</w:t>
            </w:r>
          </w:p>
        </w:tc>
        <w:tc>
          <w:tcPr>
            <w:tcW w:type="dxa" w:w="1701"/>
            <w:vMerge w:val="restart"/>
            <w:tcBorders>
              <w:top w:color="000000" w:sz="4" w:val="single"/>
              <w:left w:color="000000" w:sz="4" w:val="single"/>
              <w:bottom w:color="000000" w:sz="4" w:val="single"/>
              <w:right w:color="000000" w:sz="4" w:val="single"/>
            </w:tcBorders>
            <w:tcMar>
              <w:top w:type="dxa" w:w="55"/>
              <w:left w:type="dxa" w:w="55"/>
              <w:bottom w:type="dxa" w:w="55"/>
              <w:right w:type="dxa" w:w="55"/>
            </w:tcMar>
            <w:vAlign w:val="center"/>
          </w:tcPr>
          <w:p w14:paraId="D9000000">
            <w:pPr>
              <w:ind/>
              <w:jc w:val="center"/>
              <w:rPr>
                <w:sz w:val="22"/>
              </w:rPr>
            </w:pPr>
            <w:r>
              <w:rPr>
                <w:sz w:val="22"/>
              </w:rPr>
              <w:t>16,</w:t>
            </w:r>
            <w:r>
              <w:rPr>
                <w:sz w:val="22"/>
              </w:rPr>
              <w:t>46</w:t>
            </w:r>
          </w:p>
        </w:tc>
        <w:tc>
          <w:tcPr>
            <w:tcW w:type="dxa" w:w="1134"/>
            <w:vMerge w:val="restart"/>
            <w:tcBorders>
              <w:top w:color="000000" w:sz="4" w:val="single"/>
              <w:left w:color="000000" w:sz="4" w:val="single"/>
              <w:bottom w:color="000000" w:sz="4" w:val="single"/>
              <w:right w:color="000000" w:sz="4" w:val="single"/>
            </w:tcBorders>
            <w:tcMar>
              <w:top w:type="dxa" w:w="55"/>
              <w:left w:type="dxa" w:w="55"/>
              <w:bottom w:type="dxa" w:w="55"/>
              <w:right w:type="dxa" w:w="55"/>
            </w:tcMar>
            <w:vAlign w:val="center"/>
          </w:tcPr>
          <w:p w14:paraId="DA000000">
            <w:pPr>
              <w:pStyle w:val="Style_11"/>
              <w:ind/>
              <w:jc w:val="center"/>
              <w:rPr>
                <w:sz w:val="22"/>
              </w:rPr>
            </w:pPr>
            <w:r>
              <w:rPr>
                <w:sz w:val="22"/>
              </w:rPr>
              <w:t>п</w:t>
            </w:r>
            <w:r>
              <w:rPr>
                <w:sz w:val="22"/>
              </w:rPr>
              <w:t>.3*</w:t>
            </w:r>
            <w:r>
              <w:rPr>
                <w:sz w:val="22"/>
              </w:rPr>
              <w:t>16,</w:t>
            </w:r>
            <w:r>
              <w:rPr>
                <w:sz w:val="22"/>
              </w:rPr>
              <w:t>46</w:t>
            </w:r>
          </w:p>
        </w:tc>
        <w:tc>
          <w:tcPr>
            <w:tcW w:type="dxa" w:w="1479"/>
            <w:vMerge w:val="restart"/>
            <w:tcBorders>
              <w:top w:color="000000" w:sz="4" w:val="single"/>
              <w:left w:color="000000" w:sz="4" w:val="single"/>
              <w:bottom w:color="000000" w:sz="4" w:val="single"/>
              <w:right w:color="000000" w:sz="4" w:val="single"/>
            </w:tcBorders>
            <w:tcMar>
              <w:top w:type="dxa" w:w="55"/>
              <w:left w:type="dxa" w:w="55"/>
              <w:bottom w:type="dxa" w:w="55"/>
              <w:right w:type="dxa" w:w="55"/>
            </w:tcMar>
            <w:vAlign w:val="center"/>
          </w:tcPr>
          <w:p w14:paraId="DB000000">
            <w:pPr>
              <w:pStyle w:val="Style_11"/>
              <w:rPr>
                <w:sz w:val="22"/>
              </w:rPr>
            </w:pPr>
            <w:r>
              <w:rPr>
                <w:sz w:val="22"/>
              </w:rPr>
              <w:t>50 945,34</w:t>
            </w:r>
          </w:p>
        </w:tc>
      </w:tr>
      <w:tr>
        <w:trPr>
          <w:trHeight w:hRule="atLeast" w:val="354"/>
        </w:trPr>
        <w:tc>
          <w:tcPr>
            <w:tcW w:type="dxa" w:w="825"/>
            <w:gridSpan w:val="1"/>
            <w:vMerge w:val="continue"/>
            <w:tcBorders>
              <w:top w:color="000000" w:sz="4" w:val="single"/>
              <w:left w:color="000000" w:sz="4" w:val="single"/>
              <w:bottom w:color="000000" w:sz="4" w:val="single"/>
              <w:right w:color="000000" w:sz="4" w:val="single"/>
            </w:tcBorders>
            <w:tcMar>
              <w:top w:type="dxa" w:w="55"/>
              <w:left w:type="dxa" w:w="55"/>
              <w:bottom w:type="dxa" w:w="55"/>
              <w:right w:type="dxa" w:w="55"/>
            </w:tcMar>
          </w:tcPr>
          <w:p/>
        </w:tc>
        <w:tc>
          <w:tcPr>
            <w:tcW w:type="dxa" w:w="4678"/>
            <w:tcBorders>
              <w:left w:color="000000" w:sz="1" w:val="single"/>
              <w:bottom w:color="000000" w:sz="1" w:val="single"/>
            </w:tcBorders>
            <w:tcMar>
              <w:top w:type="dxa" w:w="55"/>
              <w:left w:type="dxa" w:w="55"/>
              <w:bottom w:type="dxa" w:w="55"/>
              <w:right w:type="dxa" w:w="55"/>
            </w:tcMar>
          </w:tcPr>
          <w:p w14:paraId="DC000000">
            <w:pPr>
              <w:pStyle w:val="Style_11"/>
              <w:widowControl w:val="0"/>
              <w:tabs>
                <w:tab w:leader="none" w:pos="992" w:val="left"/>
              </w:tabs>
              <w:spacing w:line="240" w:lineRule="auto"/>
              <w:ind/>
              <w:jc w:val="both"/>
              <w:rPr>
                <w:sz w:val="22"/>
              </w:rPr>
            </w:pPr>
            <w:r>
              <w:rPr>
                <w:sz w:val="22"/>
              </w:rPr>
              <w:t>Стоимость затрат на осуществление строительного контроля в текущих ценах</w:t>
            </w:r>
          </w:p>
        </w:tc>
        <w:tc>
          <w:tcPr>
            <w:tcW w:type="dxa" w:w="1701"/>
            <w:gridSpan w:val="1"/>
            <w:vMerge w:val="continue"/>
            <w:tcBorders>
              <w:top w:color="000000" w:sz="4" w:val="single"/>
              <w:left w:color="000000" w:sz="4" w:val="single"/>
              <w:bottom w:color="000000" w:sz="4" w:val="single"/>
              <w:right w:color="000000" w:sz="4" w:val="single"/>
            </w:tcBorders>
            <w:tcMar>
              <w:top w:type="dxa" w:w="55"/>
              <w:left w:type="dxa" w:w="55"/>
              <w:bottom w:type="dxa" w:w="55"/>
              <w:right w:type="dxa" w:w="55"/>
            </w:tcMar>
            <w:vAlign w:val="center"/>
          </w:tcPr>
          <w:p/>
        </w:tc>
        <w:tc>
          <w:tcPr>
            <w:tcW w:type="dxa" w:w="1134"/>
            <w:gridSpan w:val="1"/>
            <w:vMerge w:val="continue"/>
            <w:tcBorders>
              <w:top w:color="000000" w:sz="4" w:val="single"/>
              <w:left w:color="000000" w:sz="4" w:val="single"/>
              <w:bottom w:color="000000" w:sz="4" w:val="single"/>
              <w:right w:color="000000" w:sz="4" w:val="single"/>
            </w:tcBorders>
            <w:tcMar>
              <w:top w:type="dxa" w:w="55"/>
              <w:left w:type="dxa" w:w="55"/>
              <w:bottom w:type="dxa" w:w="55"/>
              <w:right w:type="dxa" w:w="55"/>
            </w:tcMar>
            <w:vAlign w:val="center"/>
          </w:tcPr>
          <w:p/>
        </w:tc>
        <w:tc>
          <w:tcPr>
            <w:tcW w:type="dxa" w:w="1479"/>
            <w:gridSpan w:val="1"/>
            <w:vMerge w:val="continue"/>
            <w:tcBorders>
              <w:top w:color="000000" w:sz="4" w:val="single"/>
              <w:left w:color="000000" w:sz="4" w:val="single"/>
              <w:bottom w:color="000000" w:sz="4" w:val="single"/>
              <w:right w:color="000000" w:sz="4" w:val="single"/>
            </w:tcBorders>
            <w:tcMar>
              <w:top w:type="dxa" w:w="55"/>
              <w:left w:type="dxa" w:w="55"/>
              <w:bottom w:type="dxa" w:w="55"/>
              <w:right w:type="dxa" w:w="55"/>
            </w:tcMar>
            <w:vAlign w:val="center"/>
          </w:tcPr>
          <w:p/>
        </w:tc>
      </w:tr>
      <w:tr>
        <w:trPr>
          <w:trHeight w:hRule="atLeast" w:val="252"/>
        </w:trPr>
        <w:tc>
          <w:tcPr>
            <w:tcW w:type="dxa" w:w="825"/>
            <w:tcBorders>
              <w:top w:color="000000" w:sz="4" w:val="single"/>
              <w:left w:color="000000" w:sz="4" w:val="single"/>
              <w:bottom w:color="000000" w:sz="4" w:val="single"/>
              <w:right w:color="000000" w:sz="4" w:val="single"/>
            </w:tcBorders>
            <w:tcMar>
              <w:top w:type="dxa" w:w="55"/>
              <w:left w:type="dxa" w:w="55"/>
              <w:bottom w:type="dxa" w:w="55"/>
              <w:right w:type="dxa" w:w="55"/>
            </w:tcMar>
          </w:tcPr>
          <w:p w14:paraId="DD000000">
            <w:pPr>
              <w:pStyle w:val="Style_11"/>
              <w:ind/>
              <w:jc w:val="center"/>
              <w:rPr>
                <w:sz w:val="22"/>
              </w:rPr>
            </w:pPr>
            <w:r>
              <w:rPr>
                <w:sz w:val="22"/>
              </w:rPr>
              <w:t>5</w:t>
            </w:r>
          </w:p>
        </w:tc>
        <w:tc>
          <w:tcPr>
            <w:tcW w:type="dxa" w:w="4678"/>
            <w:tcBorders>
              <w:top w:color="000000" w:sz="4" w:val="single"/>
              <w:left w:color="000000" w:sz="4" w:val="single"/>
              <w:right w:color="000000" w:sz="4" w:val="single"/>
            </w:tcBorders>
            <w:tcMar>
              <w:top w:type="dxa" w:w="55"/>
              <w:left w:type="dxa" w:w="55"/>
              <w:bottom w:type="dxa" w:w="55"/>
              <w:right w:type="dxa" w:w="55"/>
            </w:tcMar>
          </w:tcPr>
          <w:p w14:paraId="DE000000">
            <w:pPr>
              <w:pStyle w:val="Style_11"/>
              <w:rPr>
                <w:sz w:val="22"/>
              </w:rPr>
            </w:pPr>
            <w:r>
              <w:rPr>
                <w:sz w:val="22"/>
              </w:rPr>
              <w:t>И</w:t>
            </w:r>
            <w:r>
              <w:rPr>
                <w:sz w:val="22"/>
              </w:rPr>
              <w:t xml:space="preserve">ТОГО </w:t>
            </w:r>
          </w:p>
        </w:tc>
        <w:tc>
          <w:tcPr>
            <w:tcW w:type="dxa" w:w="1701"/>
            <w:tcBorders>
              <w:top w:color="000000" w:sz="4" w:val="single"/>
              <w:left w:color="000000" w:sz="4" w:val="single"/>
              <w:bottom w:color="000000" w:sz="4" w:val="single"/>
              <w:right w:color="000000" w:sz="4" w:val="single"/>
            </w:tcBorders>
            <w:tcMar>
              <w:top w:type="dxa" w:w="55"/>
              <w:left w:type="dxa" w:w="55"/>
              <w:bottom w:type="dxa" w:w="55"/>
              <w:right w:type="dxa" w:w="55"/>
            </w:tcMar>
          </w:tcPr>
          <w:p w14:paraId="DF000000">
            <w:pPr>
              <w:pStyle w:val="Style_11"/>
              <w:ind/>
              <w:jc w:val="center"/>
              <w:rPr>
                <w:sz w:val="22"/>
              </w:rPr>
            </w:pPr>
          </w:p>
        </w:tc>
        <w:tc>
          <w:tcPr>
            <w:tcW w:type="dxa" w:w="1134"/>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0000000">
            <w:pPr>
              <w:pStyle w:val="Style_11"/>
              <w:ind/>
              <w:jc w:val="right"/>
              <w:rPr>
                <w:sz w:val="22"/>
              </w:rPr>
            </w:pPr>
          </w:p>
        </w:tc>
        <w:tc>
          <w:tcPr>
            <w:tcW w:type="dxa" w:w="1479"/>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1000000">
            <w:pPr>
              <w:pStyle w:val="Style_11"/>
              <w:rPr>
                <w:sz w:val="22"/>
              </w:rPr>
            </w:pPr>
            <w:r>
              <w:rPr>
                <w:sz w:val="22"/>
              </w:rPr>
              <w:t>50 945,34</w:t>
            </w:r>
          </w:p>
        </w:tc>
      </w:tr>
      <w:tr>
        <w:trPr>
          <w:trHeight w:hRule="atLeast" w:val="252"/>
        </w:trPr>
        <w:tc>
          <w:tcPr>
            <w:tcW w:type="dxa" w:w="825"/>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2000000">
            <w:pPr>
              <w:pStyle w:val="Style_11"/>
              <w:ind/>
              <w:jc w:val="center"/>
              <w:rPr>
                <w:sz w:val="22"/>
              </w:rPr>
            </w:pPr>
            <w:r>
              <w:rPr>
                <w:sz w:val="22"/>
              </w:rPr>
              <w:t>6</w:t>
            </w:r>
          </w:p>
        </w:tc>
        <w:tc>
          <w:tcPr>
            <w:tcW w:type="dxa" w:w="4678"/>
            <w:tcBorders>
              <w:top w:color="000000" w:sz="4" w:val="single"/>
              <w:left w:color="000000" w:sz="4" w:val="single"/>
              <w:right w:color="000000" w:sz="4" w:val="single"/>
            </w:tcBorders>
            <w:tcMar>
              <w:top w:type="dxa" w:w="55"/>
              <w:left w:type="dxa" w:w="55"/>
              <w:bottom w:type="dxa" w:w="55"/>
              <w:right w:type="dxa" w:w="55"/>
            </w:tcMar>
          </w:tcPr>
          <w:p w14:paraId="E3000000">
            <w:pPr>
              <w:pStyle w:val="Style_11"/>
              <w:rPr>
                <w:sz w:val="22"/>
              </w:rPr>
            </w:pPr>
            <w:r>
              <w:rPr>
                <w:sz w:val="22"/>
              </w:rPr>
              <w:t>НДС</w:t>
            </w:r>
          </w:p>
        </w:tc>
        <w:tc>
          <w:tcPr>
            <w:tcW w:type="dxa" w:w="1701"/>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4000000">
            <w:pPr>
              <w:pStyle w:val="Style_11"/>
              <w:ind/>
              <w:jc w:val="center"/>
              <w:rPr>
                <w:sz w:val="22"/>
              </w:rPr>
            </w:pPr>
            <w:r>
              <w:rPr>
                <w:sz w:val="22"/>
              </w:rPr>
              <w:t>22 %</w:t>
            </w:r>
          </w:p>
        </w:tc>
        <w:tc>
          <w:tcPr>
            <w:tcW w:type="dxa" w:w="1134"/>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5000000">
            <w:pPr>
              <w:pStyle w:val="Style_11"/>
              <w:ind/>
              <w:jc w:val="right"/>
              <w:rPr>
                <w:sz w:val="22"/>
              </w:rPr>
            </w:pPr>
          </w:p>
        </w:tc>
        <w:tc>
          <w:tcPr>
            <w:tcW w:type="dxa" w:w="1479"/>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6000000">
            <w:pPr>
              <w:pStyle w:val="Style_11"/>
              <w:rPr>
                <w:sz w:val="22"/>
              </w:rPr>
            </w:pPr>
            <w:r>
              <w:rPr>
                <w:sz w:val="22"/>
              </w:rPr>
              <w:t>11 207,97</w:t>
            </w:r>
          </w:p>
        </w:tc>
      </w:tr>
      <w:tr>
        <w:tc>
          <w:tcPr>
            <w:tcW w:type="dxa" w:w="825"/>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7000000">
            <w:pPr>
              <w:pStyle w:val="Style_11"/>
              <w:ind/>
              <w:jc w:val="center"/>
              <w:rPr>
                <w:b w:val="1"/>
                <w:sz w:val="22"/>
              </w:rPr>
            </w:pPr>
            <w:r>
              <w:rPr>
                <w:b w:val="1"/>
                <w:sz w:val="22"/>
              </w:rPr>
              <w:t>7</w:t>
            </w:r>
          </w:p>
        </w:tc>
        <w:tc>
          <w:tcPr>
            <w:tcW w:type="dxa" w:w="4678"/>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8000000">
            <w:pPr>
              <w:pStyle w:val="Style_11"/>
              <w:rPr>
                <w:b w:val="1"/>
                <w:sz w:val="22"/>
              </w:rPr>
            </w:pPr>
            <w:r>
              <w:rPr>
                <w:b w:val="1"/>
                <w:sz w:val="22"/>
              </w:rPr>
              <w:t>Итого сумма Договора с учетом всех налогов</w:t>
            </w:r>
          </w:p>
        </w:tc>
        <w:tc>
          <w:tcPr>
            <w:tcW w:type="dxa" w:w="1701"/>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9000000">
            <w:pPr>
              <w:pStyle w:val="Style_11"/>
              <w:ind/>
              <w:jc w:val="right"/>
              <w:rPr>
                <w:b w:val="1"/>
                <w:sz w:val="22"/>
              </w:rPr>
            </w:pPr>
          </w:p>
        </w:tc>
        <w:tc>
          <w:tcPr>
            <w:tcW w:type="dxa" w:w="1134"/>
            <w:tcBorders>
              <w:top w:color="000000" w:sz="4" w:val="single"/>
              <w:left w:color="000000" w:sz="4" w:val="single"/>
              <w:bottom w:color="000000" w:sz="4" w:val="single"/>
              <w:right w:color="000000" w:sz="4" w:val="single"/>
            </w:tcBorders>
            <w:tcMar>
              <w:top w:type="dxa" w:w="55"/>
              <w:left w:type="dxa" w:w="55"/>
              <w:bottom w:type="dxa" w:w="55"/>
              <w:right w:type="dxa" w:w="55"/>
            </w:tcMar>
          </w:tcPr>
          <w:p w14:paraId="EA000000">
            <w:pPr>
              <w:pStyle w:val="Style_11"/>
              <w:ind/>
              <w:jc w:val="right"/>
              <w:rPr>
                <w:b w:val="1"/>
                <w:sz w:val="22"/>
              </w:rPr>
            </w:pPr>
          </w:p>
        </w:tc>
        <w:tc>
          <w:tcPr>
            <w:tcW w:type="dxa" w:w="1479"/>
            <w:tcBorders>
              <w:top w:color="000000" w:sz="4" w:val="single"/>
              <w:left w:color="000000" w:sz="4" w:val="single"/>
              <w:bottom w:color="000000" w:sz="4" w:val="single"/>
              <w:right w:color="000000" w:sz="4" w:val="single"/>
            </w:tcBorders>
            <w:shd w:fill="E7E6E6" w:val="clear"/>
            <w:tcMar>
              <w:top w:type="dxa" w:w="55"/>
              <w:left w:type="dxa" w:w="55"/>
              <w:bottom w:type="dxa" w:w="55"/>
              <w:right w:type="dxa" w:w="55"/>
            </w:tcMar>
          </w:tcPr>
          <w:p w14:paraId="EB000000">
            <w:pPr>
              <w:pStyle w:val="Style_11"/>
              <w:tabs>
                <w:tab w:leader="none" w:pos="405" w:val="left"/>
                <w:tab w:leader="none" w:pos="788" w:val="center"/>
              </w:tabs>
              <w:ind/>
              <w:rPr>
                <w:b w:val="1"/>
                <w:sz w:val="22"/>
              </w:rPr>
            </w:pPr>
            <w:r>
              <w:rPr>
                <w:b w:val="1"/>
                <w:sz w:val="22"/>
              </w:rPr>
              <w:t>62 153,31</w:t>
            </w:r>
          </w:p>
        </w:tc>
      </w:tr>
    </w:tbl>
    <w:p w14:paraId="EC000000">
      <w:pPr>
        <w:tabs>
          <w:tab w:leader="none" w:pos="1275" w:val="left"/>
        </w:tabs>
        <w:ind/>
        <w:rPr>
          <w:sz w:val="20"/>
        </w:rPr>
      </w:pPr>
    </w:p>
    <w:p w14:paraId="ED000000">
      <w:pPr>
        <w:ind/>
        <w:jc w:val="right"/>
        <w:rPr>
          <w:sz w:val="18"/>
        </w:rPr>
      </w:pPr>
    </w:p>
    <w:sectPr>
      <w:pgSz w:h="16838" w:orient="portrait" w:w="11906"/>
      <w:pgMar w:bottom="993" w:footer="720" w:gutter="0" w:header="720" w:left="1418" w:right="851" w:top="851"/>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tabs>
          <w:tab w:leader="none" w:pos="720" w:val="left"/>
        </w:tabs>
        <w:ind w:hanging="360" w:left="720"/>
      </w:pPr>
    </w:lvl>
    <w:lvl w:ilvl="1">
      <w:start w:val="1"/>
      <w:numFmt w:val="decimal"/>
      <w:lvlText w:val="%1.%2."/>
      <w:lvlJc w:val="left"/>
      <w:pPr>
        <w:tabs>
          <w:tab w:leader="none" w:pos="1080" w:val="left"/>
        </w:tabs>
        <w:ind w:hanging="360" w:left="1080"/>
      </w:pPr>
      <w:rPr>
        <w:b w:val="0"/>
        <w:sz w:val="20"/>
      </w:rPr>
    </w:lvl>
    <w:lvl w:ilvl="2">
      <w:start w:val="1"/>
      <w:numFmt w:val="decimal"/>
      <w:lvlText w:val="%1.%2.%3."/>
      <w:lvlJc w:val="left"/>
      <w:pPr>
        <w:tabs>
          <w:tab w:leader="none" w:pos="1440" w:val="left"/>
        </w:tabs>
        <w:ind w:hanging="360" w:left="1440"/>
      </w:pPr>
    </w:lvl>
    <w:lvl w:ilvl="3">
      <w:start w:val="1"/>
      <w:numFmt w:val="decimal"/>
      <w:lvlText w:val="%1.%2.%3.%4."/>
      <w:lvlJc w:val="left"/>
      <w:pPr>
        <w:tabs>
          <w:tab w:leader="none" w:pos="1800" w:val="left"/>
        </w:tabs>
        <w:ind w:hanging="360" w:left="1800"/>
      </w:pPr>
    </w:lvl>
    <w:lvl w:ilvl="4">
      <w:start w:val="1"/>
      <w:numFmt w:val="decimal"/>
      <w:lvlText w:val="%1.%2.%3.%4.%5."/>
      <w:lvlJc w:val="left"/>
      <w:pPr>
        <w:tabs>
          <w:tab w:leader="none" w:pos="2160" w:val="left"/>
        </w:tabs>
        <w:ind w:hanging="360" w:left="2160"/>
      </w:pPr>
    </w:lvl>
    <w:lvl w:ilvl="5">
      <w:start w:val="1"/>
      <w:numFmt w:val="decimal"/>
      <w:lvlText w:val="%1.%2.%3.%4.%5.%6."/>
      <w:lvlJc w:val="left"/>
      <w:pPr>
        <w:tabs>
          <w:tab w:leader="none" w:pos="2520" w:val="left"/>
        </w:tabs>
        <w:ind w:hanging="360" w:left="2520"/>
      </w:pPr>
    </w:lvl>
    <w:lvl w:ilvl="6">
      <w:start w:val="1"/>
      <w:numFmt w:val="decimal"/>
      <w:lvlText w:val="%1.%2.%3.%4.%5.%6.%7."/>
      <w:lvlJc w:val="left"/>
      <w:pPr>
        <w:tabs>
          <w:tab w:leader="none" w:pos="2880" w:val="left"/>
        </w:tabs>
        <w:ind w:hanging="360" w:left="2880"/>
      </w:pPr>
    </w:lvl>
    <w:lvl w:ilvl="7">
      <w:start w:val="1"/>
      <w:numFmt w:val="decimal"/>
      <w:lvlText w:val="%1.%2.%3.%4.%5.%6.%7.%8."/>
      <w:lvlJc w:val="left"/>
      <w:pPr>
        <w:tabs>
          <w:tab w:leader="none" w:pos="3240" w:val="left"/>
        </w:tabs>
        <w:ind w:hanging="360" w:left="3240"/>
      </w:pPr>
    </w:lvl>
    <w:lvl w:ilvl="8">
      <w:start w:val="1"/>
      <w:numFmt w:val="decimal"/>
      <w:lvlText w:val="%1.%2.%3.%4.%5.%6.%7.%8.%9."/>
      <w:lvlJc w:val="left"/>
      <w:pPr>
        <w:tabs>
          <w:tab w:leader="none" w:pos="3600" w:val="left"/>
        </w:tabs>
        <w:ind w:hanging="360" w:left="3600"/>
      </w:pPr>
    </w:lvl>
  </w:abstractNum>
  <w:abstractNum w:abstractNumId="1">
    <w:lvl w:ilvl="0">
      <w:start w:val="1"/>
      <w:numFmt w:val="decimal"/>
      <w:lvlText w:val="%1"/>
      <w:lvlJc w:val="left"/>
      <w:pPr>
        <w:ind w:hanging="360" w:left="360"/>
      </w:pPr>
      <w:rPr>
        <w:b w:val="0"/>
        <w:sz w:val="20"/>
      </w:rPr>
    </w:lvl>
    <w:lvl w:ilvl="1">
      <w:start w:val="3"/>
      <w:numFmt w:val="decimal"/>
      <w:lvlText w:val="%1.%2"/>
      <w:lvlJc w:val="left"/>
      <w:pPr>
        <w:ind w:hanging="360" w:left="644"/>
      </w:pPr>
      <w:rPr>
        <w:b w:val="0"/>
        <w:sz w:val="20"/>
      </w:rPr>
    </w:lvl>
    <w:lvl w:ilvl="2">
      <w:start w:val="1"/>
      <w:numFmt w:val="decimal"/>
      <w:lvlText w:val="%1.%2.%3"/>
      <w:lvlJc w:val="left"/>
      <w:pPr>
        <w:ind w:hanging="720" w:left="2990"/>
      </w:pPr>
      <w:rPr>
        <w:b w:val="0"/>
        <w:sz w:val="20"/>
      </w:rPr>
    </w:lvl>
    <w:lvl w:ilvl="3">
      <w:start w:val="1"/>
      <w:numFmt w:val="decimal"/>
      <w:lvlText w:val="%1.%2.%3.%4"/>
      <w:lvlJc w:val="left"/>
      <w:pPr>
        <w:ind w:hanging="720" w:left="4125"/>
      </w:pPr>
      <w:rPr>
        <w:b w:val="0"/>
        <w:sz w:val="20"/>
      </w:rPr>
    </w:lvl>
    <w:lvl w:ilvl="4">
      <w:start w:val="1"/>
      <w:numFmt w:val="decimal"/>
      <w:lvlText w:val="%1.%2.%3.%4.%5"/>
      <w:lvlJc w:val="left"/>
      <w:pPr>
        <w:ind w:hanging="1080" w:left="5620"/>
      </w:pPr>
      <w:rPr>
        <w:b w:val="0"/>
        <w:sz w:val="20"/>
      </w:rPr>
    </w:lvl>
    <w:lvl w:ilvl="5">
      <w:start w:val="1"/>
      <w:numFmt w:val="decimal"/>
      <w:lvlText w:val="%1.%2.%3.%4.%5.%6"/>
      <w:lvlJc w:val="left"/>
      <w:pPr>
        <w:ind w:hanging="1080" w:left="6755"/>
      </w:pPr>
      <w:rPr>
        <w:b w:val="0"/>
        <w:sz w:val="20"/>
      </w:rPr>
    </w:lvl>
    <w:lvl w:ilvl="6">
      <w:start w:val="1"/>
      <w:numFmt w:val="decimal"/>
      <w:lvlText w:val="%1.%2.%3.%4.%5.%6.%7"/>
      <w:lvlJc w:val="left"/>
      <w:pPr>
        <w:ind w:hanging="1440" w:left="8250"/>
      </w:pPr>
      <w:rPr>
        <w:b w:val="0"/>
        <w:sz w:val="20"/>
      </w:rPr>
    </w:lvl>
    <w:lvl w:ilvl="7">
      <w:start w:val="1"/>
      <w:numFmt w:val="decimal"/>
      <w:lvlText w:val="%1.%2.%3.%4.%5.%6.%7.%8"/>
      <w:lvlJc w:val="left"/>
      <w:pPr>
        <w:ind w:hanging="1440" w:left="9385"/>
      </w:pPr>
      <w:rPr>
        <w:b w:val="0"/>
        <w:sz w:val="20"/>
      </w:rPr>
    </w:lvl>
    <w:lvl w:ilvl="8">
      <w:start w:val="1"/>
      <w:numFmt w:val="decimal"/>
      <w:lvlText w:val="%1.%2.%3.%4.%5.%6.%7.%8.%9"/>
      <w:lvlJc w:val="left"/>
      <w:pPr>
        <w:ind w:hanging="1800" w:left="10880"/>
      </w:pPr>
      <w:rPr>
        <w:b w:val="0"/>
        <w:sz w:val="20"/>
      </w:rPr>
    </w:lvl>
  </w:abstractNum>
  <w:abstractNum w:abstractNumId="2">
    <w:lvl w:ilvl="0">
      <w:start w:val="5"/>
      <w:numFmt w:val="decimal"/>
      <w:lvlText w:val="%1."/>
      <w:lvlJc w:val="left"/>
      <w:pPr>
        <w:tabs>
          <w:tab w:leader="none" w:pos="480" w:val="left"/>
        </w:tabs>
        <w:ind w:hanging="480" w:left="480"/>
      </w:pPr>
      <w:rPr>
        <w:rFonts w:ascii="Symbol" w:hAnsi="Symbol"/>
      </w:rPr>
    </w:lvl>
    <w:lvl w:ilvl="1">
      <w:start w:val="1"/>
      <w:numFmt w:val="decimal"/>
      <w:lvlText w:val="%1.%2."/>
      <w:lvlJc w:val="left"/>
      <w:pPr>
        <w:tabs>
          <w:tab w:leader="none" w:pos="840" w:val="left"/>
        </w:tabs>
        <w:ind w:hanging="480" w:left="840"/>
      </w:pPr>
      <w:rPr>
        <w:rFonts w:ascii="Times New Roman" w:hAnsi="Times New Roman"/>
        <w:b w:val="1"/>
      </w:rPr>
    </w:lvl>
    <w:lvl w:ilvl="2">
      <w:start w:val="1"/>
      <w:numFmt w:val="decimal"/>
      <w:lvlText w:val="%1.%2.%3."/>
      <w:lvlJc w:val="left"/>
      <w:pPr>
        <w:tabs>
          <w:tab w:leader="none" w:pos="1440" w:val="left"/>
        </w:tabs>
        <w:ind w:hanging="720" w:left="1440"/>
      </w:pPr>
      <w:rPr>
        <w:rFonts w:ascii="Wingdings" w:hAnsi="Wingdings"/>
      </w:rPr>
    </w:lvl>
    <w:lvl w:ilvl="3">
      <w:start w:val="1"/>
      <w:numFmt w:val="decimal"/>
      <w:lvlText w:val="%1.%2.%3.%4."/>
      <w:lvlJc w:val="left"/>
      <w:pPr>
        <w:tabs>
          <w:tab w:leader="none" w:pos="1800" w:val="left"/>
        </w:tabs>
        <w:ind w:hanging="720" w:left="1800"/>
      </w:pPr>
    </w:lvl>
    <w:lvl w:ilvl="4">
      <w:start w:val="1"/>
      <w:numFmt w:val="decimal"/>
      <w:lvlText w:val="%1.%2.%3.%4.%5."/>
      <w:lvlJc w:val="left"/>
      <w:pPr>
        <w:tabs>
          <w:tab w:leader="none" w:pos="2520" w:val="left"/>
        </w:tabs>
        <w:ind w:hanging="1080" w:left="2520"/>
      </w:pPr>
    </w:lvl>
    <w:lvl w:ilvl="5">
      <w:start w:val="1"/>
      <w:numFmt w:val="decimal"/>
      <w:lvlText w:val="%1.%2.%3.%4.%5.%6."/>
      <w:lvlJc w:val="left"/>
      <w:pPr>
        <w:tabs>
          <w:tab w:leader="none" w:pos="2880" w:val="left"/>
        </w:tabs>
        <w:ind w:hanging="1080" w:left="2880"/>
      </w:pPr>
    </w:lvl>
    <w:lvl w:ilvl="6">
      <w:start w:val="1"/>
      <w:numFmt w:val="decimal"/>
      <w:lvlText w:val="%1.%2.%3.%4.%5.%6.%7."/>
      <w:lvlJc w:val="left"/>
      <w:pPr>
        <w:tabs>
          <w:tab w:leader="none" w:pos="3600" w:val="left"/>
        </w:tabs>
        <w:ind w:hanging="1440" w:left="3600"/>
      </w:pPr>
    </w:lvl>
    <w:lvl w:ilvl="7">
      <w:start w:val="1"/>
      <w:numFmt w:val="decimal"/>
      <w:lvlText w:val="%1.%2.%3.%4.%5.%6.%7.%8."/>
      <w:lvlJc w:val="left"/>
      <w:pPr>
        <w:tabs>
          <w:tab w:leader="none" w:pos="3960" w:val="left"/>
        </w:tabs>
        <w:ind w:hanging="1440" w:left="3960"/>
      </w:pPr>
    </w:lvl>
    <w:lvl w:ilvl="8">
      <w:start w:val="1"/>
      <w:numFmt w:val="decimal"/>
      <w:lvlText w:val="%1.%2.%3.%4.%5.%6.%7.%8.%9."/>
      <w:lvlJc w:val="left"/>
      <w:pPr>
        <w:tabs>
          <w:tab w:leader="none" w:pos="4680" w:val="left"/>
        </w:tabs>
        <w:ind w:hanging="1800" w:left="4680"/>
      </w:pPr>
    </w:lvl>
  </w:abstractNum>
  <w:abstractNum w:abstractNumId="3">
    <w:lvl w:ilvl="0">
      <w:start w:val="1"/>
      <w:numFmt w:val="bullet"/>
      <w:lvlText w:val=""/>
      <w:lvlJc w:val="left"/>
      <w:pPr>
        <w:tabs>
          <w:tab w:leader="none" w:pos="720" w:val="left"/>
        </w:tabs>
        <w:ind w:hanging="360" w:left="720"/>
      </w:pPr>
      <w:rPr>
        <w:rFonts w:ascii="Symbol" w:hAnsi="Symbol"/>
        <w:sz w:val="20"/>
      </w:rPr>
    </w:lvl>
    <w:lvl w:ilvl="1">
      <w:start w:val="1"/>
      <w:numFmt w:val="bullet"/>
      <w:lvlText w:val=""/>
      <w:lvlJc w:val="left"/>
      <w:pPr>
        <w:tabs>
          <w:tab w:leader="none" w:pos="1080" w:val="left"/>
        </w:tabs>
        <w:ind w:hanging="360" w:left="1080"/>
      </w:pPr>
      <w:rPr>
        <w:rFonts w:ascii="Symbol" w:hAnsi="Symbol"/>
        <w:sz w:val="20"/>
      </w:rPr>
    </w:lvl>
    <w:lvl w:ilvl="2">
      <w:start w:val="1"/>
      <w:numFmt w:val="bullet"/>
      <w:lvlText w:val=""/>
      <w:lvlJc w:val="left"/>
      <w:pPr>
        <w:tabs>
          <w:tab w:leader="none" w:pos="1440" w:val="left"/>
        </w:tabs>
        <w:ind w:hanging="360" w:left="1440"/>
      </w:pPr>
      <w:rPr>
        <w:rFonts w:ascii="Symbol" w:hAnsi="Symbol"/>
        <w:sz w:val="20"/>
      </w:rPr>
    </w:lvl>
    <w:lvl w:ilvl="3">
      <w:start w:val="1"/>
      <w:numFmt w:val="bullet"/>
      <w:lvlText w:val=""/>
      <w:lvlJc w:val="left"/>
      <w:pPr>
        <w:tabs>
          <w:tab w:leader="none" w:pos="1800" w:val="left"/>
        </w:tabs>
        <w:ind w:hanging="360" w:left="1800"/>
      </w:pPr>
      <w:rPr>
        <w:rFonts w:ascii="Symbol" w:hAnsi="Symbol"/>
        <w:sz w:val="20"/>
      </w:rPr>
    </w:lvl>
    <w:lvl w:ilvl="4">
      <w:start w:val="1"/>
      <w:numFmt w:val="bullet"/>
      <w:lvlText w:val=""/>
      <w:lvlJc w:val="left"/>
      <w:pPr>
        <w:tabs>
          <w:tab w:leader="none" w:pos="2160" w:val="left"/>
        </w:tabs>
        <w:ind w:hanging="360" w:left="2160"/>
      </w:pPr>
      <w:rPr>
        <w:rFonts w:ascii="Symbol" w:hAnsi="Symbol"/>
        <w:sz w:val="20"/>
      </w:rPr>
    </w:lvl>
    <w:lvl w:ilvl="5">
      <w:start w:val="1"/>
      <w:numFmt w:val="bullet"/>
      <w:lvlText w:val=""/>
      <w:lvlJc w:val="left"/>
      <w:pPr>
        <w:tabs>
          <w:tab w:leader="none" w:pos="2520" w:val="left"/>
        </w:tabs>
        <w:ind w:hanging="360" w:left="2520"/>
      </w:pPr>
      <w:rPr>
        <w:rFonts w:ascii="Symbol" w:hAnsi="Symbol"/>
        <w:sz w:val="20"/>
      </w:rPr>
    </w:lvl>
    <w:lvl w:ilvl="6">
      <w:start w:val="1"/>
      <w:numFmt w:val="bullet"/>
      <w:lvlText w:val=""/>
      <w:lvlJc w:val="left"/>
      <w:pPr>
        <w:tabs>
          <w:tab w:leader="none" w:pos="2880" w:val="left"/>
        </w:tabs>
        <w:ind w:hanging="360" w:left="2880"/>
      </w:pPr>
      <w:rPr>
        <w:rFonts w:ascii="Symbol" w:hAnsi="Symbol"/>
        <w:sz w:val="20"/>
      </w:rPr>
    </w:lvl>
    <w:lvl w:ilvl="7">
      <w:start w:val="1"/>
      <w:numFmt w:val="bullet"/>
      <w:lvlText w:val=""/>
      <w:lvlJc w:val="left"/>
      <w:pPr>
        <w:tabs>
          <w:tab w:leader="none" w:pos="3240" w:val="left"/>
        </w:tabs>
        <w:ind w:hanging="360" w:left="3240"/>
      </w:pPr>
      <w:rPr>
        <w:rFonts w:ascii="Symbol" w:hAnsi="Symbol"/>
        <w:sz w:val="20"/>
      </w:rPr>
    </w:lvl>
    <w:lvl w:ilvl="8">
      <w:start w:val="1"/>
      <w:numFmt w:val="bullet"/>
      <w:lvlText w:val=""/>
      <w:lvlJc w:val="left"/>
      <w:pPr>
        <w:tabs>
          <w:tab w:leader="none" w:pos="3600" w:val="left"/>
        </w:tabs>
        <w:ind w:hanging="360" w:left="3600"/>
      </w:pPr>
      <w:rPr>
        <w:rFonts w:ascii="Symbol" w:hAnsi="Symbol"/>
        <w:sz w:val="20"/>
      </w:rPr>
    </w:lvl>
  </w:abstractNum>
  <w:abstractNum w:abstractNumId="4">
    <w:lvl w:ilvl="0">
      <w:start w:val="1"/>
      <w:numFmt w:val="bullet"/>
      <w:lvlText w:val=""/>
      <w:lvlJc w:val="left"/>
      <w:pPr>
        <w:ind w:hanging="360" w:left="1440"/>
      </w:pPr>
      <w:rPr>
        <w:rFonts w:ascii="Wingdings" w:hAnsi="Wingdings"/>
      </w:rPr>
    </w:lvl>
    <w:lvl w:ilvl="1">
      <w:start w:val="1"/>
      <w:numFmt w:val="bullet"/>
      <w:lvlText w:val="o"/>
      <w:lvlJc w:val="left"/>
      <w:pPr>
        <w:ind w:hanging="360" w:left="2160"/>
      </w:pPr>
      <w:rPr>
        <w:rFonts w:ascii="Courier New" w:hAnsi="Courier New"/>
      </w:rPr>
    </w:lvl>
    <w:lvl w:ilvl="2">
      <w:start w:val="1"/>
      <w:numFmt w:val="bullet"/>
      <w:lvlText w:val=""/>
      <w:lvlJc w:val="left"/>
      <w:pPr>
        <w:ind w:hanging="360" w:left="2880"/>
      </w:pPr>
      <w:rPr>
        <w:rFonts w:ascii="Wingdings" w:hAnsi="Wingdings"/>
      </w:rPr>
    </w:lvl>
    <w:lvl w:ilvl="3">
      <w:start w:val="1"/>
      <w:numFmt w:val="bullet"/>
      <w:lvlText w:val=""/>
      <w:lvlJc w:val="left"/>
      <w:pPr>
        <w:ind w:hanging="360" w:left="3600"/>
      </w:pPr>
      <w:rPr>
        <w:rFonts w:ascii="Symbol" w:hAnsi="Symbol"/>
      </w:rPr>
    </w:lvl>
    <w:lvl w:ilvl="4">
      <w:start w:val="1"/>
      <w:numFmt w:val="bullet"/>
      <w:lvlText w:val="o"/>
      <w:lvlJc w:val="left"/>
      <w:pPr>
        <w:ind w:hanging="360" w:left="4320"/>
      </w:pPr>
      <w:rPr>
        <w:rFonts w:ascii="Courier New" w:hAnsi="Courier New"/>
      </w:rPr>
    </w:lvl>
    <w:lvl w:ilvl="5">
      <w:start w:val="1"/>
      <w:numFmt w:val="bullet"/>
      <w:lvlText w:val=""/>
      <w:lvlJc w:val="left"/>
      <w:pPr>
        <w:ind w:hanging="360" w:left="5040"/>
      </w:pPr>
      <w:rPr>
        <w:rFonts w:ascii="Wingdings" w:hAnsi="Wingdings"/>
      </w:rPr>
    </w:lvl>
    <w:lvl w:ilvl="6">
      <w:start w:val="1"/>
      <w:numFmt w:val="bullet"/>
      <w:lvlText w:val=""/>
      <w:lvlJc w:val="left"/>
      <w:pPr>
        <w:ind w:hanging="360" w:left="5760"/>
      </w:pPr>
      <w:rPr>
        <w:rFonts w:ascii="Symbol" w:hAnsi="Symbol"/>
      </w:rPr>
    </w:lvl>
    <w:lvl w:ilvl="7">
      <w:start w:val="1"/>
      <w:numFmt w:val="bullet"/>
      <w:lvlText w:val="o"/>
      <w:lvlJc w:val="left"/>
      <w:pPr>
        <w:ind w:hanging="360" w:left="6480"/>
      </w:pPr>
      <w:rPr>
        <w:rFonts w:ascii="Courier New" w:hAnsi="Courier New"/>
      </w:rPr>
    </w:lvl>
    <w:lvl w:ilvl="8">
      <w:start w:val="1"/>
      <w:numFmt w:val="bullet"/>
      <w:lvlText w:val=""/>
      <w:lvlJc w:val="left"/>
      <w:pPr>
        <w:ind w:hanging="360" w:left="7200"/>
      </w:pPr>
      <w:rPr>
        <w:rFonts w:ascii="Wingdings" w:hAnsi="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3" w:type="paragraph">
    <w:name w:val="Normal"/>
    <w:link w:val="Style_3_ch"/>
    <w:uiPriority w:val="0"/>
    <w:qFormat/>
    <w:pPr>
      <w:spacing w:line="100" w:lineRule="atLeast"/>
      <w:ind/>
    </w:pPr>
    <w:rPr>
      <w:sz w:val="24"/>
    </w:rPr>
  </w:style>
  <w:style w:default="1" w:styleId="Style_3_ch" w:type="character">
    <w:name w:val="Normal"/>
    <w:link w:val="Style_3"/>
    <w:rPr>
      <w:sz w:val="24"/>
    </w:rPr>
  </w:style>
  <w:style w:styleId="Style_12" w:type="paragraph">
    <w:name w:val="WW8Num4z8"/>
    <w:link w:val="Style_12_ch"/>
  </w:style>
  <w:style w:styleId="Style_12_ch" w:type="character">
    <w:name w:val="WW8Num4z8"/>
    <w:link w:val="Style_12"/>
  </w:style>
  <w:style w:styleId="Style_13" w:type="paragraph">
    <w:name w:val="ConsPlusNormal"/>
    <w:link w:val="Style_13_ch"/>
    <w:pPr>
      <w:widowControl w:val="0"/>
      <w:spacing w:line="100" w:lineRule="atLeast"/>
      <w:ind w:firstLine="720" w:left="0"/>
    </w:pPr>
    <w:rPr>
      <w:rFonts w:ascii="Arial" w:hAnsi="Arial"/>
    </w:rPr>
  </w:style>
  <w:style w:styleId="Style_13_ch" w:type="character">
    <w:name w:val="ConsPlusNormal"/>
    <w:link w:val="Style_13"/>
    <w:rPr>
      <w:rFonts w:ascii="Arial" w:hAnsi="Arial"/>
    </w:rPr>
  </w:style>
  <w:style w:styleId="Style_14" w:type="paragraph">
    <w:name w:val="Название1"/>
    <w:basedOn w:val="Style_3"/>
    <w:link w:val="Style_14_ch"/>
    <w:pPr>
      <w:spacing w:after="120" w:before="120"/>
      <w:ind/>
    </w:pPr>
    <w:rPr>
      <w:i w:val="1"/>
      <w:sz w:val="24"/>
    </w:rPr>
  </w:style>
  <w:style w:styleId="Style_14_ch" w:type="character">
    <w:name w:val="Название1"/>
    <w:basedOn w:val="Style_3_ch"/>
    <w:link w:val="Style_14"/>
    <w:rPr>
      <w:i w:val="1"/>
      <w:sz w:val="24"/>
    </w:rPr>
  </w:style>
  <w:style w:styleId="Style_15" w:type="paragraph">
    <w:name w:val="Основной шрифт абзаца2"/>
    <w:link w:val="Style_15_ch"/>
  </w:style>
  <w:style w:styleId="Style_15_ch" w:type="character">
    <w:name w:val="Основной шрифт абзаца2"/>
    <w:link w:val="Style_15"/>
  </w:style>
  <w:style w:styleId="Style_16" w:type="paragraph">
    <w:name w:val="WW8Num3z6"/>
    <w:link w:val="Style_16_ch"/>
  </w:style>
  <w:style w:styleId="Style_16_ch" w:type="character">
    <w:name w:val="WW8Num3z6"/>
    <w:link w:val="Style_16"/>
  </w:style>
  <w:style w:styleId="Style_17" w:type="paragraph">
    <w:name w:val="WW8Num3z7"/>
    <w:link w:val="Style_17_ch"/>
  </w:style>
  <w:style w:styleId="Style_17_ch" w:type="character">
    <w:name w:val="WW8Num3z7"/>
    <w:link w:val="Style_17"/>
  </w:style>
  <w:style w:styleId="Style_18" w:type="paragraph">
    <w:name w:val="toc 2"/>
    <w:next w:val="Style_3"/>
    <w:link w:val="Style_18_ch"/>
    <w:uiPriority w:val="39"/>
    <w:pPr>
      <w:ind w:firstLine="0" w:left="200"/>
      <w:jc w:val="left"/>
    </w:pPr>
    <w:rPr>
      <w:rFonts w:ascii="XO Thames" w:hAnsi="XO Thames"/>
      <w:sz w:val="28"/>
    </w:rPr>
  </w:style>
  <w:style w:styleId="Style_18_ch" w:type="character">
    <w:name w:val="toc 2"/>
    <w:link w:val="Style_18"/>
    <w:rPr>
      <w:rFonts w:ascii="XO Thames" w:hAnsi="XO Thames"/>
      <w:sz w:val="28"/>
    </w:rPr>
  </w:style>
  <w:style w:styleId="Style_19" w:type="paragraph">
    <w:name w:val="WW8Num1z1"/>
    <w:link w:val="Style_19_ch"/>
  </w:style>
  <w:style w:styleId="Style_19_ch" w:type="character">
    <w:name w:val="WW8Num1z1"/>
    <w:link w:val="Style_19"/>
  </w:style>
  <w:style w:styleId="Style_20" w:type="paragraph">
    <w:name w:val="WW8Num5z4"/>
    <w:link w:val="Style_20_ch"/>
  </w:style>
  <w:style w:styleId="Style_20_ch" w:type="character">
    <w:name w:val="WW8Num5z4"/>
    <w:link w:val="Style_20"/>
  </w:style>
  <w:style w:styleId="Style_21" w:type="paragraph">
    <w:name w:val="WW8Num2z7"/>
    <w:link w:val="Style_21_ch"/>
  </w:style>
  <w:style w:styleId="Style_21_ch" w:type="character">
    <w:name w:val="WW8Num2z7"/>
    <w:link w:val="Style_21"/>
  </w:style>
  <w:style w:styleId="Style_22" w:type="paragraph">
    <w:name w:val="toc 4"/>
    <w:next w:val="Style_3"/>
    <w:link w:val="Style_22_ch"/>
    <w:uiPriority w:val="39"/>
    <w:pPr>
      <w:ind w:firstLine="0" w:left="600"/>
      <w:jc w:val="left"/>
    </w:pPr>
    <w:rPr>
      <w:rFonts w:ascii="XO Thames" w:hAnsi="XO Thames"/>
      <w:sz w:val="28"/>
    </w:rPr>
  </w:style>
  <w:style w:styleId="Style_22_ch" w:type="character">
    <w:name w:val="toc 4"/>
    <w:link w:val="Style_22"/>
    <w:rPr>
      <w:rFonts w:ascii="XO Thames" w:hAnsi="XO Thames"/>
      <w:sz w:val="28"/>
    </w:rPr>
  </w:style>
  <w:style w:styleId="Style_23" w:type="paragraph">
    <w:name w:val="WW8Num5z5"/>
    <w:link w:val="Style_23_ch"/>
  </w:style>
  <w:style w:styleId="Style_23_ch" w:type="character">
    <w:name w:val="WW8Num5z5"/>
    <w:link w:val="Style_23"/>
  </w:style>
  <w:style w:styleId="Style_24" w:type="paragraph">
    <w:name w:val="toc 6"/>
    <w:next w:val="Style_3"/>
    <w:link w:val="Style_24_ch"/>
    <w:uiPriority w:val="39"/>
    <w:pPr>
      <w:ind w:firstLine="0" w:left="1000"/>
      <w:jc w:val="left"/>
    </w:pPr>
    <w:rPr>
      <w:rFonts w:ascii="XO Thames" w:hAnsi="XO Thames"/>
      <w:sz w:val="28"/>
    </w:rPr>
  </w:style>
  <w:style w:styleId="Style_24_ch" w:type="character">
    <w:name w:val="toc 6"/>
    <w:link w:val="Style_24"/>
    <w:rPr>
      <w:rFonts w:ascii="XO Thames" w:hAnsi="XO Thames"/>
      <w:sz w:val="28"/>
    </w:rPr>
  </w:style>
  <w:style w:styleId="Style_25" w:type="paragraph">
    <w:name w:val="WW8Num5z6"/>
    <w:link w:val="Style_25_ch"/>
  </w:style>
  <w:style w:styleId="Style_25_ch" w:type="character">
    <w:name w:val="WW8Num5z6"/>
    <w:link w:val="Style_25"/>
  </w:style>
  <w:style w:styleId="Style_26" w:type="paragraph">
    <w:name w:val="toc 7"/>
    <w:next w:val="Style_3"/>
    <w:link w:val="Style_26_ch"/>
    <w:uiPriority w:val="39"/>
    <w:pPr>
      <w:ind w:firstLine="0" w:left="1200"/>
      <w:jc w:val="left"/>
    </w:pPr>
    <w:rPr>
      <w:rFonts w:ascii="XO Thames" w:hAnsi="XO Thames"/>
      <w:sz w:val="28"/>
    </w:rPr>
  </w:style>
  <w:style w:styleId="Style_26_ch" w:type="character">
    <w:name w:val="toc 7"/>
    <w:link w:val="Style_26"/>
    <w:rPr>
      <w:rFonts w:ascii="XO Thames" w:hAnsi="XO Thames"/>
      <w:sz w:val="28"/>
    </w:rPr>
  </w:style>
  <w:style w:styleId="Style_27" w:type="paragraph">
    <w:name w:val="Подзаголовок Знак"/>
    <w:link w:val="Style_27_ch"/>
    <w:rPr>
      <w:rFonts w:ascii="Cambria" w:hAnsi="Cambria"/>
      <w:i w:val="1"/>
      <w:color w:val="4F81BD"/>
      <w:spacing w:val="15"/>
      <w:sz w:val="24"/>
    </w:rPr>
  </w:style>
  <w:style w:styleId="Style_27_ch" w:type="character">
    <w:name w:val="Подзаголовок Знак"/>
    <w:link w:val="Style_27"/>
    <w:rPr>
      <w:rFonts w:ascii="Cambria" w:hAnsi="Cambria"/>
      <w:i w:val="1"/>
      <w:color w:val="4F81BD"/>
      <w:spacing w:val="15"/>
      <w:sz w:val="24"/>
    </w:rPr>
  </w:style>
  <w:style w:styleId="Style_28" w:type="paragraph">
    <w:name w:val="WW8Num1z2"/>
    <w:link w:val="Style_28_ch"/>
  </w:style>
  <w:style w:styleId="Style_28_ch" w:type="character">
    <w:name w:val="WW8Num1z2"/>
    <w:link w:val="Style_28"/>
  </w:style>
  <w:style w:styleId="Style_29" w:type="paragraph">
    <w:name w:val="WW8Num4z4"/>
    <w:link w:val="Style_29_ch"/>
  </w:style>
  <w:style w:styleId="Style_29_ch" w:type="character">
    <w:name w:val="WW8Num4z4"/>
    <w:link w:val="Style_29"/>
  </w:style>
  <w:style w:styleId="Style_30" w:type="paragraph">
    <w:name w:val="footnote reference"/>
    <w:link w:val="Style_30_ch"/>
    <w:rPr>
      <w:vertAlign w:val="superscript"/>
    </w:rPr>
  </w:style>
  <w:style w:styleId="Style_30_ch" w:type="character">
    <w:name w:val="footnote reference"/>
    <w:link w:val="Style_30"/>
    <w:rPr>
      <w:vertAlign w:val="superscript"/>
    </w:rPr>
  </w:style>
  <w:style w:styleId="Style_31" w:type="paragraph">
    <w:name w:val="WW8Num5z1"/>
    <w:link w:val="Style_31_ch"/>
  </w:style>
  <w:style w:styleId="Style_31_ch" w:type="character">
    <w:name w:val="WW8Num5z1"/>
    <w:link w:val="Style_31"/>
  </w:style>
  <w:style w:styleId="Style_32" w:type="paragraph">
    <w:name w:val="WW8Num4z2"/>
    <w:link w:val="Style_32_ch"/>
  </w:style>
  <w:style w:styleId="Style_32_ch" w:type="character">
    <w:name w:val="WW8Num4z2"/>
    <w:link w:val="Style_32"/>
  </w:style>
  <w:style w:styleId="Style_33" w:type="paragraph">
    <w:name w:val="Текст сноски Знак"/>
    <w:link w:val="Style_33_ch"/>
    <w:rPr>
      <w:rFonts w:ascii="Times New Roman" w:hAnsi="Times New Roman"/>
      <w:sz w:val="20"/>
    </w:rPr>
  </w:style>
  <w:style w:styleId="Style_33_ch" w:type="character">
    <w:name w:val="Текст сноски Знак"/>
    <w:link w:val="Style_33"/>
    <w:rPr>
      <w:rFonts w:ascii="Times New Roman" w:hAnsi="Times New Roman"/>
      <w:sz w:val="20"/>
    </w:rPr>
  </w:style>
  <w:style w:styleId="Style_34" w:type="paragraph">
    <w:name w:val="footnote reference"/>
    <w:link w:val="Style_34_ch"/>
    <w:rPr>
      <w:vertAlign w:val="superscript"/>
    </w:rPr>
  </w:style>
  <w:style w:styleId="Style_34_ch" w:type="character">
    <w:name w:val="footnote reference"/>
    <w:link w:val="Style_34"/>
    <w:rPr>
      <w:vertAlign w:val="superscript"/>
    </w:rPr>
  </w:style>
  <w:style w:styleId="Style_35" w:type="paragraph">
    <w:name w:val="heading 3"/>
    <w:next w:val="Style_3"/>
    <w:link w:val="Style_35_ch"/>
    <w:uiPriority w:val="9"/>
    <w:qFormat/>
    <w:pPr>
      <w:spacing w:after="120" w:before="120"/>
      <w:ind/>
      <w:jc w:val="both"/>
      <w:outlineLvl w:val="2"/>
    </w:pPr>
    <w:rPr>
      <w:rFonts w:ascii="XO Thames" w:hAnsi="XO Thames"/>
      <w:b w:val="1"/>
      <w:sz w:val="26"/>
    </w:rPr>
  </w:style>
  <w:style w:styleId="Style_35_ch" w:type="character">
    <w:name w:val="heading 3"/>
    <w:link w:val="Style_35"/>
    <w:rPr>
      <w:rFonts w:ascii="XO Thames" w:hAnsi="XO Thames"/>
      <w:b w:val="1"/>
      <w:sz w:val="26"/>
    </w:rPr>
  </w:style>
  <w:style w:styleId="Style_36" w:type="paragraph">
    <w:name w:val="highlightcolor"/>
    <w:link w:val="Style_36_ch"/>
  </w:style>
  <w:style w:styleId="Style_36_ch" w:type="character">
    <w:name w:val="highlightcolor"/>
    <w:link w:val="Style_36"/>
  </w:style>
  <w:style w:styleId="Style_37" w:type="paragraph">
    <w:name w:val="Указатель1"/>
    <w:basedOn w:val="Style_3"/>
    <w:link w:val="Style_37_ch"/>
  </w:style>
  <w:style w:styleId="Style_37_ch" w:type="character">
    <w:name w:val="Указатель1"/>
    <w:basedOn w:val="Style_3_ch"/>
    <w:link w:val="Style_37"/>
  </w:style>
  <w:style w:styleId="Style_38" w:type="paragraph">
    <w:name w:val="Balloon Text"/>
    <w:basedOn w:val="Style_3"/>
    <w:link w:val="Style_38_ch"/>
    <w:pPr>
      <w:spacing w:line="240" w:lineRule="auto"/>
      <w:ind/>
    </w:pPr>
    <w:rPr>
      <w:rFonts w:ascii="Segoe UI" w:hAnsi="Segoe UI"/>
      <w:sz w:val="18"/>
    </w:rPr>
  </w:style>
  <w:style w:styleId="Style_38_ch" w:type="character">
    <w:name w:val="Balloon Text"/>
    <w:basedOn w:val="Style_3_ch"/>
    <w:link w:val="Style_38"/>
    <w:rPr>
      <w:rFonts w:ascii="Segoe UI" w:hAnsi="Segoe UI"/>
      <w:sz w:val="18"/>
    </w:rPr>
  </w:style>
  <w:style w:styleId="Style_39" w:type="paragraph">
    <w:name w:val="Основной шрифт абзаца1"/>
    <w:link w:val="Style_39_ch"/>
  </w:style>
  <w:style w:styleId="Style_39_ch" w:type="character">
    <w:name w:val="Основной шрифт абзаца1"/>
    <w:link w:val="Style_39"/>
  </w:style>
  <w:style w:styleId="Style_4" w:type="paragraph">
    <w:name w:val="blk"/>
    <w:basedOn w:val="Style_40"/>
    <w:link w:val="Style_4_ch"/>
  </w:style>
  <w:style w:styleId="Style_4_ch" w:type="character">
    <w:name w:val="blk"/>
    <w:basedOn w:val="Style_40_ch"/>
    <w:link w:val="Style_4"/>
  </w:style>
  <w:style w:styleId="Style_7" w:type="paragraph">
    <w:name w:val="Default"/>
    <w:link w:val="Style_7_ch"/>
    <w:pPr>
      <w:spacing w:line="100" w:lineRule="atLeast"/>
      <w:ind/>
    </w:pPr>
    <w:rPr>
      <w:color w:val="000000"/>
      <w:sz w:val="24"/>
    </w:rPr>
  </w:style>
  <w:style w:styleId="Style_7_ch" w:type="character">
    <w:name w:val="Default"/>
    <w:link w:val="Style_7"/>
    <w:rPr>
      <w:color w:val="000000"/>
      <w:sz w:val="24"/>
    </w:rPr>
  </w:style>
  <w:style w:styleId="Style_41" w:type="paragraph">
    <w:name w:val="Абзац списка Знак"/>
    <w:link w:val="Style_41_ch"/>
    <w:rPr>
      <w:rFonts w:ascii="Times New Roman" w:hAnsi="Times New Roman"/>
      <w:sz w:val="24"/>
    </w:rPr>
  </w:style>
  <w:style w:styleId="Style_41_ch" w:type="character">
    <w:name w:val="Абзац списка Знак"/>
    <w:link w:val="Style_41"/>
    <w:rPr>
      <w:rFonts w:ascii="Times New Roman" w:hAnsi="Times New Roman"/>
      <w:sz w:val="24"/>
    </w:rPr>
  </w:style>
  <w:style w:styleId="Style_42" w:type="paragraph">
    <w:name w:val="WW8Num3z2"/>
    <w:link w:val="Style_42_ch"/>
  </w:style>
  <w:style w:styleId="Style_42_ch" w:type="character">
    <w:name w:val="WW8Num3z2"/>
    <w:link w:val="Style_42"/>
  </w:style>
  <w:style w:styleId="Style_43" w:type="paragraph">
    <w:name w:val="WW8Num5z3"/>
    <w:link w:val="Style_43_ch"/>
  </w:style>
  <w:style w:styleId="Style_43_ch" w:type="character">
    <w:name w:val="WW8Num5z3"/>
    <w:link w:val="Style_43"/>
  </w:style>
  <w:style w:styleId="Style_6" w:type="paragraph">
    <w:name w:val="ConsNormal"/>
    <w:link w:val="Style_6_ch"/>
    <w:pPr>
      <w:spacing w:line="100" w:lineRule="atLeast"/>
      <w:ind w:firstLine="720" w:left="0" w:right="19772"/>
    </w:pPr>
    <w:rPr>
      <w:rFonts w:ascii="Arial" w:hAnsi="Arial"/>
      <w:sz w:val="24"/>
    </w:rPr>
  </w:style>
  <w:style w:styleId="Style_6_ch" w:type="character">
    <w:name w:val="ConsNormal"/>
    <w:link w:val="Style_6"/>
    <w:rPr>
      <w:rFonts w:ascii="Arial" w:hAnsi="Arial"/>
      <w:sz w:val="24"/>
    </w:rPr>
  </w:style>
  <w:style w:styleId="Style_44" w:type="paragraph">
    <w:name w:val="header"/>
    <w:basedOn w:val="Style_3"/>
    <w:link w:val="Style_44_ch"/>
    <w:pPr>
      <w:tabs>
        <w:tab w:leader="none" w:pos="4677" w:val="center"/>
        <w:tab w:leader="none" w:pos="9355" w:val="right"/>
      </w:tabs>
      <w:ind/>
    </w:pPr>
  </w:style>
  <w:style w:styleId="Style_44_ch" w:type="character">
    <w:name w:val="header"/>
    <w:basedOn w:val="Style_3_ch"/>
    <w:link w:val="Style_44"/>
  </w:style>
  <w:style w:styleId="Style_45" w:type="paragraph">
    <w:name w:val="List Paragraph"/>
    <w:basedOn w:val="Style_3"/>
    <w:link w:val="Style_45_ch"/>
    <w:pPr>
      <w:ind w:firstLine="0" w:left="720" w:right="0"/>
    </w:pPr>
  </w:style>
  <w:style w:styleId="Style_45_ch" w:type="character">
    <w:name w:val="List Paragraph"/>
    <w:basedOn w:val="Style_3_ch"/>
    <w:link w:val="Style_45"/>
  </w:style>
  <w:style w:styleId="Style_46" w:type="paragraph">
    <w:name w:val="WW8Num5z0"/>
    <w:link w:val="Style_46_ch"/>
  </w:style>
  <w:style w:styleId="Style_46_ch" w:type="character">
    <w:name w:val="WW8Num5z0"/>
    <w:link w:val="Style_46"/>
  </w:style>
  <w:style w:styleId="Style_47" w:type="paragraph">
    <w:name w:val="Название Знак"/>
    <w:link w:val="Style_47_ch"/>
    <w:rPr>
      <w:rFonts w:ascii="Times New Roman" w:hAnsi="Times New Roman"/>
      <w:b w:val="1"/>
      <w:sz w:val="32"/>
    </w:rPr>
  </w:style>
  <w:style w:styleId="Style_47_ch" w:type="character">
    <w:name w:val="Название Знак"/>
    <w:link w:val="Style_47"/>
    <w:rPr>
      <w:rFonts w:ascii="Times New Roman" w:hAnsi="Times New Roman"/>
      <w:b w:val="1"/>
      <w:sz w:val="32"/>
    </w:rPr>
  </w:style>
  <w:style w:styleId="Style_48" w:type="paragraph">
    <w:name w:val="WW8Num2z3"/>
    <w:link w:val="Style_48_ch"/>
  </w:style>
  <w:style w:styleId="Style_48_ch" w:type="character">
    <w:name w:val="WW8Num2z3"/>
    <w:link w:val="Style_48"/>
  </w:style>
  <w:style w:styleId="Style_49" w:type="paragraph">
    <w:name w:val="toc 3"/>
    <w:next w:val="Style_3"/>
    <w:link w:val="Style_49_ch"/>
    <w:uiPriority w:val="39"/>
    <w:pPr>
      <w:ind w:firstLine="0" w:left="400"/>
      <w:jc w:val="left"/>
    </w:pPr>
    <w:rPr>
      <w:rFonts w:ascii="XO Thames" w:hAnsi="XO Thames"/>
      <w:sz w:val="28"/>
    </w:rPr>
  </w:style>
  <w:style w:styleId="Style_49_ch" w:type="character">
    <w:name w:val="toc 3"/>
    <w:link w:val="Style_49"/>
    <w:rPr>
      <w:rFonts w:ascii="XO Thames" w:hAnsi="XO Thames"/>
      <w:sz w:val="28"/>
    </w:rPr>
  </w:style>
  <w:style w:styleId="Style_50" w:type="paragraph">
    <w:name w:val="Маркеры списка"/>
    <w:link w:val="Style_50_ch"/>
    <w:rPr>
      <w:rFonts w:ascii="OpenSymbol" w:hAnsi="OpenSymbol"/>
    </w:rPr>
  </w:style>
  <w:style w:styleId="Style_50_ch" w:type="character">
    <w:name w:val="Маркеры списка"/>
    <w:link w:val="Style_50"/>
    <w:rPr>
      <w:rFonts w:ascii="OpenSymbol" w:hAnsi="OpenSymbol"/>
    </w:rPr>
  </w:style>
  <w:style w:styleId="Style_51" w:type="paragraph">
    <w:name w:val="Текст выноски Знак"/>
    <w:link w:val="Style_51_ch"/>
    <w:rPr>
      <w:rFonts w:ascii="Tahoma" w:hAnsi="Tahoma"/>
      <w:sz w:val="16"/>
    </w:rPr>
  </w:style>
  <w:style w:styleId="Style_51_ch" w:type="character">
    <w:name w:val="Текст выноски Знак"/>
    <w:link w:val="Style_51"/>
    <w:rPr>
      <w:rFonts w:ascii="Tahoma" w:hAnsi="Tahoma"/>
      <w:sz w:val="16"/>
    </w:rPr>
  </w:style>
  <w:style w:styleId="Style_52" w:type="paragraph">
    <w:name w:val="WW8Num5z7"/>
    <w:link w:val="Style_52_ch"/>
  </w:style>
  <w:style w:styleId="Style_52_ch" w:type="character">
    <w:name w:val="WW8Num5z7"/>
    <w:link w:val="Style_52"/>
  </w:style>
  <w:style w:styleId="Style_53" w:type="paragraph">
    <w:name w:val="Default Paragraph Font"/>
    <w:link w:val="Style_53_ch"/>
  </w:style>
  <w:style w:styleId="Style_53_ch" w:type="character">
    <w:name w:val="Default Paragraph Font"/>
    <w:link w:val="Style_53"/>
  </w:style>
  <w:style w:styleId="Style_54" w:type="paragraph">
    <w:name w:val="WW8Num4z5"/>
    <w:link w:val="Style_54_ch"/>
  </w:style>
  <w:style w:styleId="Style_54_ch" w:type="character">
    <w:name w:val="WW8Num4z5"/>
    <w:link w:val="Style_54"/>
  </w:style>
  <w:style w:styleId="Style_55" w:type="paragraph">
    <w:name w:val="Название"/>
    <w:basedOn w:val="Style_3"/>
    <w:link w:val="Style_55_ch"/>
    <w:pPr>
      <w:spacing w:after="120" w:before="120"/>
      <w:ind/>
    </w:pPr>
    <w:rPr>
      <w:i w:val="1"/>
      <w:sz w:val="24"/>
    </w:rPr>
  </w:style>
  <w:style w:styleId="Style_55_ch" w:type="character">
    <w:name w:val="Название"/>
    <w:basedOn w:val="Style_3_ch"/>
    <w:link w:val="Style_55"/>
    <w:rPr>
      <w:i w:val="1"/>
      <w:sz w:val="24"/>
    </w:rPr>
  </w:style>
  <w:style w:styleId="Style_56" w:type="paragraph">
    <w:name w:val="WW8Num5z8"/>
    <w:link w:val="Style_56_ch"/>
  </w:style>
  <w:style w:styleId="Style_56_ch" w:type="character">
    <w:name w:val="WW8Num5z8"/>
    <w:link w:val="Style_56"/>
  </w:style>
  <w:style w:styleId="Style_57" w:type="paragraph">
    <w:name w:val="WW8Num4z7"/>
    <w:link w:val="Style_57_ch"/>
  </w:style>
  <w:style w:styleId="Style_57_ch" w:type="character">
    <w:name w:val="WW8Num4z7"/>
    <w:link w:val="Style_57"/>
  </w:style>
  <w:style w:styleId="Style_58" w:type="paragraph">
    <w:name w:val="WW8Num1z8"/>
    <w:link w:val="Style_58_ch"/>
  </w:style>
  <w:style w:styleId="Style_58_ch" w:type="character">
    <w:name w:val="WW8Num1z8"/>
    <w:link w:val="Style_58"/>
  </w:style>
  <w:style w:styleId="Style_59" w:type="paragraph">
    <w:name w:val="WW8Num2z6"/>
    <w:link w:val="Style_59_ch"/>
  </w:style>
  <w:style w:styleId="Style_59_ch" w:type="character">
    <w:name w:val="WW8Num2z6"/>
    <w:link w:val="Style_59"/>
  </w:style>
  <w:style w:styleId="Style_60" w:type="paragraph">
    <w:name w:val="WW8Num3z3"/>
    <w:link w:val="Style_60_ch"/>
  </w:style>
  <w:style w:styleId="Style_60_ch" w:type="character">
    <w:name w:val="WW8Num3z3"/>
    <w:link w:val="Style_60"/>
  </w:style>
  <w:style w:styleId="Style_61" w:type="paragraph">
    <w:name w:val="WW8Num1z4"/>
    <w:link w:val="Style_61_ch"/>
  </w:style>
  <w:style w:styleId="Style_61_ch" w:type="character">
    <w:name w:val="WW8Num1z4"/>
    <w:link w:val="Style_61"/>
  </w:style>
  <w:style w:styleId="Style_2" w:type="paragraph">
    <w:name w:val="Preformat"/>
    <w:link w:val="Style_2_ch"/>
    <w:pPr>
      <w:widowControl w:val="0"/>
      <w:spacing w:line="100" w:lineRule="atLeast"/>
      <w:ind/>
    </w:pPr>
    <w:rPr>
      <w:rFonts w:ascii="Courier New" w:hAnsi="Courier New"/>
    </w:rPr>
  </w:style>
  <w:style w:styleId="Style_2_ch" w:type="character">
    <w:name w:val="Preformat"/>
    <w:link w:val="Style_2"/>
    <w:rPr>
      <w:rFonts w:ascii="Courier New" w:hAnsi="Courier New"/>
    </w:rPr>
  </w:style>
  <w:style w:styleId="Style_62" w:type="paragraph">
    <w:name w:val="heading 5"/>
    <w:next w:val="Style_3"/>
    <w:link w:val="Style_62_ch"/>
    <w:uiPriority w:val="9"/>
    <w:qFormat/>
    <w:pPr>
      <w:spacing w:after="120" w:before="120"/>
      <w:ind/>
      <w:jc w:val="both"/>
      <w:outlineLvl w:val="4"/>
    </w:pPr>
    <w:rPr>
      <w:rFonts w:ascii="XO Thames" w:hAnsi="XO Thames"/>
      <w:b w:val="1"/>
      <w:sz w:val="22"/>
    </w:rPr>
  </w:style>
  <w:style w:styleId="Style_62_ch" w:type="character">
    <w:name w:val="heading 5"/>
    <w:link w:val="Style_62"/>
    <w:rPr>
      <w:rFonts w:ascii="XO Thames" w:hAnsi="XO Thames"/>
      <w:b w:val="1"/>
      <w:sz w:val="22"/>
    </w:rPr>
  </w:style>
  <w:style w:styleId="Style_1" w:type="paragraph">
    <w:name w:val="heading 1"/>
    <w:basedOn w:val="Style_3"/>
    <w:next w:val="Style_5"/>
    <w:link w:val="Style_1_ch"/>
    <w:uiPriority w:val="9"/>
    <w:qFormat/>
    <w:pPr>
      <w:keepNext w:val="1"/>
      <w:numPr>
        <w:ilvl w:val="0"/>
        <w:numId w:val="0"/>
      </w:numPr>
      <w:spacing w:after="60" w:before="240"/>
      <w:ind w:firstLine="0" w:left="0" w:right="0"/>
      <w:outlineLvl w:val="0"/>
    </w:pPr>
    <w:rPr>
      <w:rFonts w:ascii="Arial" w:hAnsi="Arial"/>
      <w:b w:val="1"/>
      <w:sz w:val="32"/>
    </w:rPr>
  </w:style>
  <w:style w:styleId="Style_1_ch" w:type="character">
    <w:name w:val="heading 1"/>
    <w:basedOn w:val="Style_3_ch"/>
    <w:link w:val="Style_1"/>
    <w:rPr>
      <w:rFonts w:ascii="Arial" w:hAnsi="Arial"/>
      <w:b w:val="1"/>
      <w:sz w:val="32"/>
    </w:rPr>
  </w:style>
  <w:style w:styleId="Style_63" w:type="paragraph">
    <w:name w:val="WW8Num1z0"/>
    <w:link w:val="Style_63_ch"/>
  </w:style>
  <w:style w:styleId="Style_63_ch" w:type="character">
    <w:name w:val="WW8Num1z0"/>
    <w:link w:val="Style_63"/>
  </w:style>
  <w:style w:styleId="Style_64" w:type="paragraph">
    <w:name w:val="Указатель3"/>
    <w:basedOn w:val="Style_3"/>
    <w:link w:val="Style_64_ch"/>
  </w:style>
  <w:style w:styleId="Style_64_ch" w:type="character">
    <w:name w:val="Указатель3"/>
    <w:basedOn w:val="Style_3_ch"/>
    <w:link w:val="Style_64"/>
  </w:style>
  <w:style w:styleId="Style_65" w:type="paragraph">
    <w:name w:val="Hyperlink"/>
    <w:link w:val="Style_65_ch"/>
    <w:rPr>
      <w:color w:val="0000FF"/>
      <w:u w:val="single"/>
    </w:rPr>
  </w:style>
  <w:style w:styleId="Style_65_ch" w:type="character">
    <w:name w:val="Hyperlink"/>
    <w:link w:val="Style_65"/>
    <w:rPr>
      <w:color w:val="0000FF"/>
      <w:u w:val="single"/>
    </w:rPr>
  </w:style>
  <w:style w:styleId="Style_66" w:type="paragraph">
    <w:name w:val="Footnote"/>
    <w:basedOn w:val="Style_3"/>
    <w:link w:val="Style_66_ch"/>
    <w:pPr>
      <w:spacing w:after="60" w:before="0"/>
      <w:ind/>
      <w:jc w:val="both"/>
    </w:pPr>
    <w:rPr>
      <w:sz w:val="20"/>
    </w:rPr>
  </w:style>
  <w:style w:styleId="Style_66_ch" w:type="character">
    <w:name w:val="Footnote"/>
    <w:basedOn w:val="Style_3_ch"/>
    <w:link w:val="Style_66"/>
    <w:rPr>
      <w:sz w:val="20"/>
    </w:rPr>
  </w:style>
  <w:style w:styleId="Style_67" w:type="paragraph">
    <w:name w:val="Заголовок таблицы"/>
    <w:basedOn w:val="Style_11"/>
    <w:link w:val="Style_67_ch"/>
    <w:pPr>
      <w:ind/>
      <w:jc w:val="center"/>
    </w:pPr>
    <w:rPr>
      <w:b w:val="1"/>
    </w:rPr>
  </w:style>
  <w:style w:styleId="Style_67_ch" w:type="character">
    <w:name w:val="Заголовок таблицы"/>
    <w:basedOn w:val="Style_11_ch"/>
    <w:link w:val="Style_67"/>
    <w:rPr>
      <w:b w:val="1"/>
    </w:rPr>
  </w:style>
  <w:style w:styleId="Style_68" w:type="paragraph">
    <w:name w:val="WW8Num5z2"/>
    <w:link w:val="Style_68_ch"/>
  </w:style>
  <w:style w:styleId="Style_68_ch" w:type="character">
    <w:name w:val="WW8Num5z2"/>
    <w:link w:val="Style_68"/>
  </w:style>
  <w:style w:styleId="Style_69" w:type="paragraph">
    <w:name w:val="toc 1"/>
    <w:next w:val="Style_3"/>
    <w:link w:val="Style_69_ch"/>
    <w:uiPriority w:val="39"/>
    <w:pPr>
      <w:ind w:firstLine="0" w:left="0"/>
      <w:jc w:val="left"/>
    </w:pPr>
    <w:rPr>
      <w:rFonts w:ascii="XO Thames" w:hAnsi="XO Thames"/>
      <w:b w:val="1"/>
      <w:sz w:val="28"/>
    </w:rPr>
  </w:style>
  <w:style w:styleId="Style_69_ch" w:type="character">
    <w:name w:val="toc 1"/>
    <w:link w:val="Style_69"/>
    <w:rPr>
      <w:rFonts w:ascii="XO Thames" w:hAnsi="XO Thames"/>
      <w:b w:val="1"/>
      <w:sz w:val="28"/>
    </w:rPr>
  </w:style>
  <w:style w:styleId="Style_70" w:type="paragraph">
    <w:name w:val="Символ нумерации"/>
    <w:link w:val="Style_70_ch"/>
  </w:style>
  <w:style w:styleId="Style_70_ch" w:type="character">
    <w:name w:val="Символ нумерации"/>
    <w:link w:val="Style_70"/>
  </w:style>
  <w:style w:styleId="Style_71" w:type="paragraph">
    <w:name w:val="WW8Num3z1"/>
    <w:link w:val="Style_71_ch"/>
    <w:rPr>
      <w:sz w:val="20"/>
    </w:rPr>
  </w:style>
  <w:style w:styleId="Style_71_ch" w:type="character">
    <w:name w:val="WW8Num3z1"/>
    <w:link w:val="Style_71"/>
    <w:rPr>
      <w:sz w:val="20"/>
    </w:rPr>
  </w:style>
  <w:style w:styleId="Style_72" w:type="paragraph">
    <w:name w:val="No Spacing"/>
    <w:link w:val="Style_72_ch"/>
    <w:pPr>
      <w:spacing w:after="200" w:line="276" w:lineRule="auto"/>
      <w:ind/>
    </w:pPr>
    <w:rPr>
      <w:rFonts w:ascii="Calibri" w:hAnsi="Calibri"/>
      <w:sz w:val="22"/>
    </w:rPr>
  </w:style>
  <w:style w:styleId="Style_72_ch" w:type="character">
    <w:name w:val="No Spacing"/>
    <w:link w:val="Style_72"/>
    <w:rPr>
      <w:rFonts w:ascii="Calibri" w:hAnsi="Calibri"/>
      <w:sz w:val="22"/>
    </w:rPr>
  </w:style>
  <w:style w:styleId="Style_73" w:type="paragraph">
    <w:name w:val="Header and Footer"/>
    <w:link w:val="Style_73_ch"/>
    <w:pPr>
      <w:spacing w:line="240" w:lineRule="auto"/>
      <w:ind/>
      <w:jc w:val="both"/>
    </w:pPr>
    <w:rPr>
      <w:rFonts w:ascii="XO Thames" w:hAnsi="XO Thames"/>
      <w:sz w:val="20"/>
    </w:rPr>
  </w:style>
  <w:style w:styleId="Style_73_ch" w:type="character">
    <w:name w:val="Header and Footer"/>
    <w:link w:val="Style_73"/>
    <w:rPr>
      <w:rFonts w:ascii="XO Thames" w:hAnsi="XO Thames"/>
      <w:sz w:val="20"/>
    </w:rPr>
  </w:style>
  <w:style w:styleId="Style_74" w:type="paragraph">
    <w:name w:val="WW8Num2z4"/>
    <w:link w:val="Style_74_ch"/>
  </w:style>
  <w:style w:styleId="Style_74_ch" w:type="character">
    <w:name w:val="WW8Num2z4"/>
    <w:link w:val="Style_74"/>
  </w:style>
  <w:style w:styleId="Style_75" w:type="paragraph">
    <w:name w:val="WW8Num4z0"/>
    <w:link w:val="Style_75_ch"/>
    <w:rPr>
      <w:sz w:val="20"/>
    </w:rPr>
  </w:style>
  <w:style w:styleId="Style_75_ch" w:type="character">
    <w:name w:val="WW8Num4z0"/>
    <w:link w:val="Style_75"/>
    <w:rPr>
      <w:sz w:val="20"/>
    </w:rPr>
  </w:style>
  <w:style w:styleId="Style_76" w:type="paragraph">
    <w:name w:val="toc 9"/>
    <w:next w:val="Style_3"/>
    <w:link w:val="Style_76_ch"/>
    <w:uiPriority w:val="39"/>
    <w:pPr>
      <w:ind w:firstLine="0" w:left="1600"/>
      <w:jc w:val="left"/>
    </w:pPr>
    <w:rPr>
      <w:rFonts w:ascii="XO Thames" w:hAnsi="XO Thames"/>
      <w:sz w:val="28"/>
    </w:rPr>
  </w:style>
  <w:style w:styleId="Style_76_ch" w:type="character">
    <w:name w:val="toc 9"/>
    <w:link w:val="Style_76"/>
    <w:rPr>
      <w:rFonts w:ascii="XO Thames" w:hAnsi="XO Thames"/>
      <w:sz w:val="28"/>
    </w:rPr>
  </w:style>
  <w:style w:styleId="Style_77" w:type="paragraph">
    <w:name w:val="Balloon Text"/>
    <w:basedOn w:val="Style_3"/>
    <w:link w:val="Style_77_ch"/>
    <w:rPr>
      <w:rFonts w:ascii="Tahoma" w:hAnsi="Tahoma"/>
      <w:sz w:val="16"/>
    </w:rPr>
  </w:style>
  <w:style w:styleId="Style_77_ch" w:type="character">
    <w:name w:val="Balloon Text"/>
    <w:basedOn w:val="Style_3_ch"/>
    <w:link w:val="Style_77"/>
    <w:rPr>
      <w:rFonts w:ascii="Tahoma" w:hAnsi="Tahoma"/>
      <w:sz w:val="16"/>
    </w:rPr>
  </w:style>
  <w:style w:styleId="Style_78" w:type="paragraph">
    <w:name w:val="Заголовок 1 Знак"/>
    <w:link w:val="Style_78_ch"/>
    <w:rPr>
      <w:rFonts w:ascii="Arial" w:hAnsi="Arial"/>
      <w:b w:val="1"/>
      <w:sz w:val="32"/>
    </w:rPr>
  </w:style>
  <w:style w:styleId="Style_78_ch" w:type="character">
    <w:name w:val="Заголовок 1 Знак"/>
    <w:link w:val="Style_78"/>
    <w:rPr>
      <w:rFonts w:ascii="Arial" w:hAnsi="Arial"/>
      <w:b w:val="1"/>
      <w:sz w:val="32"/>
    </w:rPr>
  </w:style>
  <w:style w:styleId="Style_79" w:type="paragraph">
    <w:name w:val="footnote text"/>
    <w:basedOn w:val="Style_3"/>
    <w:link w:val="Style_79_ch"/>
    <w:pPr>
      <w:spacing w:line="240" w:lineRule="auto"/>
      <w:ind/>
    </w:pPr>
    <w:rPr>
      <w:sz w:val="20"/>
    </w:rPr>
  </w:style>
  <w:style w:styleId="Style_79_ch" w:type="character">
    <w:name w:val="footnote text"/>
    <w:basedOn w:val="Style_3_ch"/>
    <w:link w:val="Style_79"/>
    <w:rPr>
      <w:sz w:val="20"/>
    </w:rPr>
  </w:style>
  <w:style w:styleId="Style_40" w:type="paragraph">
    <w:name w:val="Default Paragraph Font_0"/>
    <w:link w:val="Style_40_ch"/>
  </w:style>
  <w:style w:styleId="Style_40_ch" w:type="character">
    <w:name w:val="Default Paragraph Font_0"/>
    <w:link w:val="Style_40"/>
  </w:style>
  <w:style w:styleId="Style_80" w:type="paragraph">
    <w:name w:val="WW8Num2z0"/>
    <w:link w:val="Style_80_ch"/>
    <w:rPr>
      <w:rFonts w:ascii="Symbol" w:hAnsi="Symbol"/>
    </w:rPr>
  </w:style>
  <w:style w:styleId="Style_80_ch" w:type="character">
    <w:name w:val="WW8Num2z0"/>
    <w:link w:val="Style_80"/>
    <w:rPr>
      <w:rFonts w:ascii="Symbol" w:hAnsi="Symbol"/>
    </w:rPr>
  </w:style>
  <w:style w:styleId="Style_81" w:type="paragraph">
    <w:name w:val="WW8Num1z5"/>
    <w:link w:val="Style_81_ch"/>
  </w:style>
  <w:style w:styleId="Style_81_ch" w:type="character">
    <w:name w:val="WW8Num1z5"/>
    <w:link w:val="Style_81"/>
  </w:style>
  <w:style w:styleId="Style_82" w:type="paragraph">
    <w:name w:val="toc 8"/>
    <w:next w:val="Style_3"/>
    <w:link w:val="Style_82_ch"/>
    <w:uiPriority w:val="39"/>
    <w:pPr>
      <w:ind w:firstLine="0" w:left="1400"/>
      <w:jc w:val="left"/>
    </w:pPr>
    <w:rPr>
      <w:rFonts w:ascii="XO Thames" w:hAnsi="XO Thames"/>
      <w:sz w:val="28"/>
    </w:rPr>
  </w:style>
  <w:style w:styleId="Style_82_ch" w:type="character">
    <w:name w:val="toc 8"/>
    <w:link w:val="Style_82"/>
    <w:rPr>
      <w:rFonts w:ascii="XO Thames" w:hAnsi="XO Thames"/>
      <w:sz w:val="28"/>
    </w:rPr>
  </w:style>
  <w:style w:styleId="Style_83" w:type="paragraph">
    <w:name w:val="ListLabel 1"/>
    <w:link w:val="Style_83_ch"/>
  </w:style>
  <w:style w:styleId="Style_83_ch" w:type="character">
    <w:name w:val="ListLabel 1"/>
    <w:link w:val="Style_83"/>
  </w:style>
  <w:style w:styleId="Style_84" w:type="paragraph">
    <w:name w:val="Основной текст Знак"/>
    <w:link w:val="Style_84_ch"/>
    <w:rPr>
      <w:rFonts w:ascii="Times New Roman" w:hAnsi="Times New Roman"/>
      <w:sz w:val="28"/>
    </w:rPr>
  </w:style>
  <w:style w:styleId="Style_84_ch" w:type="character">
    <w:name w:val="Основной текст Знак"/>
    <w:link w:val="Style_84"/>
    <w:rPr>
      <w:rFonts w:ascii="Times New Roman" w:hAnsi="Times New Roman"/>
      <w:sz w:val="28"/>
    </w:rPr>
  </w:style>
  <w:style w:styleId="Style_85" w:type="paragraph">
    <w:name w:val="Основной текст 31"/>
    <w:basedOn w:val="Style_3"/>
    <w:link w:val="Style_85_ch"/>
    <w:pPr>
      <w:spacing w:line="240" w:lineRule="atLeast"/>
      <w:ind/>
      <w:jc w:val="both"/>
    </w:pPr>
    <w:rPr>
      <w:rFonts w:ascii="Arial" w:hAnsi="Arial"/>
      <w:sz w:val="20"/>
    </w:rPr>
  </w:style>
  <w:style w:styleId="Style_85_ch" w:type="character">
    <w:name w:val="Основной текст 31"/>
    <w:basedOn w:val="Style_3_ch"/>
    <w:link w:val="Style_85"/>
    <w:rPr>
      <w:rFonts w:ascii="Arial" w:hAnsi="Arial"/>
      <w:sz w:val="20"/>
    </w:rPr>
  </w:style>
  <w:style w:styleId="Style_5" w:type="paragraph">
    <w:name w:val="Body Text"/>
    <w:basedOn w:val="Style_3"/>
    <w:link w:val="Style_5_ch"/>
    <w:pPr>
      <w:ind/>
      <w:jc w:val="both"/>
    </w:pPr>
    <w:rPr>
      <w:sz w:val="28"/>
    </w:rPr>
  </w:style>
  <w:style w:styleId="Style_5_ch" w:type="character">
    <w:name w:val="Body Text"/>
    <w:basedOn w:val="Style_3_ch"/>
    <w:link w:val="Style_5"/>
    <w:rPr>
      <w:sz w:val="28"/>
    </w:rPr>
  </w:style>
  <w:style w:styleId="Style_86" w:type="paragraph">
    <w:name w:val="Указатель2"/>
    <w:basedOn w:val="Style_3"/>
    <w:link w:val="Style_86_ch"/>
  </w:style>
  <w:style w:styleId="Style_86_ch" w:type="character">
    <w:name w:val="Указатель2"/>
    <w:basedOn w:val="Style_3_ch"/>
    <w:link w:val="Style_86"/>
  </w:style>
  <w:style w:styleId="Style_87" w:type="paragraph">
    <w:name w:val="Заголовок1"/>
    <w:basedOn w:val="Style_3"/>
    <w:next w:val="Style_5"/>
    <w:link w:val="Style_87_ch"/>
    <w:pPr>
      <w:keepNext w:val="1"/>
      <w:spacing w:after="120" w:before="240"/>
      <w:ind/>
    </w:pPr>
    <w:rPr>
      <w:rFonts w:ascii="Arial" w:hAnsi="Arial"/>
      <w:sz w:val="28"/>
    </w:rPr>
  </w:style>
  <w:style w:styleId="Style_87_ch" w:type="character">
    <w:name w:val="Заголовок1"/>
    <w:basedOn w:val="Style_3_ch"/>
    <w:link w:val="Style_87"/>
    <w:rPr>
      <w:rFonts w:ascii="Arial" w:hAnsi="Arial"/>
      <w:sz w:val="28"/>
    </w:rPr>
  </w:style>
  <w:style w:styleId="Style_88" w:type="paragraph">
    <w:name w:val="WW8Num4z3"/>
    <w:link w:val="Style_88_ch"/>
  </w:style>
  <w:style w:styleId="Style_88_ch" w:type="character">
    <w:name w:val="WW8Num4z3"/>
    <w:link w:val="Style_88"/>
  </w:style>
  <w:style w:styleId="Style_89" w:type="paragraph">
    <w:name w:val="footer"/>
    <w:basedOn w:val="Style_3"/>
    <w:link w:val="Style_89_ch"/>
    <w:pPr>
      <w:tabs>
        <w:tab w:leader="none" w:pos="4677" w:val="center"/>
        <w:tab w:leader="none" w:pos="9355" w:val="right"/>
      </w:tabs>
      <w:ind/>
    </w:pPr>
  </w:style>
  <w:style w:styleId="Style_89_ch" w:type="character">
    <w:name w:val="footer"/>
    <w:basedOn w:val="Style_3_ch"/>
    <w:link w:val="Style_89"/>
  </w:style>
  <w:style w:styleId="Style_90" w:type="paragraph">
    <w:name w:val="WW8Num2z2"/>
    <w:link w:val="Style_90_ch"/>
    <w:rPr>
      <w:rFonts w:ascii="Wingdings" w:hAnsi="Wingdings"/>
    </w:rPr>
  </w:style>
  <w:style w:styleId="Style_90_ch" w:type="character">
    <w:name w:val="WW8Num2z2"/>
    <w:link w:val="Style_90"/>
    <w:rPr>
      <w:rFonts w:ascii="Wingdings" w:hAnsi="Wingdings"/>
    </w:rPr>
  </w:style>
  <w:style w:styleId="Style_91" w:type="paragraph">
    <w:name w:val="WW8Num1z3"/>
    <w:link w:val="Style_91_ch"/>
  </w:style>
  <w:style w:styleId="Style_91_ch" w:type="character">
    <w:name w:val="WW8Num1z3"/>
    <w:link w:val="Style_91"/>
  </w:style>
  <w:style w:styleId="Style_92" w:type="paragraph">
    <w:name w:val="toc 5"/>
    <w:next w:val="Style_3"/>
    <w:link w:val="Style_92_ch"/>
    <w:uiPriority w:val="39"/>
    <w:pPr>
      <w:ind w:firstLine="0" w:left="800"/>
      <w:jc w:val="left"/>
    </w:pPr>
    <w:rPr>
      <w:rFonts w:ascii="XO Thames" w:hAnsi="XO Thames"/>
      <w:sz w:val="28"/>
    </w:rPr>
  </w:style>
  <w:style w:styleId="Style_92_ch" w:type="character">
    <w:name w:val="toc 5"/>
    <w:link w:val="Style_92"/>
    <w:rPr>
      <w:rFonts w:ascii="XO Thames" w:hAnsi="XO Thames"/>
      <w:sz w:val="28"/>
    </w:rPr>
  </w:style>
  <w:style w:styleId="Style_93" w:type="paragraph">
    <w:name w:val="ConsPlusNormal Знак"/>
    <w:link w:val="Style_93_ch"/>
    <w:rPr>
      <w:rFonts w:ascii="Arial" w:hAnsi="Arial"/>
      <w:sz w:val="20"/>
    </w:rPr>
  </w:style>
  <w:style w:styleId="Style_93_ch" w:type="character">
    <w:name w:val="ConsPlusNormal Знак"/>
    <w:link w:val="Style_93"/>
    <w:rPr>
      <w:rFonts w:ascii="Arial" w:hAnsi="Arial"/>
      <w:sz w:val="20"/>
    </w:rPr>
  </w:style>
  <w:style w:styleId="Style_8" w:type="paragraph">
    <w:name w:val="Основной текст 32"/>
    <w:basedOn w:val="Style_3"/>
    <w:link w:val="Style_8_ch"/>
    <w:pPr>
      <w:spacing w:line="240" w:lineRule="atLeast"/>
      <w:ind/>
      <w:jc w:val="both"/>
    </w:pPr>
    <w:rPr>
      <w:rFonts w:ascii="Arial" w:hAnsi="Arial"/>
      <w:sz w:val="20"/>
    </w:rPr>
  </w:style>
  <w:style w:styleId="Style_8_ch" w:type="character">
    <w:name w:val="Основной текст 32"/>
    <w:basedOn w:val="Style_3_ch"/>
    <w:link w:val="Style_8"/>
    <w:rPr>
      <w:rFonts w:ascii="Arial" w:hAnsi="Arial"/>
      <w:sz w:val="20"/>
    </w:rPr>
  </w:style>
  <w:style w:styleId="Style_94" w:type="paragraph">
    <w:name w:val="WW8Num1z6"/>
    <w:link w:val="Style_94_ch"/>
  </w:style>
  <w:style w:styleId="Style_94_ch" w:type="character">
    <w:name w:val="WW8Num1z6"/>
    <w:link w:val="Style_94"/>
  </w:style>
  <w:style w:styleId="Style_95" w:type="paragraph">
    <w:name w:val="Normal (Web)"/>
    <w:basedOn w:val="Style_3"/>
    <w:link w:val="Style_95_ch"/>
    <w:pPr>
      <w:spacing w:after="100" w:before="28"/>
      <w:ind/>
    </w:pPr>
  </w:style>
  <w:style w:styleId="Style_95_ch" w:type="character">
    <w:name w:val="Normal (Web)"/>
    <w:basedOn w:val="Style_3_ch"/>
    <w:link w:val="Style_95"/>
  </w:style>
  <w:style w:styleId="Style_96" w:type="paragraph">
    <w:name w:val="Заголовок2"/>
    <w:basedOn w:val="Style_3"/>
    <w:next w:val="Style_5"/>
    <w:link w:val="Style_96_ch"/>
    <w:pPr>
      <w:keepNext w:val="1"/>
      <w:spacing w:after="120" w:before="240"/>
      <w:ind/>
    </w:pPr>
    <w:rPr>
      <w:rFonts w:ascii="Arial" w:hAnsi="Arial"/>
      <w:sz w:val="28"/>
    </w:rPr>
  </w:style>
  <w:style w:styleId="Style_96_ch" w:type="character">
    <w:name w:val="Заголовок2"/>
    <w:basedOn w:val="Style_3_ch"/>
    <w:link w:val="Style_96"/>
    <w:rPr>
      <w:rFonts w:ascii="Arial" w:hAnsi="Arial"/>
      <w:sz w:val="28"/>
    </w:rPr>
  </w:style>
  <w:style w:styleId="Style_97" w:type="paragraph">
    <w:name w:val="WW8Num3z4"/>
    <w:link w:val="Style_97_ch"/>
  </w:style>
  <w:style w:styleId="Style_97_ch" w:type="character">
    <w:name w:val="WW8Num3z4"/>
    <w:link w:val="Style_97"/>
  </w:style>
  <w:style w:styleId="Style_11" w:type="paragraph">
    <w:name w:val="Содержимое таблицы"/>
    <w:basedOn w:val="Style_3"/>
    <w:link w:val="Style_11_ch"/>
  </w:style>
  <w:style w:styleId="Style_11_ch" w:type="character">
    <w:name w:val="Содержимое таблицы"/>
    <w:basedOn w:val="Style_3_ch"/>
    <w:link w:val="Style_11"/>
  </w:style>
  <w:style w:styleId="Style_98" w:type="paragraph">
    <w:name w:val="Subtitle"/>
    <w:basedOn w:val="Style_3"/>
    <w:next w:val="Style_5"/>
    <w:link w:val="Style_98_ch"/>
    <w:uiPriority w:val="11"/>
    <w:qFormat/>
    <w:pPr>
      <w:ind/>
      <w:jc w:val="left"/>
    </w:pPr>
    <w:rPr>
      <w:rFonts w:ascii="Cambria" w:hAnsi="Cambria"/>
      <w:i w:val="1"/>
      <w:color w:val="4F81BD"/>
      <w:spacing w:val="15"/>
      <w:sz w:val="28"/>
    </w:rPr>
  </w:style>
  <w:style w:styleId="Style_98_ch" w:type="character">
    <w:name w:val="Subtitle"/>
    <w:basedOn w:val="Style_3_ch"/>
    <w:link w:val="Style_98"/>
    <w:rPr>
      <w:rFonts w:ascii="Cambria" w:hAnsi="Cambria"/>
      <w:i w:val="1"/>
      <w:color w:val="4F81BD"/>
      <w:spacing w:val="15"/>
      <w:sz w:val="28"/>
    </w:rPr>
  </w:style>
  <w:style w:styleId="Style_99" w:type="paragraph">
    <w:name w:val="p1"/>
    <w:basedOn w:val="Style_3"/>
    <w:link w:val="Style_99_ch"/>
    <w:pPr>
      <w:spacing w:line="240" w:lineRule="auto"/>
      <w:ind/>
    </w:pPr>
    <w:rPr>
      <w:color w:val="000000"/>
      <w:sz w:val="9"/>
    </w:rPr>
  </w:style>
  <w:style w:styleId="Style_99_ch" w:type="character">
    <w:name w:val="p1"/>
    <w:basedOn w:val="Style_3_ch"/>
    <w:link w:val="Style_99"/>
    <w:rPr>
      <w:color w:val="000000"/>
      <w:sz w:val="9"/>
    </w:rPr>
  </w:style>
  <w:style w:styleId="Style_100" w:type="paragraph">
    <w:name w:val="WW8Num2z5"/>
    <w:link w:val="Style_100_ch"/>
  </w:style>
  <w:style w:styleId="Style_100_ch" w:type="character">
    <w:name w:val="WW8Num2z5"/>
    <w:link w:val="Style_100"/>
  </w:style>
  <w:style w:styleId="Style_101" w:type="paragraph">
    <w:name w:val="WW8Num3z5"/>
    <w:link w:val="Style_101_ch"/>
  </w:style>
  <w:style w:styleId="Style_101_ch" w:type="character">
    <w:name w:val="WW8Num3z5"/>
    <w:link w:val="Style_101"/>
  </w:style>
  <w:style w:styleId="Style_102" w:type="paragraph">
    <w:name w:val="WW8Num3z8"/>
    <w:link w:val="Style_102_ch"/>
  </w:style>
  <w:style w:styleId="Style_102_ch" w:type="character">
    <w:name w:val="WW8Num3z8"/>
    <w:link w:val="Style_102"/>
  </w:style>
  <w:style w:styleId="Style_103" w:type="paragraph">
    <w:name w:val="WW8Num4z1"/>
    <w:link w:val="Style_103_ch"/>
  </w:style>
  <w:style w:styleId="Style_103_ch" w:type="character">
    <w:name w:val="WW8Num4z1"/>
    <w:link w:val="Style_103"/>
  </w:style>
  <w:style w:styleId="Style_104" w:type="paragraph">
    <w:name w:val="WW8Num4z6"/>
    <w:link w:val="Style_104_ch"/>
  </w:style>
  <w:style w:styleId="Style_104_ch" w:type="character">
    <w:name w:val="WW8Num4z6"/>
    <w:link w:val="Style_104"/>
  </w:style>
  <w:style w:styleId="Style_10" w:type="paragraph">
    <w:name w:val="Title"/>
    <w:basedOn w:val="Style_3"/>
    <w:next w:val="Style_98"/>
    <w:link w:val="Style_10_ch"/>
    <w:uiPriority w:val="10"/>
    <w:qFormat/>
    <w:pPr>
      <w:ind/>
      <w:jc w:val="center"/>
    </w:pPr>
    <w:rPr>
      <w:b w:val="1"/>
      <w:sz w:val="32"/>
    </w:rPr>
  </w:style>
  <w:style w:styleId="Style_10_ch" w:type="character">
    <w:name w:val="Title"/>
    <w:basedOn w:val="Style_3_ch"/>
    <w:link w:val="Style_10"/>
    <w:rPr>
      <w:b w:val="1"/>
      <w:sz w:val="32"/>
    </w:rPr>
  </w:style>
  <w:style w:styleId="Style_105" w:type="paragraph">
    <w:name w:val="heading 4"/>
    <w:next w:val="Style_3"/>
    <w:link w:val="Style_105_ch"/>
    <w:uiPriority w:val="9"/>
    <w:qFormat/>
    <w:pPr>
      <w:spacing w:after="120" w:before="120"/>
      <w:ind/>
      <w:jc w:val="both"/>
      <w:outlineLvl w:val="3"/>
    </w:pPr>
    <w:rPr>
      <w:rFonts w:ascii="XO Thames" w:hAnsi="XO Thames"/>
      <w:b w:val="1"/>
      <w:sz w:val="24"/>
    </w:rPr>
  </w:style>
  <w:style w:styleId="Style_105_ch" w:type="character">
    <w:name w:val="heading 4"/>
    <w:link w:val="Style_105"/>
    <w:rPr>
      <w:rFonts w:ascii="XO Thames" w:hAnsi="XO Thames"/>
      <w:b w:val="1"/>
      <w:sz w:val="24"/>
    </w:rPr>
  </w:style>
  <w:style w:styleId="Style_106" w:type="paragraph">
    <w:name w:val="List"/>
    <w:basedOn w:val="Style_5"/>
    <w:link w:val="Style_106_ch"/>
  </w:style>
  <w:style w:styleId="Style_106_ch" w:type="character">
    <w:name w:val="List"/>
    <w:basedOn w:val="Style_5_ch"/>
    <w:link w:val="Style_106"/>
  </w:style>
  <w:style w:styleId="Style_107" w:type="paragraph">
    <w:name w:val="ConsNormal Знак"/>
    <w:link w:val="Style_107_ch"/>
    <w:rPr>
      <w:rFonts w:ascii="Arial" w:hAnsi="Arial"/>
      <w:sz w:val="24"/>
    </w:rPr>
  </w:style>
  <w:style w:styleId="Style_107_ch" w:type="character">
    <w:name w:val="ConsNormal Знак"/>
    <w:link w:val="Style_107"/>
    <w:rPr>
      <w:rFonts w:ascii="Arial" w:hAnsi="Arial"/>
      <w:sz w:val="24"/>
    </w:rPr>
  </w:style>
  <w:style w:styleId="Style_108" w:type="paragraph">
    <w:name w:val="WW8Num3z0"/>
    <w:link w:val="Style_108_ch"/>
  </w:style>
  <w:style w:styleId="Style_108_ch" w:type="character">
    <w:name w:val="WW8Num3z0"/>
    <w:link w:val="Style_108"/>
  </w:style>
  <w:style w:styleId="Style_109" w:type="paragraph">
    <w:name w:val="heading 2"/>
    <w:next w:val="Style_3"/>
    <w:link w:val="Style_109_ch"/>
    <w:uiPriority w:val="9"/>
    <w:qFormat/>
    <w:pPr>
      <w:spacing w:after="120" w:before="120"/>
      <w:ind/>
      <w:jc w:val="both"/>
      <w:outlineLvl w:val="1"/>
    </w:pPr>
    <w:rPr>
      <w:rFonts w:ascii="XO Thames" w:hAnsi="XO Thames"/>
      <w:b w:val="1"/>
      <w:sz w:val="28"/>
    </w:rPr>
  </w:style>
  <w:style w:styleId="Style_109_ch" w:type="character">
    <w:name w:val="heading 2"/>
    <w:link w:val="Style_109"/>
    <w:rPr>
      <w:rFonts w:ascii="XO Thames" w:hAnsi="XO Thames"/>
      <w:b w:val="1"/>
      <w:sz w:val="28"/>
    </w:rPr>
  </w:style>
  <w:style w:styleId="Style_110" w:type="paragraph">
    <w:name w:val="WW8Num2z1"/>
    <w:link w:val="Style_110_ch"/>
    <w:rPr>
      <w:rFonts w:ascii="Courier New" w:hAnsi="Courier New"/>
    </w:rPr>
  </w:style>
  <w:style w:styleId="Style_110_ch" w:type="character">
    <w:name w:val="WW8Num2z1"/>
    <w:link w:val="Style_110"/>
    <w:rPr>
      <w:rFonts w:ascii="Courier New" w:hAnsi="Courier New"/>
    </w:rPr>
  </w:style>
  <w:style w:styleId="Style_111" w:type="paragraph">
    <w:name w:val="WW8Num2z8"/>
    <w:link w:val="Style_111_ch"/>
  </w:style>
  <w:style w:styleId="Style_111_ch" w:type="character">
    <w:name w:val="WW8Num2z8"/>
    <w:link w:val="Style_111"/>
  </w:style>
  <w:style w:styleId="Style_112" w:type="paragraph">
    <w:name w:val="WW8Num1z7"/>
    <w:link w:val="Style_112_ch"/>
  </w:style>
  <w:style w:styleId="Style_112_ch" w:type="character">
    <w:name w:val="WW8Num1z7"/>
    <w:link w:val="Style_112"/>
  </w:style>
  <w:style w:default="1" w:styleId="Style_9"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MyOffice-CoreFramework-Windows/25-982.666.6545.616.0@RELEASE-DESKTOP-WASSABI_HOME-RC-RENEW</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2026-09-18T11:15:12Z</dcterms:modified>
</cp:coreProperties>
</file>