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Cs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Cs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  <w:lang w:eastAsia="ru-RU"/>
        </w:rPr>
        <w:t xml:space="preserve">Договор № </w:t>
      </w: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  <w:lang w:eastAsia="ru-RU"/>
        </w:rPr>
        <w:t xml:space="preserve">                                                               </w:t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highlight w:val="none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highlight w:val="none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2"/>
          <w:szCs w:val="22"/>
          <w:highlight w:val="none"/>
          <w:lang w:eastAsia="ru-RU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2"/>
          <w:szCs w:val="22"/>
          <w:lang w:eastAsia="ru-RU"/>
        </w:rPr>
        <w:t xml:space="preserve"> 225(410)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ИКЗ №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i w:val="0"/>
          <w:iCs w:val="0"/>
          <w:color w:val="2c363a"/>
          <w:sz w:val="22"/>
          <w:szCs w:val="22"/>
          <w:highlight w:val="white"/>
        </w:rPr>
        <w:t xml:space="preserve">263470317748947030100100010000000000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bCs w:val="0"/>
          <w:i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г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Мурино, 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</w:r>
      <w:r>
        <w:rPr>
          <w:rFonts w:ascii="Times New Roman" w:hAnsi="Times New Roman" w:cs="Times New Roman"/>
          <w:bCs w:val="0"/>
          <w:i w:val="0"/>
          <w:sz w:val="22"/>
          <w:szCs w:val="22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Всеволожский район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.   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ab/>
        <w:t xml:space="preserve">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        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   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»                 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  2026г.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ind w:left="0" w:right="-62" w:firstLine="0"/>
        <w:jc w:val="both"/>
        <w:rPr>
          <w:rFonts w:ascii="Times New Roman" w:hAnsi="Times New Roman" w:cs="Times New Roman"/>
          <w:bCs w:val="0"/>
          <w:i w:val="0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</w:rPr>
        <w:t xml:space="preserve">Муниципальное общеобразовательное бюджетное учреждение «Муринская средняя общеобразовательная школа № 5»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(МОБУ «Муринская СОШ № 5»), именуемое в дальнейшем «Заказчик»,  в лице директора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Шенкевич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Галины Борисовны, действующего  на  основании устава, с одной стороны, и _______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, именуемые вместе «Стороны», а по отдельности "Сторона", заключили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настоящий договор (далее – Договор) в соответствии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2"/>
          <w:szCs w:val="22"/>
        </w:rPr>
        <w:t xml:space="preserve">п. 5 части 1 статьи 93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  <w:r>
        <w:rPr>
          <w:rFonts w:ascii="Times New Roman" w:hAnsi="Times New Roman" w:cs="Times New Roman"/>
          <w:bCs w:val="0"/>
          <w:i w:val="0"/>
          <w:szCs w:val="22"/>
        </w:rPr>
      </w:r>
      <w:r>
        <w:rPr>
          <w:rFonts w:ascii="Times New Roman" w:hAnsi="Times New Roman" w:cs="Times New Roman"/>
          <w:bCs w:val="0"/>
          <w:i w:val="0"/>
          <w:szCs w:val="22"/>
        </w:rPr>
      </w:r>
    </w:p>
    <w:p>
      <w:pPr>
        <w:ind w:left="0" w:right="-62" w:firstLine="0"/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bCs w:val="0"/>
          <w:i w:val="0"/>
          <w:sz w:val="22"/>
          <w:szCs w:val="22"/>
        </w:rPr>
      </w:r>
      <w:r>
        <w:rPr>
          <w:rFonts w:ascii="Times New Roman" w:hAnsi="Times New Roman" w:cs="Times New Roman"/>
          <w:bCs w:val="0"/>
          <w:i w:val="0"/>
          <w:sz w:val="22"/>
          <w:szCs w:val="22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  <w:lang w:eastAsia="ru-RU"/>
        </w:rPr>
        <w:t xml:space="preserve">1.  </w:t>
      </w: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  <w:lang w:eastAsia="ru-RU"/>
        </w:rPr>
        <w:t xml:space="preserve">ПРЕДМЕТ ДОГОВОРА</w:t>
      </w:r>
      <w:r>
        <w:rPr>
          <w:rFonts w:ascii="Times New Roman" w:hAnsi="Times New Roman" w:cs="Times New Roman"/>
          <w:b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i w:val="0"/>
          <w:iCs w:val="0"/>
          <w:sz w:val="22"/>
          <w:szCs w:val="22"/>
        </w:rPr>
      </w:r>
    </w:p>
    <w:p>
      <w:pPr>
        <w:ind w:left="0" w:right="0" w:firstLine="0"/>
        <w:jc w:val="left"/>
        <w:spacing w:line="240" w:lineRule="auto"/>
        <w:rPr>
          <w:rFonts w:ascii="Times New Roman" w:hAnsi="Times New Roman" w:cs="Times New Roman"/>
          <w:bCs w:val="0"/>
          <w:i w:val="0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1.1. Исполнитель обязуется по заданию Заказчика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2"/>
          <w:szCs w:val="22"/>
        </w:rPr>
        <w:t xml:space="preserve"> произвести услуги  по техническому обслуживанию окон в соответствии с Приложением №1  к настоящему Договору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, а Заказчик обязуются создавать Исполнителю необходимые условия для оказания услуг, принять их результат и уплатить указанную в Договоре цену.  </w:t>
        <w:br/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1.2. Заказчик осуществляет контроль за ходом и качеством оказываемых услуг. </w:t>
        <w:br/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1.3. Ср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ок выполнения услуг: в течение 30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(тридцать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)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рабочих дней с момента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заключения настоящего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Договора,по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предварительному согласованию с Заказчиком.</w:t>
        <w:br/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1.4. Место оказания услуг: </w:t>
      </w:r>
      <w:bookmarkStart w:id="0" w:name="_Hlk187741924"/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br/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188678, Ленинградская область, м. р-н Всеволожский г.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Мурино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, ул. Шоссе в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Лаврики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, дом 57, корп.2;</w:t>
        <w:br/>
      </w:r>
      <w:r>
        <w:rPr>
          <w:rFonts w:ascii="Times New Roman" w:hAnsi="Times New Roman" w:cs="Times New Roman"/>
          <w:bCs w:val="0"/>
          <w:i w:val="0"/>
          <w:sz w:val="22"/>
          <w:szCs w:val="22"/>
        </w:rPr>
      </w:r>
      <w:r>
        <w:rPr>
          <w:rFonts w:ascii="Times New Roman" w:hAnsi="Times New Roman" w:cs="Times New Roman"/>
          <w:bCs w:val="0"/>
          <w:i w:val="0"/>
          <w:sz w:val="22"/>
          <w:szCs w:val="22"/>
        </w:rPr>
      </w:r>
    </w:p>
    <w:p>
      <w:pPr>
        <w:pStyle w:val="920"/>
        <w:jc w:val="both"/>
        <w:spacing w:line="240" w:lineRule="auto"/>
        <w:rPr>
          <w:rFonts w:ascii="Times New Roman" w:hAnsi="Times New Roman" w:cs="Times New Roman"/>
          <w:bCs w:val="0"/>
          <w:i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highlight w:val="none"/>
        </w:rPr>
      </w:r>
      <w:r>
        <w:rPr>
          <w:rFonts w:ascii="Times New Roman" w:hAnsi="Times New Roman" w:cs="Times New Roman"/>
          <w:bCs w:val="0"/>
          <w:i w:val="0"/>
          <w:sz w:val="22"/>
          <w:szCs w:val="22"/>
        </w:rPr>
      </w:r>
      <w:r>
        <w:rPr>
          <w:rFonts w:ascii="Times New Roman" w:hAnsi="Times New Roman" w:cs="Times New Roman"/>
          <w:bCs w:val="0"/>
          <w:i w:val="0"/>
          <w:sz w:val="22"/>
          <w:szCs w:val="22"/>
        </w:rPr>
      </w:r>
    </w:p>
    <w:p>
      <w:pPr>
        <w:pStyle w:val="920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pStyle w:val="920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r>
      <w:bookmarkEnd w:id="0"/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2. СРОКИ ОКАЗАНИЯ УСЛУГ</w:t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2.1. Исполнитель должен оказывать услуги по Договору в порядке и на условиях, предусмотренных настоящим Договором, и в соответствии с Приложение №1, являющимся неотъемлемой частью настоящего Договора.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2.2. Исполнитель выполняет услуги  по настоящему Договору с использованием своих материалов.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2.3. Если Исполнитель допустил нарушение любых установленных Договором сроков на срок более десяти дней по вине Заказчика, такая просрочка не является нарушением условий Договора и не влечет возникновения обязательств по уплате пеней и штрафов.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2.4. Услуги должны быть оказаны в срок, указанный в п. 1.3. настоящего Договора.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3. СТОИМОСТЬ УСЛУГ ПО ДОГОВОРУ</w:t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ind w:left="0" w:right="0" w:firstLine="0"/>
        <w:jc w:val="both"/>
        <w:rPr>
          <w:bCs w:val="0"/>
          <w:i w:val="0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3.1. Общая стоимость услуг, выполняемых на объекте определена в соответствии с Приложением № 1, являющейся неотъемлемой частью настоящего Договора и составляет:________</w:t>
      </w:r>
      <w:r>
        <w:rPr>
          <w:bCs w:val="0"/>
          <w:i w:val="0"/>
          <w:szCs w:val="22"/>
        </w:rPr>
      </w:r>
      <w:r>
        <w:rPr>
          <w:bCs w:val="0"/>
          <w:i w:val="0"/>
          <w:szCs w:val="22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3.2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. Цена Договора является твердой (п. 2 ст. 34 44-ФЗ) в течение всего периода исполнения обязательств, за исключением установленных Федеральным законом № 44-ФЗ случаев.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4. ПЛАТЕЖИ И РАСЧЕТЫ</w:t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4.1. Стороны договорились использовать универсальный передаточный документ (далее "УПД") для оформления хозяйственных операций по данному договору. УПД будет исп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ользоваться одновременно как первичный документ (накладная/акт). Основанием для оплаты оказанных Исполнителем услуг являются счет и УПД, проверенные и подписанные Заказчиком. Стоимость оказанных услуг определяется в соответствии с положением п. 3 Договора.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4.2. Оплата за оказанные услуги производится в течение 10 рабочих дней со дня подписания Заказчиком УПД.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4.3. Услуги, оказанные Исполнителем с отклонением от условий настоящего Договора, не подлежат оплате Заказчиком до устранения отклонений.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5. ОБЯЗАТЕЛЬСТВА СТОРОН</w:t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  <w:lang w:eastAsia="ru-RU"/>
        </w:rPr>
        <w:t xml:space="preserve">5.1.  Заказчик обязан: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5.1.1. Осуществлять контроль и надзор за ходом и качеством оказанных услуг, соблюдением сроков их оказания и соответствием установленной Договором стоимости, а также за качеством материалов, не вмешиваясь при этом в деятельность Исполнителя.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5.1.2. При обнаружении в ходе оказания услуг отступлений от условий настоящего Договора, которые могут ухудшить качество оказываемых услуг, или иные недостатки, немедленно заявлять об этом Исполнителю в письменной форме, назначив срок их устранения.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5.1.3. Оплачивать оказанные Исполнителем услуги на условиях настоящего Договора.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5.1.4. По окончании оказания части или всего объема услуг Исполнителем по настоящему Договору своевременно организовать их приемку.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5.1.5. Обеспечить беспрепятственный доступ в помещения для проведения работ.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5.2. </w:t>
      </w: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  <w:lang w:eastAsia="ru-RU"/>
        </w:rPr>
        <w:t xml:space="preserve">Исполнитель обязан: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5.2.1. Оказать предусмотренные настоящим Договором услуги, в полном объеме.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5.2.2. Оказывать услуги с соблюдением норм техники безопасности, охраны труда.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5.2.3. Своевременно оформлять исполнительную документацию на услуги, извещая Заказчика не менее чем за 48 часов о времени окончания оказания услуг.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5.2.4. Привлекать для оказания услуг иные организации только по письменному согласованию с Заказчиком.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5.2.5. Нести ответственность перед Заказчиком за своевременное и качественное оказание услуг привлеченными организациями.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5.2.6. В случае если будут обнаружены некачественно оказанные услуги, Исполнитель своими силами и за свой счет обязан в срок, указанный и согласованный Заказчиком, исправить допущенные нарушения.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ind w:right="-5"/>
        <w:jc w:val="both"/>
        <w:spacing w:after="0" w:line="240" w:lineRule="auto"/>
        <w:widowControl w:val="off"/>
        <w:tabs>
          <w:tab w:val="left" w:pos="900" w:leader="none"/>
          <w:tab w:val="left" w:pos="1260" w:leader="none"/>
        </w:tabs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5.2.7. Самостоятельно осуществлять доставку и вывоз своего оборудования, инвентаря и материалов в согласованное с Заказчиком время.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ind w:right="-5"/>
        <w:jc w:val="both"/>
        <w:spacing w:after="0" w:line="240" w:lineRule="auto"/>
        <w:widowControl w:val="off"/>
        <w:tabs>
          <w:tab w:val="left" w:pos="900" w:leader="none"/>
        </w:tabs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5.2.8. Соблюдать при производстве работ Правила техники безопасности, пожарной безопасности и норм промышленной санитарии.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5.2.9 Оказывать услуги квалифицированным персоналам.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6. ПОРЯДОК СДАЧИ И ПРИЕМКИ УСЛУГ</w:t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6.1. По завершении оказания услуг Исполнитель письменно извещает об этом Заказчика.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6.2. Сдача оказанных услуг по настоящему Договору Исполнителем и приемка их Заказчиком оформляется УПД, подписанным Сторонами.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6.3. Заказчик вправе отказаться от приемки результата оказанных услуг в случае обнаружения недостатков, которые исключают возможность его использования и не могут быть устранены Исполнителем.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6.4. Датой сдачи оказанных услуг по настоящему Договору считается дата утверждения уполномоченным лицом УПД.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7. ГАРАНТИЙНЫЕ ОБЯЗАТЕЛЬСТВА</w:t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7.1. Исполнитель гарантирует качество оказанных услуг по Договору в течение тридцати дней со дня их приемки Заказчиком.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7.2. В случае выявления в течение гарантийного срока дефектов, образовавшихся по вине Исполнителя, последний обязан устранить выявленные дефекты своими силами и за свой счет в течение 10 дней с момента получения Исполнителем уведомления о дефекте.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8. ОТВЕТСТВЕННОСТЬ СТОРОН</w:t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8.1. В случае несвоевременного оказания услуг по вине Исполнителя, с него взыскивается пени в размере 0,5% от цены Договора за каждый день просрочки.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8.2. При несвоевременном устранении дефектов Исполнителем Заказчик в праве за его счет устранить дефекты своими силами и, кроме того, взыскать с Исполнителя неустойку в размере 50% стоимости по устранению дефектов.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8.3. За неисполнение и ненадлежащее исполнение прочих обязательств по настоящему Договору с Исполнителя взыскивается неустойка в размере 10% от цены Договора.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8.4. Уплата штрафов, пени и неустоек, а также возмещение убытков не освобождает стороны от исполнения своих обязательств по Договору.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8.5. При исполнении своих обязательств по Дог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овору Стороны обязуются соблюдать и обеспечить соблюдение их работниками требований российского антикоррупционного законодательства. При исполнении своих обязательств по настоящему Договору, Стороны, их аффилированные лица, работники и посредники обязуются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принимать меры по недопущению любой возможности возникновения ситуаций, квалифицируемых применимым для целей настоящего Договора законодательством, как конфликт интересов, и принимать меры по предотвращению или урегулированию такого конфликта интересов. К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аждая из Сторон Договора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Договора.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9.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СРОКИ ДЕЙСТВИЯ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 ДОГОВОРА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И УСЛОВИЯ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ЕГО РАСТОРЖЕНИЯ</w:t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9.1. Настоящий Договор вступает в </w:t>
      </w:r>
      <w:bookmarkStart w:id="1" w:name="OCRUncertain028"/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силу</w:t>
      </w:r>
      <w:bookmarkEnd w:id="1"/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с момента подписания его Сторонами и действует до 31.12.2026 года, в части расчетов – до исполнения обязательств, принятых на себя по настоящему Договору.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9.2.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Настоящий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Договора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, может быть, расторгнут (прекращен) в случаях: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досрочное   расторжение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настоящего Договора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допускается по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соглашению сторон, по решению суда или в связи с односторонним отказом сторон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Договор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а от исполнения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Договор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а в соответствии с гражданским законодательством РФ.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10. ПРОЧИЕ УСЛОВИЯ</w:t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10.1. Стороны не несут ответственности за частичное или полное неисполнение своих обязательств по настоящему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Договору, если надлежащее исполнение оказалось невозможным вследствие действий непреодолимой силы, то есть чрезвычайных и непредотвратимых при данных условиях обстоятельств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(война, стихийное бедствие, забастовки, массовые беспорядки, решения органов государственной власти, влияющие на исполнение Договора). Срок действия Договора продлевается соразмерно времени, в течение которого действовали обстоятельства непреодолимой силы.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10.2. Любые изменения и дополнения к настоящему Договору действительны, если они совершены в письменной форме и подписаны обеими сторонами. Все приложения к настоящему Договору являются неотъемлемой его частью.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10.3. Стороны обязаны в течение 10 дней сообщить друг другу об изменении своего места нахождения, почтового адреса, номеров телефонов, факсов.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10.4. Все, что не урегулировано настоящим Договором, регулируется действующим гражданским законодательством РФ.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10.5. Стороны соглашаются в целях и в связи с исполнением своих обязательств по Договору осуществлять электронный обмен документами по телекоммуникационным каналам связи, подписанными электронными подписями (далее – ЭП).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10.6. Электронный документооборот (далее – ЭДО) осуществляется по следующим основным направлениям взаимодействия: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10.6.1. Заключение, изменение, расторжение Договора и Дополнительных соглашений, с учетом Приложений.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10.6.2. Выставление и получение Счетов, универсальных передаточных документов, и иных электронных документов в сфере налогового, бухгалтерского и управленческого учета.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10.6.3. Подписание и направление Актов, в том числе актов сверки расчетов, справок и информации о задолженности.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10.7. Стороны признают, что получение документов, подписанных ЭП, эквивалентно получению документов на бумажном носителе и является необходимым и достаточным условием, позволяющим установить, что ЭДО исходит от Стороны, его направившей.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10.8. Стороны обязаны информировать друг друга о невозможности обмена д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окументами в электронном виде, подписанными ЭП, в том числе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10.9. Перечень вышеуказанных документов, в отношении которых Сторонами осуществляется ЭДО, является открытым.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10.10. Договор составлен в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форме электронного документа, подписанного усиленными электронными подписями Сторон. Стороны вправе изготовить копию Договора на бумажном носителе с проставлением печатей, в 2-х экземплярах, имеющих равную юридическую силу, по одному для каждой из Сторон.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Cs w:val="0"/>
          <w:i w:val="0"/>
          <w:sz w:val="22"/>
          <w:szCs w:val="22"/>
        </w:rPr>
      </w:pPr>
      <w:r>
        <w:rPr>
          <w:rFonts w:ascii="Times New Roman" w:hAnsi="Times New Roman" w:cs="Times New Roman"/>
          <w:i w:val="0"/>
          <w:iCs w:val="0"/>
          <w:sz w:val="22"/>
          <w:szCs w:val="22"/>
          <w:highlight w:val="none"/>
        </w:rPr>
        <w:t xml:space="preserve">10.11</w:t>
      </w:r>
      <w:r>
        <w:rPr>
          <w:rFonts w:ascii="Times New Roman" w:hAnsi="Times New Roman"/>
          <w:szCs w:val="22"/>
        </w:rPr>
        <w:t xml:space="preserve">Споры, возникающие при исполнении настоящего Договора, урегулируются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путем переговоров. При не достижении Сторонами согласия спор может быть передан на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рассмотрение Арбитражного суда города Санкт-Петербурга и Ленинградской области.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</w:r>
      <w:r>
        <w:rPr>
          <w:rFonts w:ascii="Times New Roman" w:hAnsi="Times New Roman" w:cs="Times New Roman"/>
          <w:bCs w:val="0"/>
          <w:i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10.12. К настоящему Договору прилагаются и являются неотъемлемой   его частью: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Спецификация (Приложение №1)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и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Перечень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услуг (Приложение №2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).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  <w:t xml:space="preserve">11. РЕКВИЗИТЫ И ПОДПИСИ СТОРОН</w:t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tbl>
      <w:tblPr>
        <w:tblW w:w="1077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529"/>
        <w:gridCol w:w="5245"/>
      </w:tblGrid>
      <w:tr>
        <w:tblPrEx/>
        <w:trPr/>
        <w:tc>
          <w:tcPr>
            <w:tcW w:w="55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  <w:u w:val="single"/>
              </w:rP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</w:rPr>
              <w:tab/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</w:rPr>
              <w:tab/>
            </w: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  <w:u w:val="single"/>
              </w:rPr>
              <w:t xml:space="preserve">ЗАКАЗЧИК</w:t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  <w:u w:val="single"/>
              </w:rPr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  <w:u w:val="single"/>
              </w:rPr>
            </w:r>
          </w:p>
        </w:tc>
        <w:tc>
          <w:tcPr>
            <w:tcW w:w="52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  <w:u w:val="single"/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  <w:u w:val="single"/>
              </w:rPr>
              <w:t xml:space="preserve">ИСПОЛНИТЕЛЬ</w:t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  <w:u w:val="single"/>
              </w:rPr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  <w:u w:val="single"/>
              </w:rPr>
            </w:r>
          </w:p>
        </w:tc>
      </w:tr>
      <w:tr>
        <w:tblPrEx/>
        <w:trPr/>
        <w:tc>
          <w:tcPr>
            <w:shd w:val="clear" w:color="auto" w:fill="auto"/>
            <w:tcW w:w="5529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  <w:lang w:eastAsia="en-US"/>
              </w:rPr>
              <w:t xml:space="preserve">МОБУ «Муринская СОШ № 5» </w:t>
            </w:r>
            <w:r>
              <w:rPr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tabs>
                <w:tab w:val="left" w:pos="4678" w:leader="none"/>
              </w:tabs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188678, Ленинградская область, м.р-н Всеволожский, г.п. Муринское, г. Мурино, ул. Шоссе в Лаврики, д. 66 к. 2.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ИНН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4703177489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КПП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470301001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ОГРН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1204700014881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ОКПО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45344240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ОКАТО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41212504000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ОКТМО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41612103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ОКОГУ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4210007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ОКФС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14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ОКОПФ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75403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ОКВЭД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85.13, 85.14, 85.12,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85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.11, 68.20.2, 86.90.9, 88.91, 85.41,85.42.9, 56.29, 93.29.9, 93.19, 93.11, 91.01,90.03, 90.01, 88.10, 63.99.1, 49.31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Р/счет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03234643416120004500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К/счет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40102810745370000098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Лицевые счета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20015510109, 20015410109, 21015310109 в КФ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ru-RU"/>
              </w:rPr>
              <w:t xml:space="preserve">администрации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Всеволожского муниципального района ЛО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Банк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eastAsia="ru-RU"/>
              </w:rPr>
              <w:t xml:space="preserve">Операционно-кассовый центр № 1 Северо-Западного главного управления Центрального банка Российской Федерации (сокращенное наименование - ОКЦ № 1 Северо-Западного ГУ Банка России)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БИК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044030098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pStyle w:val="922"/>
              <w:ind w:right="3058" w:hanging="10"/>
              <w:jc w:val="left"/>
              <w:spacing w:before="2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  <w:lang w:val="en-US"/>
              </w:rPr>
              <w:t xml:space="preserve">e-mail: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pacing w:val="-5"/>
                <w:sz w:val="22"/>
                <w:szCs w:val="22"/>
                <w:lang w:val="en-US"/>
              </w:rPr>
              <w:t xml:space="preserve"> </w:t>
            </w:r>
            <w:hyperlink r:id="rId10" w:tooltip="mailto:info@mur5.ru" w:history="1">
              <w:r>
                <w:rPr>
                  <w:rFonts w:ascii="Times New Roman" w:hAnsi="Times New Roman" w:eastAsia="Times New Roman" w:cs="Times New Roman"/>
                  <w:i w:val="0"/>
                  <w:iCs w:val="0"/>
                  <w:sz w:val="22"/>
                  <w:szCs w:val="22"/>
                  <w:lang w:val="en-US"/>
                </w:rPr>
                <w:t xml:space="preserve">info@mur5.ru</w:t>
              </w:r>
            </w:hyperlink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</w:rPr>
              <w:t xml:space="preserve">тел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  <w:lang w:val="en-US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</w:rPr>
              <w:t xml:space="preserve">+7 911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</w:rPr>
              <w:t xml:space="preserve">080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</w:rPr>
              <w:t xml:space="preserve">80 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pacing w:val="-5"/>
                <w:sz w:val="22"/>
                <w:szCs w:val="22"/>
              </w:rPr>
              <w:t xml:space="preserve">37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  <w:u w:val="single"/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  <w:u w:val="single"/>
                <w:lang w:val="en-US" w:eastAsia="ru-RU"/>
              </w:rPr>
            </w: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  <w:u w:val="single"/>
              </w:rPr>
            </w: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  <w:u w:val="single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  <w:lang w:eastAsia="ru-RU"/>
              </w:rPr>
              <w:t xml:space="preserve">Директор МОБУ «Муринская СОШ № 5»</w:t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  <w:lang w:eastAsia="ru-RU"/>
              </w:rPr>
              <w:t xml:space="preserve">_____________________/ </w:t>
            </w: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  <w:lang w:eastAsia="ru-RU"/>
              </w:rPr>
              <w:t xml:space="preserve">Шенкевич</w:t>
            </w: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  <w:lang w:eastAsia="ru-RU"/>
              </w:rPr>
              <w:t xml:space="preserve"> Г.Б./</w:t>
            </w: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  <w:lang w:eastAsia="en-US" w:bidi="en-US"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</w:p>
        </w:tc>
        <w:tc>
          <w:tcPr>
            <w:shd w:val="clear" w:color="auto" w:fill="ffffff"/>
            <w:tcW w:w="5245" w:type="dxa"/>
            <w:textDirection w:val="lrTb"/>
            <w:noWrap w:val="false"/>
          </w:tcPr>
          <w:p>
            <w:r/>
            <w:r/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  <w:outlineLvl w:val="1"/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b/>
          <w:i w:val="0"/>
          <w:iCs w:val="0"/>
          <w:sz w:val="22"/>
          <w:szCs w:val="22"/>
        </w:rPr>
        <w:outlineLvl w:val="1"/>
      </w:pP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  <w:lang w:eastAsia="ru-RU"/>
        </w:rPr>
        <w:t xml:space="preserve">Приложение № 1 </w:t>
      </w:r>
      <w:r>
        <w:rPr>
          <w:rFonts w:ascii="Times New Roman" w:hAnsi="Times New Roman" w:cs="Times New Roman"/>
          <w:b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i w:val="0"/>
          <w:iCs w:val="0"/>
          <w:sz w:val="22"/>
          <w:szCs w:val="22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i w:val="0"/>
          <w:iCs w:val="0"/>
          <w:sz w:val="22"/>
          <w:szCs w:val="22"/>
        </w:rPr>
        <w:outlineLvl w:val="1"/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к Договору №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»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                         </w:t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t xml:space="preserve">2026г.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  <w:lang w:eastAsia="ru-RU"/>
        </w:rPr>
        <w:t xml:space="preserve">    </w:t>
      </w:r>
      <w:r>
        <w:rPr>
          <w:rFonts w:ascii="Times New Roman" w:hAnsi="Times New Roman" w:cs="Times New Roman"/>
          <w:b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i w:val="0"/>
          <w:iCs w:val="0"/>
          <w:sz w:val="22"/>
          <w:szCs w:val="22"/>
        </w:rPr>
      </w:r>
    </w:p>
    <w:p>
      <w:pPr>
        <w:ind w:left="0" w:right="0" w:firstLine="0"/>
        <w:rPr>
          <w:bCs w:val="0"/>
          <w:i w:val="0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r>
      <w:r>
        <w:rPr>
          <w:bCs w:val="0"/>
          <w:i w:val="0"/>
          <w:szCs w:val="22"/>
        </w:rPr>
      </w:r>
      <w:r>
        <w:rPr>
          <w:bCs w:val="0"/>
          <w:i w:val="0"/>
          <w:szCs w:val="22"/>
        </w:rPr>
      </w:r>
    </w:p>
    <w:tbl>
      <w:tblPr>
        <w:tblStyle w:val="87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3881"/>
        <w:gridCol w:w="1559"/>
        <w:gridCol w:w="2126"/>
        <w:gridCol w:w="2693"/>
      </w:tblGrid>
      <w:tr>
        <w:tblPrEx/>
        <w:trPr/>
        <w:tc>
          <w:tcPr>
            <w:shd w:val="clear" w:color="e0e0e0" w:fill="e0e0e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bCs w:val="0"/>
                <w:i w:val="0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color w:val="000000"/>
                <w:sz w:val="22"/>
                <w:szCs w:val="22"/>
              </w:rPr>
              <w:t xml:space="preserve">Наименование</w:t>
            </w:r>
            <w:r>
              <w:rPr>
                <w:bCs w:val="0"/>
                <w:i w:val="0"/>
                <w:szCs w:val="22"/>
              </w:rPr>
            </w:r>
            <w:r>
              <w:rPr>
                <w:bCs w:val="0"/>
                <w:i w:val="0"/>
                <w:szCs w:val="22"/>
              </w:rPr>
            </w:r>
          </w:p>
        </w:tc>
        <w:tc>
          <w:tcPr>
            <w:shd w:val="clear" w:color="e0e0e0" w:fill="e0e0e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bCs w:val="0"/>
                <w:i w:val="0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color w:val="000000"/>
                <w:sz w:val="22"/>
                <w:szCs w:val="22"/>
              </w:rPr>
              <w:t xml:space="preserve">Кол-во</w:t>
            </w:r>
            <w:r>
              <w:rPr>
                <w:bCs w:val="0"/>
                <w:i w:val="0"/>
                <w:szCs w:val="22"/>
              </w:rPr>
            </w:r>
            <w:r>
              <w:rPr>
                <w:bCs w:val="0"/>
                <w:i w:val="0"/>
                <w:szCs w:val="22"/>
              </w:rPr>
            </w:r>
          </w:p>
          <w:p>
            <w:pPr>
              <w:ind w:left="0" w:right="0" w:firstLine="0"/>
              <w:jc w:val="center"/>
              <w:rPr>
                <w:b/>
                <w:bCs/>
                <w:i w:val="0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b/>
                <w:bCs/>
                <w:i w:val="0"/>
                <w:iCs w:val="0"/>
                <w:sz w:val="22"/>
                <w:szCs w:val="22"/>
              </w:rPr>
              <w:t xml:space="preserve">(усл. ед)</w:t>
            </w:r>
            <w:r>
              <w:rPr>
                <w:b/>
                <w:bCs/>
                <w:i w:val="0"/>
                <w:szCs w:val="22"/>
              </w:rPr>
            </w:r>
            <w:r>
              <w:rPr>
                <w:b/>
                <w:bCs/>
                <w:i w:val="0"/>
                <w:szCs w:val="22"/>
              </w:rPr>
            </w:r>
          </w:p>
        </w:tc>
        <w:tc>
          <w:tcPr>
            <w:shd w:val="clear" w:color="e0e0e0" w:fill="e0e0e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bCs w:val="0"/>
                <w:i w:val="0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color w:val="000000"/>
                <w:sz w:val="22"/>
                <w:szCs w:val="22"/>
              </w:rPr>
              <w:t xml:space="preserve">Цена (руб.)</w:t>
            </w:r>
            <w:r>
              <w:rPr>
                <w:bCs w:val="0"/>
                <w:i w:val="0"/>
                <w:szCs w:val="22"/>
              </w:rPr>
            </w:r>
            <w:r>
              <w:rPr>
                <w:bCs w:val="0"/>
                <w:i w:val="0"/>
                <w:szCs w:val="22"/>
              </w:rPr>
            </w:r>
          </w:p>
        </w:tc>
        <w:tc>
          <w:tcPr>
            <w:shd w:val="clear" w:color="e0e0e0" w:fill="e0e0e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bCs w:val="0"/>
                <w:i w:val="0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color w:val="000000"/>
                <w:sz w:val="22"/>
                <w:szCs w:val="22"/>
              </w:rPr>
              <w:t xml:space="preserve">Сумма</w:t>
            </w:r>
            <w:r>
              <w:rPr>
                <w:bCs w:val="0"/>
                <w:i w:val="0"/>
                <w:szCs w:val="22"/>
              </w:rPr>
            </w:r>
            <w:r>
              <w:rPr>
                <w:bCs w:val="0"/>
                <w:i w:val="0"/>
                <w:szCs w:val="22"/>
              </w:rPr>
            </w:r>
          </w:p>
          <w:p>
            <w:pPr>
              <w:ind w:left="0" w:right="0" w:firstLine="0"/>
              <w:jc w:val="center"/>
              <w:rPr>
                <w:bCs w:val="0"/>
                <w:i w:val="0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color w:val="000000"/>
                <w:sz w:val="22"/>
                <w:szCs w:val="22"/>
              </w:rPr>
              <w:t xml:space="preserve">(руб.)</w:t>
            </w:r>
            <w:r>
              <w:rPr>
                <w:bCs w:val="0"/>
                <w:i w:val="0"/>
                <w:szCs w:val="22"/>
              </w:rPr>
            </w:r>
            <w:r>
              <w:rPr>
                <w:bCs w:val="0"/>
                <w:i w:val="0"/>
                <w:szCs w:val="22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rPr>
                <w:bCs w:val="0"/>
                <w:i w:val="0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</w:rPr>
              <w:t xml:space="preserve">Техническое обслуживание окон  по адресу 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</w:rPr>
              <w:t xml:space="preserve">188678, Ленинградская область, м. р-н Всеволожский г. 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</w:rPr>
              <w:t xml:space="preserve">Мурино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</w:rPr>
              <w:t xml:space="preserve">, ул. Шоссе в 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</w:rPr>
              <w:t xml:space="preserve">Лаврики</w:t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</w:rPr>
              <w:t xml:space="preserve">, дом 57, корп.2;</w:t>
              <w:br/>
              <w:t xml:space="preserve">(48 окон )</w:t>
            </w:r>
            <w:r>
              <w:rPr>
                <w:bCs w:val="0"/>
                <w:i w:val="0"/>
                <w:szCs w:val="22"/>
              </w:rPr>
            </w:r>
            <w:r>
              <w:rPr>
                <w:bCs w:val="0"/>
                <w:i w:val="0"/>
                <w:szCs w:val="22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bCs w:val="0"/>
                <w:i w:val="0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i w:val="0"/>
                <w:iCs w:val="0"/>
                <w:sz w:val="22"/>
                <w:szCs w:val="22"/>
              </w:rPr>
              <w:t xml:space="preserve">1</w:t>
            </w:r>
            <w:r>
              <w:rPr>
                <w:bCs w:val="0"/>
                <w:i w:val="0"/>
                <w:szCs w:val="22"/>
              </w:rPr>
            </w:r>
            <w:r>
              <w:rPr>
                <w:bCs w:val="0"/>
                <w:i w:val="0"/>
                <w:szCs w:val="22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26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1" w:type="dxa"/>
            <w:vAlign w:val="center"/>
            <w:textDirection w:val="lrTb"/>
            <w:noWrap w:val="false"/>
          </w:tcPr>
          <w:p>
            <w:pPr>
              <w:ind w:left="0" w:right="0" w:firstLine="0"/>
              <w:rPr>
                <w:bCs w:val="0"/>
                <w:i w:val="0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</w:rPr>
              <w:t xml:space="preserve">Итого, (руб.)</w:t>
            </w:r>
            <w:r>
              <w:rPr>
                <w:bCs w:val="0"/>
                <w:i w:val="0"/>
                <w:szCs w:val="22"/>
              </w:rPr>
            </w:r>
            <w:r>
              <w:rPr>
                <w:bCs w:val="0"/>
                <w:i w:val="0"/>
                <w:szCs w:val="22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37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bCs w:val="0"/>
                <w:i w:val="0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bCs w:val="0"/>
                <w:i w:val="0"/>
                <w:szCs w:val="22"/>
              </w:rPr>
            </w:r>
            <w:r>
              <w:rPr>
                <w:bCs w:val="0"/>
                <w:i w:val="0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1" w:type="dxa"/>
            <w:vAlign w:val="center"/>
            <w:textDirection w:val="lrTb"/>
            <w:noWrap w:val="false"/>
          </w:tcPr>
          <w:p>
            <w:pPr>
              <w:ind w:left="0" w:right="0" w:firstLine="0"/>
              <w:rPr>
                <w:bCs w:val="0"/>
                <w:i w:val="0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</w:rPr>
              <w:t xml:space="preserve">НДС  (руб.)</w:t>
            </w:r>
            <w:r>
              <w:rPr>
                <w:bCs w:val="0"/>
                <w:i w:val="0"/>
                <w:szCs w:val="22"/>
              </w:rPr>
            </w:r>
            <w:r>
              <w:rPr>
                <w:bCs w:val="0"/>
                <w:i w:val="0"/>
                <w:szCs w:val="22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37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bCs w:val="0"/>
                <w:i w:val="0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</w:rPr>
              <w:t xml:space="preserve"> </w:t>
            </w:r>
            <w:r>
              <w:rPr>
                <w:bCs w:val="0"/>
                <w:i w:val="0"/>
                <w:szCs w:val="22"/>
              </w:rPr>
            </w:r>
            <w:r>
              <w:rPr>
                <w:bCs w:val="0"/>
                <w:i w:val="0"/>
                <w:szCs w:val="22"/>
              </w:rPr>
            </w:r>
          </w:p>
        </w:tc>
      </w:tr>
    </w:tbl>
    <w:p>
      <w:pPr>
        <w:ind w:left="0" w:right="0" w:firstLine="720"/>
        <w:jc w:val="both"/>
        <w:spacing w:line="198" w:lineRule="atLeast"/>
        <w:rPr>
          <w:bCs w:val="0"/>
          <w:i w:val="0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2"/>
          <w:szCs w:val="22"/>
          <w:highlight w:val="none"/>
        </w:rPr>
      </w:r>
      <w:r>
        <w:rPr>
          <w:bCs w:val="0"/>
          <w:i w:val="0"/>
          <w:sz w:val="22"/>
          <w:szCs w:val="22"/>
        </w:rPr>
      </w:r>
      <w:r>
        <w:rPr>
          <w:bCs w:val="0"/>
          <w:i w:val="0"/>
          <w:sz w:val="22"/>
          <w:szCs w:val="22"/>
        </w:rPr>
      </w:r>
    </w:p>
    <w:p>
      <w:pPr>
        <w:ind w:left="0" w:right="0" w:firstLine="720"/>
        <w:jc w:val="both"/>
        <w:spacing w:line="198" w:lineRule="atLeast"/>
        <w:rPr>
          <w:rFonts w:ascii="Times New Roman" w:hAnsi="Times New Roman" w:eastAsia="Times New Roman" w:cs="Times New Roman"/>
          <w:bCs w:val="0"/>
          <w:i w:val="0"/>
          <w:color w:val="000000"/>
          <w:sz w:val="22"/>
          <w:szCs w:val="2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2"/>
          <w:szCs w:val="22"/>
        </w:rPr>
        <w:t xml:space="preserve">Итого: ______</w:t>
      </w:r>
      <w:r>
        <w:rPr>
          <w:rFonts w:ascii="Times New Roman" w:hAnsi="Times New Roman" w:eastAsia="Times New Roman" w:cs="Times New Roman"/>
          <w:bCs w:val="0"/>
          <w:i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bCs w:val="0"/>
          <w:i w:val="0"/>
          <w:color w:val="000000"/>
          <w:sz w:val="22"/>
          <w:szCs w:val="22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 w:val="0"/>
          <w:i w:val="0"/>
          <w:sz w:val="22"/>
          <w:szCs w:val="22"/>
        </w:rPr>
      </w:pP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 w:val="0"/>
          <w:i w:val="0"/>
          <w:sz w:val="22"/>
          <w:szCs w:val="22"/>
        </w:rPr>
      </w:r>
      <w:r>
        <w:rPr>
          <w:rFonts w:ascii="Times New Roman" w:hAnsi="Times New Roman" w:cs="Times New Roman"/>
          <w:b/>
          <w:bCs w:val="0"/>
          <w:i w:val="0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 w:val="0"/>
          <w:i w:val="0"/>
          <w:sz w:val="22"/>
          <w:szCs w:val="22"/>
        </w:rPr>
      </w:pP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 w:val="0"/>
          <w:i w:val="0"/>
          <w:sz w:val="22"/>
          <w:szCs w:val="22"/>
        </w:rPr>
      </w:r>
      <w:r>
        <w:rPr>
          <w:rFonts w:ascii="Times New Roman" w:hAnsi="Times New Roman" w:cs="Times New Roman"/>
          <w:b/>
          <w:bCs w:val="0"/>
          <w:i w:val="0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 w:val="0"/>
          <w:i w:val="0"/>
          <w:sz w:val="22"/>
          <w:szCs w:val="22"/>
        </w:rPr>
      </w:pP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 w:val="0"/>
          <w:i w:val="0"/>
          <w:sz w:val="22"/>
          <w:szCs w:val="22"/>
        </w:rPr>
      </w:r>
      <w:r>
        <w:rPr>
          <w:rFonts w:ascii="Times New Roman" w:hAnsi="Times New Roman" w:cs="Times New Roman"/>
          <w:b/>
          <w:bCs w:val="0"/>
          <w:i w:val="0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 w:val="0"/>
          <w:i w:val="0"/>
          <w:sz w:val="22"/>
          <w:szCs w:val="22"/>
        </w:rPr>
      </w:pP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 w:val="0"/>
          <w:i w:val="0"/>
          <w:sz w:val="22"/>
          <w:szCs w:val="22"/>
        </w:rPr>
      </w:r>
      <w:r>
        <w:rPr>
          <w:rFonts w:ascii="Times New Roman" w:hAnsi="Times New Roman" w:cs="Times New Roman"/>
          <w:b/>
          <w:bCs w:val="0"/>
          <w:i w:val="0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ind w:firstLine="540"/>
        <w:jc w:val="right"/>
        <w:spacing w:after="0" w:line="240" w:lineRule="auto"/>
        <w:widowControl w:val="off"/>
        <w:tabs>
          <w:tab w:val="left" w:pos="4575" w:leader="none"/>
        </w:tabs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i w:val="0"/>
          <w:iCs w:val="0"/>
          <w:sz w:val="22"/>
          <w:szCs w:val="22"/>
        </w:rPr>
      </w:r>
    </w:p>
    <w:tbl>
      <w:tblPr>
        <w:tblW w:w="1049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387"/>
        <w:gridCol w:w="5103"/>
      </w:tblGrid>
      <w:tr>
        <w:tblPrEx/>
        <w:trPr/>
        <w:tc>
          <w:tcPr>
            <w:tcW w:w="538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  <w:lang w:eastAsia="ru-RU"/>
              </w:rPr>
              <w:tab/>
            </w: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  <w:lang w:eastAsia="ru-RU"/>
              </w:rPr>
              <w:tab/>
            </w: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  <w:lang w:eastAsia="ru-RU"/>
              </w:rPr>
              <w:t xml:space="preserve">«Заказчик» </w:t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  <w:lang w:eastAsia="ru-RU"/>
              </w:rPr>
              <w:t xml:space="preserve">«Исполнитель»</w:t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</w:p>
        </w:tc>
      </w:tr>
      <w:tr>
        <w:tblPrEx/>
        <w:trPr/>
        <w:tc>
          <w:tcPr>
            <w:tcW w:w="538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 w:val="0"/>
                <w:iCs w:val="0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i w:val="0"/>
                <w:iCs w:val="0"/>
                <w:sz w:val="22"/>
                <w:szCs w:val="22"/>
              </w:rPr>
            </w:r>
          </w:p>
        </w:tc>
      </w:tr>
      <w:tr>
        <w:tblPrEx/>
        <w:trPr/>
        <w:tc>
          <w:tcPr>
            <w:tcW w:w="538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eastAsia="ru-RU"/>
              </w:rPr>
              <w:t xml:space="preserve">Директор МОБУ «Муринская СОШ № 5»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eastAsia="ru-RU"/>
              </w:rPr>
              <w:t xml:space="preserve">_____________________/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eastAsia="ru-RU"/>
              </w:rPr>
              <w:t xml:space="preserve">Шенкевич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eastAsia="ru-RU"/>
              </w:rPr>
              <w:t xml:space="preserve"> Г.Б./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          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1290" w:leader="none"/>
                <w:tab w:val="center" w:pos="4677" w:leader="none"/>
              </w:tabs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b/>
          <w:i w:val="0"/>
          <w:iCs w:val="0"/>
          <w:sz w:val="22"/>
          <w:szCs w:val="22"/>
        </w:rPr>
        <w:outlineLvl w:val="1"/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cs="Times New Roman"/>
          <w:b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i w:val="0"/>
          <w:iCs w:val="0"/>
          <w:sz w:val="22"/>
          <w:szCs w:val="22"/>
        </w:rPr>
      </w:r>
    </w:p>
    <w:sectPr>
      <w:headerReference w:type="default" r:id="rId9"/>
      <w:footnotePr/>
      <w:endnotePr/>
      <w:type w:val="nextPage"/>
      <w:pgSz w:w="11906" w:h="16838" w:orient="portrait"/>
      <w:pgMar w:top="142" w:right="1080" w:bottom="851" w:left="1080" w:header="709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Mangal">
    <w:panose1 w:val="0204050305040603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2"/>
    </w:pPr>
    <w:r>
      <w:rPr>
        <w:lang w:eastAsia="ru-RU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18110" cy="130175"/>
              <wp:effectExtent l="9525" t="635" r="5715" b="254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" cy="1301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872"/>
                          </w:pPr>
                          <w:r/>
                          <w:r/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0" o:spid="_x0000_s0" o:spt="202" type="#_x0000_t202" style="position:absolute;z-index:251657728;o:allowoverlap:true;o:allowincell:true;mso-position-horizontal-relative:margin;mso-position-horizontal:center;mso-position-vertical-relative:text;margin-top:0.05pt;mso-position-vertical:absolute;width:9.30pt;height:10.25pt;mso-wrap-distance-left:0.00pt;mso-wrap-distance-top:0.00pt;mso-wrap-distance-right:0.00pt;mso-wrap-distance-bottom:0.00pt;v-text-anchor:top;visibility:visible;" fillcolor="#FFFFFF" stroked="f">
              <v:fill opacity="100f"/>
              <w10:wrap type="square"/>
              <v:textbox inset="0,0,0,0">
                <w:txbxContent>
                  <w:p>
                    <w:pPr>
                      <w:pStyle w:val="872"/>
                    </w:pPr>
                    <w:r/>
                    <w:r/>
                  </w:p>
                </w:txbxContent>
              </v:textbox>
            </v:shape>
          </w:pict>
        </mc:Fallback>
      </mc:AlternateContent>
    </w:r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860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none"/>
      <w:pStyle w:val="861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none"/>
      <w:pStyle w:val="862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2">
    <w:name w:val="Heading 1 Char"/>
    <w:basedOn w:val="863"/>
    <w:link w:val="860"/>
    <w:uiPriority w:val="9"/>
    <w:rPr>
      <w:rFonts w:ascii="Arial" w:hAnsi="Arial" w:eastAsia="Arial" w:cs="Arial"/>
      <w:sz w:val="40"/>
      <w:szCs w:val="40"/>
    </w:rPr>
  </w:style>
  <w:style w:type="character" w:styleId="693">
    <w:name w:val="Heading 2 Char"/>
    <w:basedOn w:val="863"/>
    <w:link w:val="861"/>
    <w:uiPriority w:val="9"/>
    <w:rPr>
      <w:rFonts w:ascii="Arial" w:hAnsi="Arial" w:eastAsia="Arial" w:cs="Arial"/>
      <w:sz w:val="34"/>
    </w:rPr>
  </w:style>
  <w:style w:type="character" w:styleId="694">
    <w:name w:val="Heading 3 Char"/>
    <w:basedOn w:val="863"/>
    <w:link w:val="862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59"/>
    <w:next w:val="859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3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59"/>
    <w:next w:val="859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3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59"/>
    <w:next w:val="859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3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59"/>
    <w:next w:val="859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3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59"/>
    <w:next w:val="859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3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59"/>
    <w:next w:val="859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3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No Spacing"/>
    <w:uiPriority w:val="1"/>
    <w:qFormat/>
    <w:pPr>
      <w:spacing w:before="0" w:after="0" w:line="240" w:lineRule="auto"/>
    </w:pPr>
  </w:style>
  <w:style w:type="character" w:styleId="708">
    <w:name w:val="Title Char"/>
    <w:basedOn w:val="863"/>
    <w:link w:val="866"/>
    <w:uiPriority w:val="10"/>
    <w:rPr>
      <w:sz w:val="48"/>
      <w:szCs w:val="48"/>
    </w:rPr>
  </w:style>
  <w:style w:type="character" w:styleId="709">
    <w:name w:val="Subtitle Char"/>
    <w:basedOn w:val="863"/>
    <w:link w:val="876"/>
    <w:uiPriority w:val="11"/>
    <w:rPr>
      <w:sz w:val="24"/>
      <w:szCs w:val="24"/>
    </w:rPr>
  </w:style>
  <w:style w:type="paragraph" w:styleId="710">
    <w:name w:val="Quote"/>
    <w:basedOn w:val="859"/>
    <w:next w:val="859"/>
    <w:link w:val="711"/>
    <w:uiPriority w:val="29"/>
    <w:qFormat/>
    <w:pPr>
      <w:ind w:left="720" w:right="720"/>
    </w:pPr>
    <w:rPr>
      <w:i/>
    </w:rPr>
  </w:style>
  <w:style w:type="character" w:styleId="711">
    <w:name w:val="Quote Char"/>
    <w:link w:val="710"/>
    <w:uiPriority w:val="29"/>
    <w:rPr>
      <w:i/>
    </w:rPr>
  </w:style>
  <w:style w:type="paragraph" w:styleId="712">
    <w:name w:val="Intense Quote"/>
    <w:basedOn w:val="859"/>
    <w:next w:val="859"/>
    <w:link w:val="71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>
    <w:name w:val="Intense Quote Char"/>
    <w:link w:val="712"/>
    <w:uiPriority w:val="30"/>
    <w:rPr>
      <w:i/>
    </w:rPr>
  </w:style>
  <w:style w:type="character" w:styleId="714">
    <w:name w:val="Header Char"/>
    <w:basedOn w:val="863"/>
    <w:link w:val="872"/>
    <w:uiPriority w:val="99"/>
  </w:style>
  <w:style w:type="character" w:styleId="715">
    <w:name w:val="Footer Char"/>
    <w:basedOn w:val="863"/>
    <w:link w:val="873"/>
    <w:uiPriority w:val="99"/>
  </w:style>
  <w:style w:type="character" w:styleId="716">
    <w:name w:val="Caption Char"/>
    <w:basedOn w:val="863"/>
    <w:link w:val="871"/>
    <w:uiPriority w:val="35"/>
    <w:rPr>
      <w:b/>
      <w:bCs/>
      <w:color w:val="4f81bd" w:themeColor="accent1"/>
      <w:sz w:val="18"/>
      <w:szCs w:val="18"/>
    </w:rPr>
  </w:style>
  <w:style w:type="table" w:styleId="717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16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17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18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19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0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1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3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4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5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6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7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8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0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1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2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3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4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5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3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3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  <w:pPr>
      <w:spacing w:after="160" w:line="254" w:lineRule="auto"/>
    </w:pPr>
    <w:rPr>
      <w:rFonts w:ascii="Calibri" w:hAnsi="Calibri" w:eastAsia="Calibri"/>
      <w:sz w:val="22"/>
      <w:szCs w:val="22"/>
      <w:lang w:eastAsia="zh-CN"/>
    </w:rPr>
  </w:style>
  <w:style w:type="paragraph" w:styleId="860">
    <w:name w:val="Heading 1"/>
    <w:basedOn w:val="866"/>
    <w:next w:val="867"/>
    <w:qFormat/>
    <w:pPr>
      <w:numPr>
        <w:ilvl w:val="0"/>
        <w:numId w:val="1"/>
      </w:numPr>
      <w:spacing w:before="240" w:after="120"/>
      <w:tabs>
        <w:tab w:val="left" w:pos="0" w:leader="none"/>
      </w:tabs>
      <w:outlineLvl w:val="0"/>
    </w:pPr>
    <w:rPr>
      <w:sz w:val="36"/>
      <w:szCs w:val="36"/>
    </w:rPr>
  </w:style>
  <w:style w:type="paragraph" w:styleId="861">
    <w:name w:val="Heading 2"/>
    <w:basedOn w:val="866"/>
    <w:next w:val="867"/>
    <w:qFormat/>
    <w:pPr>
      <w:numPr>
        <w:ilvl w:val="1"/>
        <w:numId w:val="1"/>
      </w:numPr>
      <w:spacing w:before="200" w:after="120"/>
      <w:tabs>
        <w:tab w:val="left" w:pos="0" w:leader="none"/>
      </w:tabs>
      <w:outlineLvl w:val="1"/>
    </w:pPr>
    <w:rPr>
      <w:sz w:val="32"/>
      <w:szCs w:val="32"/>
    </w:rPr>
  </w:style>
  <w:style w:type="paragraph" w:styleId="862">
    <w:name w:val="Heading 3"/>
    <w:basedOn w:val="866"/>
    <w:next w:val="867"/>
    <w:qFormat/>
    <w:pPr>
      <w:numPr>
        <w:ilvl w:val="2"/>
        <w:numId w:val="1"/>
      </w:numPr>
      <w:spacing w:before="140" w:after="120"/>
      <w:tabs>
        <w:tab w:val="left" w:pos="0" w:leader="none"/>
      </w:tabs>
      <w:outlineLvl w:val="2"/>
    </w:pPr>
    <w:rPr>
      <w:sz w:val="28"/>
      <w:szCs w:val="28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paragraph" w:styleId="866">
    <w:name w:val="Title"/>
    <w:basedOn w:val="859"/>
    <w:next w:val="867"/>
    <w:qFormat/>
    <w:pPr>
      <w:jc w:val="center"/>
    </w:pPr>
    <w:rPr>
      <w:b/>
      <w:bCs/>
      <w:sz w:val="56"/>
      <w:szCs w:val="56"/>
    </w:rPr>
  </w:style>
  <w:style w:type="paragraph" w:styleId="867">
    <w:name w:val="Body Text"/>
    <w:basedOn w:val="859"/>
    <w:pPr>
      <w:spacing w:after="140" w:line="288" w:lineRule="auto"/>
    </w:pPr>
  </w:style>
  <w:style w:type="character" w:styleId="868">
    <w:name w:val="Hyperlink"/>
    <w:rPr>
      <w:color w:val="0000ff"/>
      <w:u w:val="single"/>
    </w:rPr>
  </w:style>
  <w:style w:type="character" w:styleId="869">
    <w:name w:val="page number"/>
    <w:basedOn w:val="870"/>
  </w:style>
  <w:style w:type="character" w:styleId="870" w:customStyle="1">
    <w:name w:val="Основной шрифт абзаца1"/>
  </w:style>
  <w:style w:type="paragraph" w:styleId="871">
    <w:name w:val="Caption"/>
    <w:basedOn w:val="859"/>
    <w:link w:val="716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72">
    <w:name w:val="Header"/>
    <w:basedOn w:val="859"/>
    <w:pPr>
      <w:spacing w:after="0" w:line="240" w:lineRule="auto"/>
      <w:widowControl w:val="off"/>
    </w:pPr>
    <w:rPr>
      <w:rFonts w:ascii="Arial" w:hAnsi="Arial" w:eastAsia="Times New Roman"/>
      <w:sz w:val="18"/>
      <w:szCs w:val="18"/>
    </w:rPr>
  </w:style>
  <w:style w:type="paragraph" w:styleId="873">
    <w:name w:val="Footer"/>
    <w:basedOn w:val="859"/>
    <w:pPr>
      <w:tabs>
        <w:tab w:val="center" w:pos="4677" w:leader="none"/>
        <w:tab w:val="right" w:pos="9355" w:leader="none"/>
      </w:tabs>
    </w:pPr>
  </w:style>
  <w:style w:type="paragraph" w:styleId="874">
    <w:name w:val="List"/>
    <w:basedOn w:val="867"/>
    <w:rPr>
      <w:rFonts w:cs="Mangal"/>
    </w:rPr>
  </w:style>
  <w:style w:type="paragraph" w:styleId="875">
    <w:name w:val="Normal (Web)"/>
    <w:basedOn w:val="85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76">
    <w:name w:val="Subtitle"/>
    <w:basedOn w:val="866"/>
    <w:next w:val="867"/>
    <w:qFormat/>
    <w:pPr>
      <w:spacing w:before="60" w:after="120"/>
    </w:pPr>
    <w:rPr>
      <w:sz w:val="36"/>
      <w:szCs w:val="36"/>
    </w:rPr>
  </w:style>
  <w:style w:type="table" w:styleId="877">
    <w:name w:val="Table Grid"/>
    <w:basedOn w:val="86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78" w:customStyle="1">
    <w:name w:val="WW8Num1z0"/>
  </w:style>
  <w:style w:type="character" w:styleId="879" w:customStyle="1">
    <w:name w:val="WW8Num1z1"/>
  </w:style>
  <w:style w:type="character" w:styleId="880" w:customStyle="1">
    <w:name w:val="WW8Num1z2"/>
  </w:style>
  <w:style w:type="character" w:styleId="881" w:customStyle="1">
    <w:name w:val="WW8Num1z3"/>
  </w:style>
  <w:style w:type="character" w:styleId="882" w:customStyle="1">
    <w:name w:val="WW8Num1z4"/>
  </w:style>
  <w:style w:type="character" w:styleId="883" w:customStyle="1">
    <w:name w:val="WW8Num1z5"/>
  </w:style>
  <w:style w:type="character" w:styleId="884" w:customStyle="1">
    <w:name w:val="WW8Num1z6"/>
  </w:style>
  <w:style w:type="character" w:styleId="885" w:customStyle="1">
    <w:name w:val="WW8Num1z7"/>
  </w:style>
  <w:style w:type="character" w:styleId="886" w:customStyle="1">
    <w:name w:val="WW8Num1z8"/>
  </w:style>
  <w:style w:type="character" w:styleId="887" w:customStyle="1">
    <w:name w:val="WW8Num2z0"/>
  </w:style>
  <w:style w:type="character" w:styleId="888" w:customStyle="1">
    <w:name w:val="WW8Num2z1"/>
  </w:style>
  <w:style w:type="character" w:styleId="889" w:customStyle="1">
    <w:name w:val="WW8Num2z2"/>
  </w:style>
  <w:style w:type="character" w:styleId="890" w:customStyle="1">
    <w:name w:val="WW8Num2z3"/>
  </w:style>
  <w:style w:type="character" w:styleId="891" w:customStyle="1">
    <w:name w:val="WW8Num2z4"/>
  </w:style>
  <w:style w:type="character" w:styleId="892" w:customStyle="1">
    <w:name w:val="WW8Num2z5"/>
  </w:style>
  <w:style w:type="character" w:styleId="893" w:customStyle="1">
    <w:name w:val="WW8Num2z6"/>
  </w:style>
  <w:style w:type="character" w:styleId="894" w:customStyle="1">
    <w:name w:val="WW8Num2z7"/>
  </w:style>
  <w:style w:type="character" w:styleId="895" w:customStyle="1">
    <w:name w:val="WW8Num2z8"/>
  </w:style>
  <w:style w:type="character" w:styleId="896" w:customStyle="1">
    <w:name w:val="WW8Num3z0"/>
  </w:style>
  <w:style w:type="character" w:styleId="897" w:customStyle="1">
    <w:name w:val="WW8Num3z1"/>
  </w:style>
  <w:style w:type="character" w:styleId="898" w:customStyle="1">
    <w:name w:val="WW8Num3z2"/>
  </w:style>
  <w:style w:type="character" w:styleId="899" w:customStyle="1">
    <w:name w:val="WW8Num3z3"/>
  </w:style>
  <w:style w:type="character" w:styleId="900" w:customStyle="1">
    <w:name w:val="WW8Num3z4"/>
  </w:style>
  <w:style w:type="character" w:styleId="901" w:customStyle="1">
    <w:name w:val="WW8Num3z5"/>
  </w:style>
  <w:style w:type="character" w:styleId="902" w:customStyle="1">
    <w:name w:val="WW8Num3z6"/>
  </w:style>
  <w:style w:type="character" w:styleId="903" w:customStyle="1">
    <w:name w:val="WW8Num3z7"/>
  </w:style>
  <w:style w:type="character" w:styleId="904" w:customStyle="1">
    <w:name w:val="WW8Num3z8"/>
  </w:style>
  <w:style w:type="character" w:styleId="905" w:customStyle="1">
    <w:name w:val="Верхний колонтитул Знак"/>
    <w:rPr>
      <w:rFonts w:ascii="Arial" w:hAnsi="Arial" w:eastAsia="Times New Roman" w:cs="Times New Roman"/>
      <w:sz w:val="18"/>
      <w:szCs w:val="18"/>
    </w:rPr>
  </w:style>
  <w:style w:type="character" w:styleId="906" w:customStyle="1">
    <w:name w:val="Font Style11"/>
    <w:rPr>
      <w:rFonts w:ascii="Times New Roman" w:hAnsi="Times New Roman" w:cs="Times New Roman"/>
      <w:sz w:val="32"/>
      <w:szCs w:val="32"/>
    </w:rPr>
  </w:style>
  <w:style w:type="paragraph" w:styleId="907" w:customStyle="1">
    <w:name w:val="Указатель1"/>
    <w:basedOn w:val="859"/>
    <w:pPr>
      <w:suppressLineNumbers/>
    </w:pPr>
    <w:rPr>
      <w:rFonts w:cs="Mangal"/>
    </w:rPr>
  </w:style>
  <w:style w:type="paragraph" w:styleId="908" w:customStyle="1">
    <w:name w:val="Style2"/>
    <w:basedOn w:val="859"/>
    <w:pPr>
      <w:spacing w:after="0" w:line="416" w:lineRule="exact"/>
      <w:widowControl w:val="off"/>
    </w:pPr>
    <w:rPr>
      <w:rFonts w:ascii="Times New Roman" w:hAnsi="Times New Roman" w:eastAsia="Times New Roman"/>
      <w:sz w:val="24"/>
      <w:szCs w:val="24"/>
    </w:rPr>
  </w:style>
  <w:style w:type="paragraph" w:styleId="909" w:customStyle="1">
    <w:name w:val="Содержимое таблицы"/>
    <w:basedOn w:val="859"/>
    <w:pPr>
      <w:suppressLineNumbers/>
    </w:pPr>
  </w:style>
  <w:style w:type="paragraph" w:styleId="910" w:customStyle="1">
    <w:name w:val="Заголовок таблицы"/>
    <w:basedOn w:val="909"/>
    <w:pPr>
      <w:jc w:val="center"/>
    </w:pPr>
    <w:rPr>
      <w:b/>
      <w:bCs/>
    </w:rPr>
  </w:style>
  <w:style w:type="paragraph" w:styleId="911" w:customStyle="1">
    <w:name w:val="Содержимое врезки"/>
    <w:basedOn w:val="859"/>
  </w:style>
  <w:style w:type="paragraph" w:styleId="912" w:customStyle="1">
    <w:name w:val="Блочная цитата"/>
    <w:basedOn w:val="859"/>
    <w:pPr>
      <w:ind w:left="567" w:right="567"/>
      <w:spacing w:after="283"/>
    </w:pPr>
  </w:style>
  <w:style w:type="paragraph" w:styleId="913">
    <w:name w:val="List Paragraph"/>
    <w:basedOn w:val="859"/>
    <w:uiPriority w:val="34"/>
    <w:qFormat/>
    <w:pPr>
      <w:contextualSpacing/>
      <w:ind w:left="720"/>
      <w:spacing w:after="200" w:line="276" w:lineRule="auto"/>
    </w:pPr>
    <w:rPr>
      <w:rFonts w:eastAsia="Times New Roman"/>
      <w:lang w:eastAsia="ru-RU"/>
    </w:rPr>
  </w:style>
  <w:style w:type="character" w:styleId="914" w:customStyle="1">
    <w:name w:val="Основной текст (3)_"/>
    <w:link w:val="915"/>
    <w:rPr>
      <w:b/>
      <w:bCs/>
      <w:shd w:val="clear" w:color="auto" w:fill="ffffff"/>
    </w:rPr>
  </w:style>
  <w:style w:type="paragraph" w:styleId="915" w:customStyle="1">
    <w:name w:val="Основной текст (3)1"/>
    <w:basedOn w:val="859"/>
    <w:link w:val="914"/>
    <w:pPr>
      <w:jc w:val="both"/>
      <w:spacing w:after="0" w:line="224" w:lineRule="exact"/>
      <w:shd w:val="clear" w:color="auto" w:fill="ffffff"/>
      <w:widowControl w:val="off"/>
    </w:pPr>
    <w:rPr>
      <w:rFonts w:ascii="Times New Roman" w:hAnsi="Times New Roman" w:eastAsia="Times New Roman"/>
      <w:b/>
      <w:bCs/>
      <w:sz w:val="20"/>
      <w:szCs w:val="20"/>
    </w:rPr>
  </w:style>
  <w:style w:type="character" w:styleId="916" w:customStyle="1">
    <w:name w:val="Основной текст (3) Exact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styleId="917" w:customStyle="1">
    <w:name w:val="ConsPlusNormal"/>
    <w:pPr>
      <w:ind w:firstLine="720"/>
      <w:widowControl w:val="off"/>
    </w:pPr>
    <w:rPr>
      <w:rFonts w:ascii="Arial" w:hAnsi="Arial" w:cs="Arial"/>
    </w:rPr>
  </w:style>
  <w:style w:type="character" w:styleId="918" w:customStyle="1">
    <w:name w:val="Основной текст (8)_"/>
    <w:link w:val="919"/>
    <w:rPr>
      <w:shd w:val="clear" w:color="auto" w:fill="ffffff"/>
    </w:rPr>
  </w:style>
  <w:style w:type="paragraph" w:styleId="919" w:customStyle="1">
    <w:name w:val="Основной текст (8)"/>
    <w:basedOn w:val="859"/>
    <w:link w:val="918"/>
    <w:pPr>
      <w:ind w:hanging="760"/>
      <w:jc w:val="both"/>
      <w:spacing w:before="360" w:after="0" w:line="226" w:lineRule="exact"/>
      <w:shd w:val="clear" w:color="auto" w:fill="ffffff"/>
      <w:widowControl w:val="off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20" w:customStyle="1">
    <w:name w:val="Default"/>
    <w:rPr>
      <w:color w:val="000000"/>
      <w:sz w:val="24"/>
      <w:szCs w:val="24"/>
    </w:rPr>
  </w:style>
  <w:style w:type="character" w:styleId="921" w:customStyle="1">
    <w:name w:val="Неразрешенное упоминание"/>
    <w:uiPriority w:val="99"/>
    <w:unhideWhenUsed/>
    <w:rPr>
      <w:color w:val="605e5c"/>
      <w:shd w:val="clear" w:color="auto" w:fill="e1dfdd"/>
    </w:rPr>
  </w:style>
  <w:style w:type="paragraph" w:styleId="922" w:customStyle="1">
    <w:name w:val="Table Paragraph"/>
    <w:uiPriority w:val="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mailto:info@mur5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СимоноваЕ</dc:creator>
  <cp:keywords/>
  <cp:lastModifiedBy>a.shekhonina</cp:lastModifiedBy>
  <cp:revision>9</cp:revision>
  <dcterms:created xsi:type="dcterms:W3CDTF">2026-08-19T18:19:00Z</dcterms:created>
  <dcterms:modified xsi:type="dcterms:W3CDTF">2026-10-06T12:44:30Z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AFB2CDEC1C31442FB22C20136F5AF894_13</vt:lpwstr>
  </property>
  <property fmtid="{D5CDD505-2E9C-101B-9397-08002B2CF9AE}" pid="4" name="KSOTemplateDocerSaveRecord">
    <vt:lpwstr>eyJoZGlkIjoiNjQzMjgyNzc1NDU2MWNkMzg2MWNkY2M5ZWM1ZmQ2ZWYiLCJ1c2VySWQiOiI4MjQ2MzUxMDYyMTAifQ==</vt:lpwstr>
  </property>
</Properties>
</file>