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before="0" w:after="0"/>
        <w:contextualSpacing/>
        <w:jc w:val="end"/>
        <w:rPr>
          <w:rFonts w:ascii="Times New Roman" w:hAnsi="Times New Roman"/>
          <w:sz w:val="20"/>
          <w:szCs w:val="20"/>
        </w:rPr>
      </w:pPr>
      <w:r>
        <w:rPr>
          <w:rFonts w:eastAsia="Times New Roman" w:ascii="Times New Roman" w:hAnsi="Times New Roman"/>
          <w:b/>
          <w:color w:val="000000"/>
          <w:spacing w:val="6"/>
          <w:sz w:val="20"/>
          <w:szCs w:val="20"/>
          <w:lang w:eastAsia="ru-RU"/>
        </w:rPr>
        <w:t>«УТВЕРЖДАЮ»</w:t>
      </w:r>
    </w:p>
    <w:p>
      <w:pPr>
        <w:pStyle w:val="Normal"/>
        <w:shd w:val="clear" w:color="auto" w:fill="FFFFFF"/>
        <w:spacing w:before="0" w:after="0"/>
        <w:contextualSpacing/>
        <w:jc w:val="end"/>
        <w:rPr>
          <w:rFonts w:ascii="Times New Roman" w:hAnsi="Times New Roman"/>
          <w:sz w:val="20"/>
          <w:szCs w:val="20"/>
        </w:rPr>
      </w:pPr>
      <w:r>
        <w:rPr>
          <w:rFonts w:eastAsia="Times New Roman" w:ascii="Times New Roman" w:hAnsi="Times New Roman"/>
          <w:b/>
          <w:color w:val="000000"/>
          <w:spacing w:val="6"/>
          <w:sz w:val="20"/>
          <w:szCs w:val="20"/>
          <w:lang w:eastAsia="ru-RU"/>
        </w:rPr>
        <w:t>Глава Сяськелевского</w:t>
      </w:r>
    </w:p>
    <w:p>
      <w:pPr>
        <w:pStyle w:val="Normal"/>
        <w:shd w:val="clear" w:color="auto" w:fill="FFFFFF"/>
        <w:spacing w:before="0" w:after="0"/>
        <w:contextualSpacing/>
        <w:jc w:val="end"/>
        <w:rPr>
          <w:rFonts w:ascii="Times New Roman" w:hAnsi="Times New Roman"/>
          <w:sz w:val="20"/>
          <w:szCs w:val="20"/>
        </w:rPr>
      </w:pPr>
      <w:r>
        <w:rPr>
          <w:rFonts w:eastAsia="Times New Roman" w:ascii="Times New Roman" w:hAnsi="Times New Roman"/>
          <w:b/>
          <w:color w:val="000000"/>
          <w:spacing w:val="6"/>
          <w:sz w:val="20"/>
          <w:szCs w:val="20"/>
          <w:lang w:eastAsia="ru-RU"/>
        </w:rPr>
        <w:t>территориального управления</w:t>
      </w:r>
    </w:p>
    <w:p>
      <w:pPr>
        <w:pStyle w:val="Normal"/>
        <w:shd w:val="clear" w:color="auto" w:fill="FFFFFF"/>
        <w:spacing w:before="0" w:after="0"/>
        <w:contextualSpacing/>
        <w:jc w:val="end"/>
        <w:rPr>
          <w:rFonts w:ascii="Times New Roman" w:hAnsi="Times New Roman"/>
          <w:sz w:val="20"/>
          <w:szCs w:val="20"/>
        </w:rPr>
      </w:pPr>
      <w:r>
        <w:rPr>
          <w:rFonts w:eastAsia="Times New Roman" w:ascii="Times New Roman" w:hAnsi="Times New Roman"/>
          <w:b/>
          <w:color w:val="000000"/>
          <w:spacing w:val="6"/>
          <w:sz w:val="20"/>
          <w:szCs w:val="20"/>
          <w:lang w:eastAsia="ru-RU"/>
        </w:rPr>
        <w:t>_______________ Е.Е. Федорова</w:t>
      </w:r>
    </w:p>
    <w:p>
      <w:pPr>
        <w:pStyle w:val="Normal"/>
        <w:shd w:val="clear" w:color="auto" w:fill="FFFFFF"/>
        <w:spacing w:before="0" w:after="0"/>
        <w:contextualSpacing/>
        <w:jc w:val="end"/>
        <w:rPr>
          <w:rFonts w:ascii="Times New Roman" w:hAnsi="Times New Roman"/>
          <w:sz w:val="20"/>
          <w:szCs w:val="20"/>
        </w:rPr>
      </w:pPr>
      <w:r>
        <w:rPr>
          <w:rFonts w:eastAsia="Times New Roman" w:ascii="Times New Roman" w:hAnsi="Times New Roman"/>
          <w:b/>
          <w:color w:val="000000"/>
          <w:spacing w:val="6"/>
          <w:sz w:val="20"/>
          <w:szCs w:val="20"/>
          <w:lang w:eastAsia="ru-RU"/>
        </w:rPr>
        <w:t>«___» _________ 2026 г.</w:t>
      </w:r>
    </w:p>
    <w:p>
      <w:pPr>
        <w:pStyle w:val="Normal"/>
        <w:shd w:val="clear" w:color="auto" w:fill="FFFFFF"/>
        <w:spacing w:before="0" w:after="0"/>
        <w:contextualSpacing/>
        <w:jc w:val="center"/>
        <w:rPr>
          <w:rFonts w:ascii="Times New Roman" w:hAnsi="Times New Roman" w:eastAsia="Times New Roman"/>
          <w:b/>
          <w:color w:val="000000"/>
          <w:spacing w:val="6"/>
          <w:sz w:val="20"/>
          <w:szCs w:val="20"/>
          <w:lang w:eastAsia="ru-RU"/>
        </w:rPr>
      </w:pPr>
      <w:r>
        <w:rPr>
          <w:rFonts w:eastAsia="Times New Roman" w:ascii="Times New Roman" w:hAnsi="Times New Roman"/>
          <w:b/>
          <w:color w:val="000000"/>
          <w:spacing w:val="6"/>
          <w:sz w:val="20"/>
          <w:szCs w:val="20"/>
          <w:lang w:eastAsia="ru-RU"/>
        </w:rPr>
      </w:r>
    </w:p>
    <w:p>
      <w:pPr>
        <w:pStyle w:val="Normal"/>
        <w:spacing w:before="0" w:after="0"/>
        <w:jc w:val="center"/>
        <w:rPr>
          <w:rFonts w:ascii="Times New Roman" w:hAnsi="Times New Roman"/>
          <w:b/>
          <w:sz w:val="20"/>
          <w:szCs w:val="20"/>
          <w:u w:val="single"/>
        </w:rPr>
      </w:pPr>
      <w:r>
        <w:rPr>
          <w:rFonts w:ascii="Times New Roman" w:hAnsi="Times New Roman"/>
          <w:b/>
          <w:sz w:val="20"/>
          <w:szCs w:val="20"/>
          <w:u w:val="single"/>
        </w:rPr>
        <w:t>ПРОЕКТ МУНИЦИПАЛЬНОГО КОНТРАКТА</w:t>
      </w:r>
    </w:p>
    <w:p>
      <w:pPr>
        <w:pStyle w:val="Normal"/>
        <w:spacing w:before="0" w:after="0"/>
        <w:jc w:val="center"/>
        <w:rPr>
          <w:rFonts w:ascii="Times New Roman" w:hAnsi="Times New Roman"/>
          <w:b/>
          <w:sz w:val="20"/>
          <w:szCs w:val="20"/>
        </w:rPr>
      </w:pPr>
      <w:r>
        <w:rPr>
          <w:rFonts w:ascii="Times New Roman" w:hAnsi="Times New Roman"/>
          <w:b/>
          <w:sz w:val="20"/>
          <w:szCs w:val="20"/>
        </w:rPr>
        <w:t>Муниципальный контракт №</w:t>
      </w:r>
    </w:p>
    <w:p>
      <w:pPr>
        <w:pStyle w:val="Standard"/>
        <w:jc w:val="center"/>
        <w:rPr>
          <w:rFonts w:ascii="Times New Roman" w:hAnsi="Times New Roman"/>
          <w:sz w:val="20"/>
          <w:szCs w:val="20"/>
        </w:rPr>
      </w:pPr>
      <w:r>
        <w:rPr>
          <w:rFonts w:ascii="Times New Roman" w:hAnsi="Times New Roman"/>
          <w:sz w:val="20"/>
          <w:szCs w:val="20"/>
        </w:rPr>
        <w:t>ИКЗ 26 3470512183747050100100020000000 244</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 xml:space="preserve">д. Сяськелево                                                                                              </w:t>
        <w:tab/>
        <w:t xml:space="preserve">               «____»  __________ 2026 года</w:t>
      </w:r>
    </w:p>
    <w:p>
      <w:pPr>
        <w:pStyle w:val="Normal"/>
        <w:spacing w:before="0" w:after="0"/>
        <w:ind w:firstLine="567"/>
        <w:jc w:val="both"/>
        <w:rPr>
          <w:rFonts w:ascii="Times New Roman" w:hAnsi="Times New Roman"/>
          <w:sz w:val="20"/>
          <w:szCs w:val="20"/>
        </w:rPr>
      </w:pPr>
      <w:r>
        <w:rPr>
          <w:rFonts w:ascii="Times New Roman" w:hAnsi="Times New Roman"/>
          <w:sz w:val="20"/>
          <w:szCs w:val="20"/>
        </w:rPr>
        <w:t>Сяськелевское территориальное управление администрации муниципального образования Гатчинский муниципальный округ Ленинградской области, именуемое в дальнейшем «Заказчик», в лице главы Сяськелевского территориального управления Федоровой Елены Евгеньевны, действующей на основании Положения о Сяськелевском территориальном управлении администрации муниципального образования Гатчинский муниципальный округ Ленинградской области, утвержденного решением совета депутатов Гатчинского муниципального округа Ленинградской области от 22.11.2024 № 66, именуемая в дальнейшем "Заказчик", с одной стороны, и ______________________________,  действующего на основании ________________, именуемое в дальнейшем «Исполнитель», с другой стороны, совместно именуемые далее «Стороны», руководствуясь п.4 части 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Федеральный закон от 05.04.2013 года № 44-ФЗ) заключили настоящий муниципальный контракт (далее – «Контракт») о следующем:</w:t>
      </w:r>
    </w:p>
    <w:p>
      <w:pPr>
        <w:pStyle w:val="Normal"/>
        <w:spacing w:before="0" w:after="0"/>
        <w:ind w:firstLine="567"/>
        <w:jc w:val="both"/>
        <w:rPr>
          <w:rFonts w:ascii="Times New Roman" w:hAnsi="Times New Roman"/>
          <w:sz w:val="20"/>
          <w:szCs w:val="20"/>
        </w:rPr>
      </w:pPr>
      <w:r>
        <w:rPr>
          <w:rFonts w:ascii="Times New Roman" w:hAnsi="Times New Roman"/>
          <w:sz w:val="20"/>
          <w:szCs w:val="20"/>
        </w:rPr>
      </w:r>
    </w:p>
    <w:p>
      <w:pPr>
        <w:pStyle w:val="Preformat"/>
        <w:widowControl/>
        <w:jc w:val="center"/>
        <w:rPr>
          <w:rFonts w:ascii="Times New Roman" w:hAnsi="Times New Roman"/>
          <w:sz w:val="20"/>
          <w:szCs w:val="20"/>
        </w:rPr>
      </w:pPr>
      <w:r>
        <w:rPr>
          <w:rFonts w:cs="Times New Roman" w:ascii="Times New Roman" w:hAnsi="Times New Roman"/>
          <w:b/>
          <w:sz w:val="20"/>
          <w:szCs w:val="20"/>
        </w:rPr>
        <w:t>1. ПРЕДМЕТ КОНТРАКТА</w:t>
      </w:r>
    </w:p>
    <w:p>
      <w:pPr>
        <w:pStyle w:val="Normal"/>
        <w:keepLines/>
        <w:spacing w:lineRule="auto" w:line="240" w:before="0" w:after="0"/>
        <w:jc w:val="both"/>
        <w:rPr>
          <w:rFonts w:ascii="Times New Roman" w:hAnsi="Times New Roman"/>
          <w:sz w:val="20"/>
          <w:szCs w:val="20"/>
        </w:rPr>
      </w:pPr>
      <w:r>
        <w:rPr>
          <w:rFonts w:ascii="Times New Roman" w:hAnsi="Times New Roman"/>
          <w:sz w:val="20"/>
          <w:szCs w:val="20"/>
        </w:rPr>
        <w:t xml:space="preserve">1.1. По настоящему Контракту Исполнитель обязуется в установленный Контрактом срок оказать (своими силами) услуги по строительному контролю и лабораторному контролю качества и объема  на </w:t>
      </w:r>
      <w:r>
        <w:rPr>
          <w:rFonts w:cs="Calibri" w:ascii="Times New Roman" w:hAnsi="Times New Roman"/>
          <w:spacing w:val="-4"/>
          <w:sz w:val="20"/>
          <w:szCs w:val="20"/>
        </w:rPr>
        <w:t xml:space="preserve"> </w:t>
      </w:r>
      <w:r>
        <w:rPr>
          <w:rFonts w:ascii="Times New Roman" w:hAnsi="Times New Roman"/>
          <w:sz w:val="20"/>
          <w:szCs w:val="20"/>
        </w:rPr>
        <w:t>объекте: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а Заказчик, обязуется принять оказанные услуги и оплатить обусловленную Контрактом стоимость услуг.</w:t>
      </w:r>
    </w:p>
    <w:p>
      <w:pPr>
        <w:pStyle w:val="Normal"/>
        <w:keepLines/>
        <w:spacing w:lineRule="auto" w:line="240" w:before="0" w:after="0"/>
        <w:jc w:val="both"/>
        <w:rPr>
          <w:rFonts w:ascii="Times New Roman" w:hAnsi="Times New Roman"/>
          <w:sz w:val="20"/>
          <w:szCs w:val="20"/>
        </w:rPr>
      </w:pPr>
      <w:r>
        <w:rPr>
          <w:rFonts w:ascii="Times New Roman" w:hAnsi="Times New Roman"/>
          <w:sz w:val="20"/>
          <w:szCs w:val="20"/>
        </w:rPr>
        <w:t>1.2. Виды и объемы услуг определяются Сторонами в Техническом задании (Приложение №1). Указанное приложение является неотъемлемой частью настоящего Контракта.</w:t>
      </w:r>
    </w:p>
    <w:p>
      <w:pPr>
        <w:pStyle w:val="Normal"/>
        <w:spacing w:lineRule="auto" w:line="240" w:before="0" w:after="0"/>
        <w:jc w:val="both"/>
        <w:rPr>
          <w:rFonts w:ascii="Times New Roman" w:hAnsi="Times New Roman"/>
          <w:sz w:val="20"/>
          <w:szCs w:val="20"/>
        </w:rPr>
      </w:pPr>
      <w:r>
        <w:rPr>
          <w:rFonts w:ascii="Times New Roman" w:hAnsi="Times New Roman"/>
          <w:sz w:val="20"/>
          <w:szCs w:val="20"/>
        </w:rPr>
      </w:r>
    </w:p>
    <w:p>
      <w:pPr>
        <w:pStyle w:val="Normal"/>
        <w:spacing w:lineRule="auto" w:line="240" w:before="0" w:after="0"/>
        <w:jc w:val="center"/>
        <w:rPr>
          <w:rFonts w:ascii="Times New Roman" w:hAnsi="Times New Roman"/>
          <w:sz w:val="20"/>
          <w:szCs w:val="20"/>
        </w:rPr>
      </w:pPr>
      <w:r>
        <w:rPr>
          <w:rFonts w:ascii="Times New Roman" w:hAnsi="Times New Roman"/>
          <w:b/>
          <w:sz w:val="20"/>
          <w:szCs w:val="20"/>
        </w:rPr>
        <w:t xml:space="preserve">2. </w:t>
      </w:r>
      <w:r>
        <w:rPr>
          <w:rFonts w:ascii="Times New Roman" w:hAnsi="Times New Roman"/>
          <w:b/>
          <w:color w:val="000000"/>
          <w:sz w:val="20"/>
          <w:szCs w:val="20"/>
        </w:rPr>
        <w:t>МЕСТО И СРОКИ ОКАЗАНИЯ УСЛУГ</w:t>
      </w:r>
    </w:p>
    <w:p>
      <w:pPr>
        <w:pStyle w:val="Normal"/>
        <w:spacing w:lineRule="auto" w:line="240" w:before="0" w:after="0"/>
        <w:jc w:val="both"/>
        <w:rPr>
          <w:rFonts w:ascii="Times New Roman" w:hAnsi="Times New Roman"/>
          <w:sz w:val="20"/>
          <w:szCs w:val="20"/>
        </w:rPr>
      </w:pPr>
      <w:r>
        <w:rPr>
          <w:rFonts w:ascii="Times New Roman" w:hAnsi="Times New Roman"/>
          <w:sz w:val="20"/>
          <w:szCs w:val="20"/>
        </w:rPr>
        <w:t>2.1. Место оказания Услуг: Ленинградская область, Гатчинский район,</w:t>
      </w:r>
      <w:r>
        <w:rPr>
          <w:rFonts w:ascii="Times New Roman" w:hAnsi="Times New Roman"/>
          <w:color w:val="000000"/>
          <w:sz w:val="20"/>
          <w:szCs w:val="20"/>
        </w:rPr>
        <w:t xml:space="preserve"> д. Жабино, ул. Героев Пограничников </w:t>
      </w:r>
      <w:r>
        <w:rPr>
          <w:rFonts w:ascii="Times New Roman" w:hAnsi="Times New Roman"/>
          <w:sz w:val="20"/>
          <w:szCs w:val="20"/>
        </w:rPr>
        <w:t>(далее - «Объект»).</w:t>
      </w:r>
    </w:p>
    <w:p>
      <w:pPr>
        <w:pStyle w:val="Normal"/>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2.2.</w:t>
      </w:r>
      <w:r>
        <w:rPr>
          <w:rFonts w:ascii="Times New Roman" w:hAnsi="Times New Roman"/>
          <w:color w:val="FF0000"/>
          <w:sz w:val="20"/>
          <w:szCs w:val="20"/>
        </w:rPr>
        <w:t xml:space="preserve"> </w:t>
      </w:r>
      <w:r>
        <w:rPr>
          <w:rFonts w:ascii="Times New Roman" w:hAnsi="Times New Roman"/>
          <w:color w:themeColor="text1" w:val="000000"/>
          <w:sz w:val="20"/>
          <w:szCs w:val="20"/>
        </w:rPr>
        <w:t xml:space="preserve">Срок оказания Услуг: </w:t>
      </w:r>
      <w:r>
        <w:rPr>
          <w:rFonts w:ascii="Times New Roman" w:hAnsi="Times New Roman"/>
          <w:sz w:val="20"/>
          <w:szCs w:val="20"/>
        </w:rPr>
        <w:t>услуги оказываются в период с даты заключения контракта до завершения подрядной организацией работ, но не позднее 31.12.2026.</w:t>
      </w:r>
    </w:p>
    <w:p>
      <w:pPr>
        <w:pStyle w:val="Normal"/>
        <w:spacing w:lineRule="auto" w:line="240" w:before="0" w:after="0"/>
        <w:jc w:val="both"/>
        <w:rPr>
          <w:rFonts w:ascii="Times New Roman" w:hAnsi="Times New Roman"/>
          <w:sz w:val="20"/>
          <w:szCs w:val="20"/>
        </w:rPr>
      </w:pPr>
      <w:r>
        <w:rPr>
          <w:rFonts w:ascii="Times New Roman" w:hAnsi="Times New Roman"/>
          <w:sz w:val="20"/>
          <w:szCs w:val="20"/>
        </w:rPr>
      </w:r>
    </w:p>
    <w:p>
      <w:pPr>
        <w:pStyle w:val="Normal"/>
        <w:spacing w:lineRule="auto" w:line="240" w:before="0" w:after="0"/>
        <w:jc w:val="center"/>
        <w:rPr>
          <w:rFonts w:ascii="Times New Roman" w:hAnsi="Times New Roman"/>
          <w:sz w:val="20"/>
          <w:szCs w:val="20"/>
        </w:rPr>
      </w:pPr>
      <w:r>
        <w:rPr>
          <w:rFonts w:ascii="Times New Roman" w:hAnsi="Times New Roman"/>
          <w:b/>
          <w:sz w:val="20"/>
          <w:szCs w:val="20"/>
        </w:rPr>
        <w:t>3. ЦЕНА КОНТРАКТА И ПОРЯДОК РАСЧЕТОВ</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contextualSpacing/>
        <w:jc w:val="both"/>
        <w:rPr>
          <w:rFonts w:ascii="Times New Roman" w:hAnsi="Times New Roman"/>
          <w:sz w:val="20"/>
          <w:szCs w:val="20"/>
        </w:rPr>
      </w:pPr>
      <w:bookmarkStart w:id="0" w:name="Par694"/>
      <w:bookmarkEnd w:id="0"/>
      <w:r>
        <w:rPr>
          <w:rFonts w:ascii="Times New Roman" w:hAnsi="Times New Roman"/>
          <w:color w:val="000000"/>
          <w:sz w:val="20"/>
          <w:szCs w:val="20"/>
          <w:lang w:eastAsia="ar-SA"/>
        </w:rPr>
        <w:t>3.1.</w:t>
      </w:r>
      <w:r>
        <w:rPr>
          <w:rFonts w:ascii="Times New Roman" w:hAnsi="Times New Roman"/>
          <w:b/>
          <w:bCs/>
          <w:color w:val="000000"/>
          <w:sz w:val="20"/>
          <w:szCs w:val="20"/>
          <w:lang w:eastAsia="ar-SA"/>
        </w:rPr>
        <w:t xml:space="preserve"> </w:t>
      </w:r>
      <w:r>
        <w:rPr>
          <w:rFonts w:ascii="Times New Roman" w:hAnsi="Times New Roman"/>
          <w:sz w:val="20"/>
          <w:szCs w:val="20"/>
        </w:rPr>
        <w:t>Цена настоящего Контракта  составляет  12 000,00 (Двенадцать  тысяч) рублей 00 копеек,</w:t>
      </w:r>
      <w:r>
        <w:rPr>
          <w:rFonts w:ascii="Times New Roman" w:hAnsi="Times New Roman"/>
          <w:sz w:val="20"/>
          <w:szCs w:val="20"/>
          <w:lang w:eastAsia="en-US"/>
        </w:rPr>
        <w:t xml:space="preserve"> </w:t>
      </w:r>
      <w:r>
        <w:rPr>
          <w:rFonts w:ascii="Times New Roman" w:hAnsi="Times New Roman"/>
          <w:sz w:val="20"/>
          <w:szCs w:val="20"/>
        </w:rPr>
        <w:t>включая НДС __% (цифрами и прописью, в случае если Исполнитель имеет право на освобождение от уплаты НДС, то слова «включая НДС» заменяются на слова «НДС не облагается»).</w:t>
      </w:r>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3.2. Цена Контракта является твердой и определяется на весь срок его исполнения. Цена Контракта может быть изменена лишь в случаях и в порядке, которые предусмотрены действующим законодательством Российской Федерации, в том числе ст. 95 Закона о контрактной системе.</w:t>
      </w:r>
    </w:p>
    <w:p>
      <w:pPr>
        <w:pStyle w:val="Normal"/>
        <w:spacing w:lineRule="auto" w:line="240" w:before="0" w:after="0"/>
        <w:jc w:val="both"/>
        <w:rPr>
          <w:rFonts w:ascii="Times New Roman" w:hAnsi="Times New Roman"/>
          <w:sz w:val="20"/>
          <w:szCs w:val="20"/>
        </w:rPr>
      </w:pPr>
      <w:bookmarkStart w:id="1" w:name="OLE_LINK1"/>
      <w:r>
        <w:rPr>
          <w:rFonts w:ascii="Times New Roman" w:hAnsi="Times New Roman"/>
          <w:sz w:val="20"/>
          <w:szCs w:val="20"/>
          <w:lang w:eastAsia="zh-CN"/>
        </w:rPr>
        <w:t xml:space="preserve"> </w:t>
      </w:r>
      <w:r>
        <w:rPr>
          <w:rFonts w:ascii="Times New Roman" w:hAnsi="Times New Roman"/>
          <w:sz w:val="20"/>
          <w:szCs w:val="20"/>
          <w:lang w:eastAsia="zh-CN"/>
        </w:rPr>
        <w:t>Цена Контракта включает в себя компенсацию издержек Исполнителя, в том числе все расходы, связанные с выполнением работ, затраты на уплату всех налогов, сборов и других обязательных платежей, и причитающееся ему вознаграждение.</w:t>
      </w:r>
      <w:bookmarkEnd w:id="1"/>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3.4 Оплата по настоящему Контракту производится следующим образом: в течение 10 (Десяти) рабочих дней после передачи Заказчику заключения строительного контроля, с даты подписания</w:t>
      </w:r>
      <w:r>
        <w:rPr>
          <w:rFonts w:ascii="Times New Roman" w:hAnsi="Times New Roman"/>
          <w:sz w:val="20"/>
          <w:szCs w:val="20"/>
        </w:rPr>
        <w:t xml:space="preserve"> </w:t>
      </w:r>
      <w:r>
        <w:rPr>
          <w:rFonts w:ascii="Times New Roman" w:hAnsi="Times New Roman"/>
          <w:sz w:val="20"/>
          <w:szCs w:val="20"/>
          <w:lang w:eastAsia="zh-CN"/>
        </w:rPr>
        <w:t xml:space="preserve">Сторонами Универсального передаточного документа (УПД) / </w:t>
      </w:r>
      <w:r>
        <w:rPr>
          <w:rFonts w:ascii="Times New Roman" w:hAnsi="Times New Roman"/>
          <w:sz w:val="20"/>
          <w:szCs w:val="20"/>
          <w:lang w:eastAsia="zh-CN"/>
        </w:rPr>
        <w:t>акта об оказании услуг</w:t>
      </w:r>
      <w:r>
        <w:rPr>
          <w:rFonts w:ascii="Times New Roman" w:hAnsi="Times New Roman"/>
          <w:sz w:val="20"/>
          <w:szCs w:val="20"/>
          <w:lang w:eastAsia="zh-CN"/>
        </w:rPr>
        <w:t xml:space="preserve"> по Контракту и получения от Исполнителя счета на оплату по Контракту</w:t>
      </w:r>
      <w:r>
        <w:rPr>
          <w:rFonts w:ascii="Times New Roman" w:hAnsi="Times New Roman"/>
          <w:sz w:val="20"/>
          <w:szCs w:val="20"/>
        </w:rPr>
        <w:t>.</w:t>
      </w:r>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3.5. Обязанности Заказчика в части оплаты по Контракту считаются исполненными со дня списания денежных средств с расчетного счета Заказчика.</w:t>
      </w:r>
    </w:p>
    <w:p>
      <w:pPr>
        <w:pStyle w:val="Normal"/>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r>
    </w:p>
    <w:p>
      <w:pPr>
        <w:pStyle w:val="Normal"/>
        <w:widowControl w:val="false"/>
        <w:spacing w:lineRule="auto" w:line="240" w:before="0" w:after="0"/>
        <w:jc w:val="center"/>
        <w:rPr>
          <w:rFonts w:ascii="Times New Roman" w:hAnsi="Times New Roman"/>
          <w:sz w:val="20"/>
          <w:szCs w:val="20"/>
        </w:rPr>
      </w:pPr>
      <w:r>
        <w:rPr>
          <w:rFonts w:ascii="Times New Roman" w:hAnsi="Times New Roman"/>
          <w:b/>
          <w:bCs/>
          <w:sz w:val="20"/>
          <w:szCs w:val="20"/>
          <w:lang w:eastAsia="zh-CN"/>
        </w:rPr>
        <w:t>4.</w:t>
      </w:r>
      <w:r>
        <w:rPr>
          <w:rFonts w:ascii="Times New Roman" w:hAnsi="Times New Roman"/>
          <w:sz w:val="20"/>
          <w:szCs w:val="20"/>
          <w:lang w:eastAsia="zh-CN"/>
        </w:rPr>
        <w:t xml:space="preserve"> </w:t>
      </w:r>
      <w:r>
        <w:rPr>
          <w:rFonts w:ascii="Times New Roman" w:hAnsi="Times New Roman"/>
          <w:b/>
          <w:sz w:val="20"/>
          <w:szCs w:val="20"/>
        </w:rPr>
        <w:t>ПОРЯДОК СДАЧИ ОКАЗАННЫХ УСЛУГ</w:t>
      </w:r>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4.1. Исполнитель  приступает к выполнению Работ в установленные Контрактом сроки.</w:t>
      </w:r>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 xml:space="preserve">4.2. Сдача и приемка </w:t>
      </w:r>
      <w:r>
        <w:rPr>
          <w:rFonts w:ascii="Times New Roman" w:hAnsi="Times New Roman"/>
          <w:sz w:val="20"/>
          <w:szCs w:val="20"/>
          <w:lang w:eastAsia="zh-CN"/>
        </w:rPr>
        <w:t>Услуг</w:t>
      </w:r>
      <w:r>
        <w:rPr>
          <w:rFonts w:ascii="Times New Roman" w:hAnsi="Times New Roman"/>
          <w:sz w:val="20"/>
          <w:szCs w:val="20"/>
          <w:lang w:eastAsia="zh-CN"/>
        </w:rPr>
        <w:t xml:space="preserve"> (части </w:t>
      </w:r>
      <w:r>
        <w:rPr>
          <w:rFonts w:ascii="Times New Roman" w:hAnsi="Times New Roman"/>
          <w:sz w:val="20"/>
          <w:szCs w:val="20"/>
          <w:lang w:eastAsia="zh-CN"/>
        </w:rPr>
        <w:t>Услуг</w:t>
      </w:r>
      <w:r>
        <w:rPr>
          <w:rFonts w:ascii="Times New Roman" w:hAnsi="Times New Roman"/>
          <w:sz w:val="20"/>
          <w:szCs w:val="20"/>
          <w:lang w:eastAsia="zh-CN"/>
        </w:rPr>
        <w:t>) производится в соответствии с условиями Контракта и нормативно-техническими документами в области деятельности, соответствующей предмету Контракта.</w:t>
      </w:r>
    </w:p>
    <w:p>
      <w:pPr>
        <w:pStyle w:val="Normal"/>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t xml:space="preserve">После завершения оказания </w:t>
      </w:r>
      <w:r>
        <w:rPr>
          <w:rFonts w:ascii="Times New Roman" w:hAnsi="Times New Roman"/>
          <w:sz w:val="20"/>
          <w:szCs w:val="20"/>
          <w:lang w:eastAsia="zh-CN"/>
        </w:rPr>
        <w:t>У</w:t>
      </w:r>
      <w:r>
        <w:rPr>
          <w:rFonts w:ascii="Times New Roman" w:hAnsi="Times New Roman"/>
          <w:sz w:val="20"/>
          <w:szCs w:val="20"/>
          <w:lang w:eastAsia="zh-CN"/>
        </w:rPr>
        <w:t xml:space="preserve">слуг Исполнитель письменно извещает Заказчика о готовности к сдаче-приемке оказанных </w:t>
      </w:r>
      <w:r>
        <w:rPr>
          <w:rFonts w:ascii="Times New Roman" w:hAnsi="Times New Roman"/>
          <w:sz w:val="20"/>
          <w:szCs w:val="20"/>
          <w:lang w:eastAsia="zh-CN"/>
        </w:rPr>
        <w:t>у</w:t>
      </w:r>
      <w:r>
        <w:rPr>
          <w:rFonts w:ascii="Times New Roman" w:hAnsi="Times New Roman"/>
          <w:sz w:val="20"/>
          <w:szCs w:val="20"/>
          <w:lang w:eastAsia="zh-CN"/>
        </w:rPr>
        <w:t>слуг и представляет Заказчику комплект отчетной документации:</w:t>
      </w:r>
    </w:p>
    <w:p>
      <w:pPr>
        <w:pStyle w:val="Normal"/>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t xml:space="preserve">- </w:t>
      </w:r>
      <w:r>
        <w:rPr>
          <w:rFonts w:ascii="Times New Roman" w:hAnsi="Times New Roman"/>
          <w:sz w:val="20"/>
          <w:szCs w:val="20"/>
          <w:lang w:eastAsia="zh-CN"/>
        </w:rPr>
        <w:t>отчет</w:t>
      </w:r>
      <w:r>
        <w:rPr>
          <w:rFonts w:ascii="Times New Roman" w:hAnsi="Times New Roman"/>
          <w:sz w:val="20"/>
          <w:szCs w:val="20"/>
          <w:lang w:eastAsia="zh-CN"/>
        </w:rPr>
        <w:t xml:space="preserve"> строительного контроля </w:t>
      </w:r>
      <w:r>
        <w:rPr>
          <w:rFonts w:ascii="Times New Roman" w:hAnsi="Times New Roman"/>
          <w:sz w:val="20"/>
          <w:szCs w:val="20"/>
          <w:lang w:eastAsia="zh-CN"/>
        </w:rPr>
        <w:t>(с заключением</w:t>
      </w:r>
      <w:r>
        <w:rPr>
          <w:rFonts w:ascii="Times New Roman" w:hAnsi="Times New Roman"/>
          <w:sz w:val="20"/>
          <w:szCs w:val="20"/>
          <w:lang w:eastAsia="zh-CN"/>
        </w:rPr>
        <w:t>),</w:t>
      </w:r>
    </w:p>
    <w:p>
      <w:pPr>
        <w:pStyle w:val="Normal"/>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t xml:space="preserve">- Универсального передаточного документа (УПД) / </w:t>
      </w:r>
      <w:r>
        <w:rPr>
          <w:rFonts w:ascii="Times New Roman" w:hAnsi="Times New Roman"/>
          <w:sz w:val="20"/>
          <w:szCs w:val="20"/>
          <w:lang w:eastAsia="zh-CN"/>
        </w:rPr>
        <w:t>а</w:t>
      </w:r>
      <w:r>
        <w:rPr>
          <w:rFonts w:ascii="Times New Roman" w:hAnsi="Times New Roman"/>
          <w:sz w:val="20"/>
          <w:szCs w:val="20"/>
          <w:lang w:eastAsia="zh-CN"/>
        </w:rPr>
        <w:t>кт об оказании услуг,</w:t>
      </w:r>
    </w:p>
    <w:p>
      <w:pPr>
        <w:pStyle w:val="Normal"/>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t>- счет-фактуру (при наличие),</w:t>
      </w:r>
    </w:p>
    <w:p>
      <w:pPr>
        <w:pStyle w:val="Normal"/>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t xml:space="preserve">- счет на оплату. </w:t>
      </w:r>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Работы, выполненные Исполнителем с отклонениями от технического задания, требований национальных стандартов и сводов правил, а также условий Контракта, не подлежат приемке Заказчиком до устранения таких отклонений. Последующие работы, связанные технологической последовательностью с работами, выполненными с отступлениями от технического задания, требований национальных стандартов и сводов правил, а также условий Контракта, к приемке не принимаются.</w:t>
      </w:r>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4.3. В соответствии с Федеральным законом о контрактной системе для проверки предоставленных Исполнителем результатов выполнения работ,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При проведении экспертизы Заказчиком общий срок проверки результатов исполнения обязательств Исполнителя по Контракту продлевается на срок, потребовавшийся для проведения экспертизы.</w:t>
      </w:r>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Исполнитель обеспечивает передачу результатов работ для проведения экспертизы.</w:t>
      </w:r>
    </w:p>
    <w:p>
      <w:pPr>
        <w:pStyle w:val="Normal"/>
        <w:spacing w:lineRule="auto" w:line="240" w:before="0" w:after="0"/>
        <w:jc w:val="both"/>
        <w:rPr>
          <w:rFonts w:ascii="Times New Roman" w:hAnsi="Times New Roman"/>
          <w:sz w:val="20"/>
          <w:szCs w:val="20"/>
        </w:rPr>
      </w:pPr>
      <w:r>
        <w:rPr>
          <w:rFonts w:ascii="Times New Roman" w:hAnsi="Times New Roman"/>
          <w:sz w:val="20"/>
          <w:szCs w:val="20"/>
          <w:lang w:eastAsia="zh-CN"/>
        </w:rPr>
        <w:t>Результаты работ принимаются Заказчиком только при условии наличия положительного экспертного заключения на указанную отчетную документацию и выполненные работы.</w:t>
      </w:r>
    </w:p>
    <w:p>
      <w:pPr>
        <w:pStyle w:val="Normal"/>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t>4.4. Заказчик, принявший работы без проверки, не лишается права ссылаться на недостатки (дефекты) работ, которые могли быть установлены при приемке. Устранение Исполнителем выявленных Заказчиком недостатков (дефектов) работ не освобождает его от уплаты неустойки (штрафа, пени), предусмотренной контрактом.</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lang w:eastAsia="zh-CN"/>
        </w:rPr>
        <w:t>4.5. В случае возникновения обстоятельств, препятствующих дальнейшему выполнению   обязательств по контракту, Исполнитель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pPr>
        <w:pStyle w:val="Normal"/>
        <w:widowControl w:val="false"/>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r>
    </w:p>
    <w:p>
      <w:pPr>
        <w:pStyle w:val="Normal"/>
        <w:widowControl w:val="false"/>
        <w:spacing w:lineRule="auto" w:line="240" w:before="0" w:after="0"/>
        <w:jc w:val="center"/>
        <w:rPr>
          <w:rFonts w:ascii="Times New Roman" w:hAnsi="Times New Roman"/>
          <w:sz w:val="20"/>
          <w:szCs w:val="20"/>
        </w:rPr>
      </w:pPr>
      <w:r>
        <w:rPr>
          <w:rFonts w:ascii="Times New Roman" w:hAnsi="Times New Roman"/>
          <w:b/>
          <w:sz w:val="20"/>
          <w:szCs w:val="20"/>
        </w:rPr>
        <w:t>5. ОБЯЗАННОСТИ СТОРОН</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5.1. Обязанности Исполнителя :</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5.2. Назначить ответственных лиц, осуществляющих строительный контроль на Объекте Заказчика.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5.3. Исполнитель обязуется осуществлять строительный контроль в полном соответствии с требованиями нормативно-технической документации, законодательства РФ и условиями настоящего Контракта.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5.4. От имени Заказчика добросовестно и качественно осуществлять строительный контроль за ремонтно-строительными, специальными строительными, монтажными и инженерными работами на Объекте Заказчика в рамках настоящего Контракта. В этих целях Исполнитель выполняет следующие действия (осуществляет деятельность):</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 xml:space="preserve">осуществляет независимый строительный контроль производства демонтажных, строительных, специальных строительных, монтажных и инженерных работ по строительству Объекта при этом Исполнитель руководствуется установленными и действующими на момент осуществления строительного контроля, законодательством РФ обязательными правилами осуществления строительного контроля; </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контролирует соответствие объемов и качества выполненных и предъявленных к сдаче работ проектно-сметной документации;</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осуществляет инструментальный контроль качества выполнения работ на соответствие проектной документации, утвержденной Заказчиком, требованиям нормативно-технической документации на производство и приемку работ;</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осуществляет контроль соответствия применяемых Подрядчиком строительных материалов согласно утвержденной Заказчиком проектно-сметной документации;</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 xml:space="preserve">принимает участие в приемке законченных этапов строительства на соответствие действующим стандартам и нормативно-технической документации; </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принимает участие в освидетельствовании скрытых работ и подписании Актов скрытых работ, выполненных в период действия настоящего Контракта, а в случае уклонения лица, осуществляющего строительство, от составления документов по результатам освидетельствования, немедленно информирует об этом Заказчика;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Если скрытые работы произведены без предъявления результатов специалистам Исполнителя, то для их освидетельствования необходимо произвести разборку результатов работ, других конструкций, участков сетей и т.п. с составлением соответствующих актов (ГрК ст. 53 п.6). В противном случае, у специалистов строительного контроля Исполнителя нет оснований для подписания актов освидетельствования скрытых работ.</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принимает участие в приемке законченного строительством Объекта Заказчиком;</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проверяет совместно с Заказчиком соответствие законченного объекта строительства требованиям проектной и подготовленной на ее основе рабочей документации, технических регламентов;</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проводит проверку выполнения Подрядчиком указаний и предписаний, выданных по результатам строительного контроля;</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уведомляет Подрядчика в письменной форме о несоответствии конструкций, изделий, материалов, оборудования, объемов и качества выполненных работ требованиям государственных стандартов, строительных норм и правил, технических условий и других нормативных документов, проектно-сметной документации;</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выдает предписания на устранение недоделок по выполненным работам;</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 xml:space="preserve">участвует в проведении проверки рабочей комиссией качества отдельных конструкций и узлов, строительно-монтажных работ всех видов, соответствия смонтированного оборудования и механизмов техническим условиям; </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участвует в проведении проверки Объекта органами государственного надзора и архитектурно-строительного контроля;</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проводит геодезический контроль на объекте с целью отражения данных в исполнительной документации;</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принимает участие в подписании акта приемки выполненных работ на объекте</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визирует своей подписью КС-2, чем подтверждает качество и объемы выполненных работ.</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5.4.1. Исполнитель обязуется проводить проверку наличия документов, подтверждающих качественные характеристики конструкций, изделий, материалов и оборудования, используемых во время ремонта, строительства, реконструкции Объекта.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5.4.2. Исполнитель обязуется проводить проверку соответствия выполненных строительно-монтажных работ, конструкций, изделий, материалов и оборудования проектным решениям, требованиям государственных стандартов, строительных норм и правил, технических условий и других нормативных документов.</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5.4.3. Осуществление выезда на объект 2 раза в неделю.  После каждого посещения Объекта Исполнитель заносит сведения о проверке в журнал осмотра объекта. Сведения о результатах контроля технологии выполнения работ и о качестве выполненных строительных, специальных строительных, монтажных и инженерных работах на Объекте, Исполнитель заносит в общий журнал работ.</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5.4.4. Исполнитель имеет право в случае необходимости приостановить выполнение отдельных видов работ при выявлении недопустимых отклонений от проекта, требований нормативно-технической документации и действующих государственных стандартов РФ, с немедленным информированием Заказчика и составлением соответствующего акта или предписания на устранение недоделок. Разрешение на дальнейшее продолжение работ  Исполнитель выдает только после устранения выявленных недоделок Подрядчиком или в отдельных случаях по решению Заказчика. Решение по приостановке работ и их продолжение оформляется письменно в общем журнале работ. </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5.4.5. Исполнитель не вправе вмешиваться в оперативно-хозяйственную деятельность подрядных организаций. В случае принятия всех, предусмотренных настоящим Контрактом мер для своевременного уведомления Заказчика о ненадлежащем выполнении подрядными организациями своих обязательств по Контракту строительного подряда, Исполнитель не несет ответственности за деятельность подрядных организаций.</w:t>
      </w:r>
    </w:p>
    <w:p>
      <w:pPr>
        <w:pStyle w:val="Normal"/>
        <w:spacing w:before="0" w:after="0"/>
        <w:jc w:val="both"/>
        <w:rPr>
          <w:rFonts w:ascii="Times New Roman" w:hAnsi="Times New Roman"/>
          <w:sz w:val="20"/>
          <w:szCs w:val="20"/>
        </w:rPr>
      </w:pPr>
      <w:r>
        <w:rPr>
          <w:rFonts w:ascii="Times New Roman" w:hAnsi="Times New Roman"/>
          <w:sz w:val="20"/>
          <w:szCs w:val="20"/>
        </w:rPr>
        <w:t>5.4.6. Соблюдать конфиденциальность информации, ставшей известной Исполнителю в процессе выполнения обязательств в рамках настоящего Контракта.</w:t>
      </w:r>
    </w:p>
    <w:p>
      <w:pPr>
        <w:pStyle w:val="Normal"/>
        <w:spacing w:before="0" w:after="0"/>
        <w:jc w:val="both"/>
        <w:rPr>
          <w:rFonts w:ascii="Times New Roman" w:hAnsi="Times New Roman"/>
          <w:sz w:val="20"/>
          <w:szCs w:val="20"/>
        </w:rPr>
      </w:pPr>
      <w:r>
        <w:rPr>
          <w:rFonts w:ascii="Times New Roman" w:hAnsi="Times New Roman"/>
          <w:sz w:val="20"/>
          <w:szCs w:val="20"/>
        </w:rPr>
        <w:t>5.4.7. Предоставленная Подрядчиком исполнительная документация  проверяется Исполнителем в течение 3 (трех) рабочих дней, после чего исполнительная документация подписывается ответственным за строительный контроль и передается Заказчику не позднее одного дня до даты подписания исполнительной документации Исполнителем.</w:t>
      </w:r>
    </w:p>
    <w:p>
      <w:pPr>
        <w:pStyle w:val="Normal"/>
        <w:keepLines/>
        <w:spacing w:lineRule="auto" w:line="240" w:before="0" w:after="0"/>
        <w:jc w:val="both"/>
        <w:rPr>
          <w:rFonts w:ascii="Times New Roman" w:hAnsi="Times New Roman"/>
          <w:sz w:val="20"/>
          <w:szCs w:val="20"/>
        </w:rPr>
      </w:pPr>
      <w:r>
        <w:rPr>
          <w:rFonts w:ascii="Times New Roman" w:hAnsi="Times New Roman"/>
          <w:sz w:val="20"/>
          <w:szCs w:val="20"/>
        </w:rPr>
        <w:t>5.5. Права Исполнителя:</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5.5.1 Исполнитель имеет право на надлежащую оплату своих услуг Заказчиком.</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5.5.2. Исполнитель имеет право на свободный доступ к Объекту для выполнения настоящего Контракта.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5.5.3. Исполнитель имеет право на получение от Заказчика всех необходимых документов и информации для надлежащего выполнения настоящего Контракта.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5.5.4. Исполнитель  имеет право требовать от Подрядчика выполнения работ в соответствии с проектно–сметной и другой технической документацией, соблюдения требований нормативных документов относительно порядка выполнения и принятия работ.</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5.5.5. Исполнитель имеет право требовать от Подрядчика остановку работ в случае применения им материалов, деталей, конструкций и изделий, не соответствующих требованиям нормативных документов, а также в случае выполнения Подрядчиком работ с нарушением требований нормативных документов, проектно–сметной и другой технической документации.</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5.5.6 Исполнитель имеет право требовать от Подрядчика проведения лабораторных испытаний материалов и конструкций относительно их соответствия сертификатам качества, а оборудования – техническим (технологическим) паспортам и своевременного уведомления Подрядчиком об этих испытаниях.</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5.5.7. Исполнитель имеет право требовать от Подрядчика устранения отклонений от проектных решений, недостатков (дефектов) и недоработок и повторного предъявления работ, для осуществления строительного контроля.</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5.5.8. Исполнитель имеет право требовать от Подрядчика остановку выполнения работ до оформления актов осмотра и приёмки скрытых работ.</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5.5.9. Исполнитель имеет право требовать от Подрядчика остановку выполнения строительно-монтажных работ в случае выявления сверхнормативной деформации Объекта или угрозы обрушения конструкций и требовать от Подрядчика принятия неотложных мер для предотвращения возникновения аварии;</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 Обязанности Заказчика: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5.6.1. Заказчик предоставляет Исполнителю всю, необходимую для осуществления технического надзора контрактную, проектную и техническую документацию, в том числе:</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5.6.2. Контракт на выполнение работ со всеми приложениями</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5.6.3. План земельного участка (помещений) с границами ремонта </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5.6.4. Ведомость материалов </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5.6.5. Схемы и рабочие чертежи (при необходимости)</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5.6.6. Утвержденный Заказчиком, согласованный всеми заинтересованными лицами и имеющий отметку Заказчика «В производство работ» рабочий проект(при наличии)</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 xml:space="preserve">5.6.7. Проект производства работ (при необходимости) </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5.6.8. График производства работ</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5.6.9. Техническую и технологическую документацию, необходимую для осуществления строительного контроля.</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5.6.10. Заказчик обеспечивает Исполнителю доступ на строительную площадку.</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5.6.11. Заказчик обеспечивает Исполнителю условия для безопасного и эффективного труда в соответствии с требованиями законодательных актов РФ в области охраны труда.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5.6.12. Заказчик обязан оплатить услуги Исполнителя по ведению строительного (технического) контроля.</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5.6.13. Заказчик обязан письменно информировать Исполнителя в случае замены в процессе производства работ видов и объемов выполняемых работ, замены строительных материалов, изделий и конструкций, изменения сроков выполнения работ, изменения стоимости работ.</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5.6.14. Заказчик обязан проинформировать Подрядчика о наличие строительного контроля на объекте.</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5.6.15 Не позднее, чем за 2 (два) дня до даты проведения строительного контроля для освидетельствования скрытых работ, уведомить официальным письмом специалиста строительного контроля о готовности к предъявлению результатов скрытых работ (Постановление Правительства РФ № 468 от 21 июня 2010 г п.п. 11, 12).</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5.7. Заказчик вправе:</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5.7.1. В любое время проверять ход и качество выполняемых по Контракту услуг, в т.ч. присутствовать при оказании услуг в качестве наблюдателя с правом получения любой информации и ознакомления с любыми документами, связанными с исполнением работ по настоящему Контракту, не вмешиваясь в хозяйственную деятельность Исполнителя.</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r>
    </w:p>
    <w:p>
      <w:pPr>
        <w:pStyle w:val="ListParagraph"/>
        <w:numPr>
          <w:ilvl w:val="0"/>
          <w:numId w:val="3"/>
        </w:numPr>
        <w:jc w:val="center"/>
        <w:outlineLvl w:val="0"/>
        <w:rPr>
          <w:rFonts w:ascii="Times New Roman" w:hAnsi="Times New Roman"/>
          <w:sz w:val="20"/>
          <w:szCs w:val="20"/>
        </w:rPr>
      </w:pPr>
      <w:r>
        <w:rPr>
          <w:rFonts w:ascii="Times New Roman" w:hAnsi="Times New Roman"/>
          <w:b/>
          <w:sz w:val="20"/>
          <w:szCs w:val="20"/>
        </w:rPr>
        <w:t>ОБСТОЯТЕЛЬСТВА НЕПРЕОДОЛИМОЙ СИЛЫ</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6.1.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Кодексом РФ.</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 xml:space="preserve">6.2. Сторона, которая не в состоянии выполнить свои обязательства по причинам форс-мажорных обстоятельств, должна в письменной форме незамедлительно в течение 10 (десяти) дней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 Не уведомление или несвоевременное уведомление не освобождает виновную сторону от ответственности за неисполнение. </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6.3. Если обстоятельства непреодолимой силы или их последствия будут длиться более 6 месяцев, то заинтересованная Сторона вправе требовать досрочного расторжения контракта, и в таком случае ни одна из Сторон не будет иметь права требовать от другой Стороны возмещения возможных убытков.</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r>
    </w:p>
    <w:p>
      <w:pPr>
        <w:pStyle w:val="ListParagraph"/>
        <w:numPr>
          <w:ilvl w:val="0"/>
          <w:numId w:val="2"/>
        </w:numPr>
        <w:jc w:val="center"/>
        <w:rPr>
          <w:rFonts w:ascii="Times New Roman" w:hAnsi="Times New Roman"/>
          <w:sz w:val="20"/>
          <w:szCs w:val="20"/>
        </w:rPr>
      </w:pPr>
      <w:r>
        <w:rPr>
          <w:rFonts w:ascii="Times New Roman" w:hAnsi="Times New Roman"/>
          <w:b/>
          <w:sz w:val="20"/>
          <w:szCs w:val="20"/>
        </w:rPr>
        <w:t>СРОК ДЕЙСТВИЯ КОНТРАКТА</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7.1. Настоящий Контракт вступает в силу с момента подписания его Сторонами и действует до 31.12.2026, а в части не исполненных обязательств до полного их исполнения.</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r>
    </w:p>
    <w:p>
      <w:pPr>
        <w:pStyle w:val="ListParagraph"/>
        <w:numPr>
          <w:ilvl w:val="0"/>
          <w:numId w:val="2"/>
        </w:numPr>
        <w:jc w:val="center"/>
        <w:outlineLvl w:val="0"/>
        <w:rPr>
          <w:rFonts w:ascii="Times New Roman" w:hAnsi="Times New Roman"/>
          <w:sz w:val="20"/>
          <w:szCs w:val="20"/>
        </w:rPr>
      </w:pPr>
      <w:r>
        <w:rPr>
          <w:rFonts w:ascii="Times New Roman" w:hAnsi="Times New Roman"/>
          <w:b/>
          <w:sz w:val="20"/>
          <w:szCs w:val="20"/>
        </w:rPr>
        <w:t>ПОРЯДОК ИЗМЕНЕНИЯ И РАСТОРЖЕНИЯ КОНТРАКТА</w:t>
      </w:r>
    </w:p>
    <w:p>
      <w:pPr>
        <w:pStyle w:val="Normal"/>
        <w:tabs>
          <w:tab w:val="clear" w:pos="708"/>
          <w:tab w:val="left" w:pos="1418" w:leader="none"/>
        </w:tabs>
        <w:spacing w:lineRule="auto" w:line="240" w:before="0" w:after="0"/>
        <w:contextualSpacing/>
        <w:jc w:val="both"/>
        <w:rPr/>
      </w:pPr>
      <w:r>
        <w:rPr>
          <w:rFonts w:ascii="Times New Roman" w:hAnsi="Times New Roman"/>
          <w:sz w:val="20"/>
          <w:szCs w:val="20"/>
          <w:lang w:eastAsia="zh-CN"/>
        </w:rPr>
        <w:t>8.1. При исполнении настоящего Контракта изменение его условий не допускается, за исключением случаев, прямо предусмотренных</w:t>
      </w:r>
      <w:hyperlink w:anchor="Par1582">
        <w:r>
          <w:rPr>
            <w:rStyle w:val="Style7"/>
            <w:rFonts w:ascii="Times New Roman" w:hAnsi="Times New Roman"/>
            <w:sz w:val="20"/>
            <w:szCs w:val="20"/>
            <w:lang w:eastAsia="zh-CN"/>
          </w:rPr>
          <w:t xml:space="preserve"> статьей 95</w:t>
        </w:r>
      </w:hyperlink>
      <w:r>
        <w:rPr>
          <w:rFonts w:ascii="Times New Roman" w:hAnsi="Times New Roman"/>
          <w:sz w:val="20"/>
          <w:szCs w:val="20"/>
          <w:lang w:eastAsia="zh-CN"/>
        </w:rPr>
        <w:t xml:space="preserve"> </w:t>
      </w:r>
      <w:r>
        <w:rPr>
          <w:rFonts w:ascii="Times New Roman" w:hAnsi="Times New Roman"/>
          <w:bCs/>
          <w:sz w:val="20"/>
          <w:szCs w:val="20"/>
          <w:lang w:eastAsia="zh-CN"/>
        </w:rPr>
        <w:t xml:space="preserve">Федерального закона от </w:t>
      </w:r>
      <w:r>
        <w:rPr>
          <w:rFonts w:ascii="Times New Roman" w:hAnsi="Times New Roman"/>
          <w:sz w:val="20"/>
          <w:szCs w:val="20"/>
          <w:lang w:eastAsia="zh-CN"/>
        </w:rPr>
        <w:t xml:space="preserve">05.04.2013 № 44-ФЗ </w:t>
      </w:r>
      <w:r>
        <w:rPr>
          <w:rFonts w:ascii="Times New Roman" w:hAnsi="Times New Roman"/>
          <w:bCs/>
          <w:sz w:val="20"/>
          <w:szCs w:val="20"/>
          <w:lang w:eastAsia="zh-CN"/>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0"/>
          <w:szCs w:val="20"/>
          <w:lang w:eastAsia="zh-CN"/>
        </w:rPr>
        <w:t>.</w:t>
      </w:r>
    </w:p>
    <w:p>
      <w:pPr>
        <w:pStyle w:val="Normal"/>
        <w:tabs>
          <w:tab w:val="clear" w:pos="708"/>
          <w:tab w:val="left" w:pos="1418" w:leader="none"/>
        </w:tabs>
        <w:spacing w:lineRule="auto" w:line="240" w:before="0" w:after="0"/>
        <w:contextualSpacing/>
        <w:jc w:val="both"/>
        <w:rPr>
          <w:rFonts w:ascii="Times New Roman" w:hAnsi="Times New Roman"/>
          <w:sz w:val="20"/>
          <w:szCs w:val="20"/>
        </w:rPr>
      </w:pPr>
      <w:r>
        <w:rPr>
          <w:rFonts w:ascii="Times New Roman" w:hAnsi="Times New Roman"/>
          <w:sz w:val="20"/>
          <w:szCs w:val="20"/>
          <w:lang w:eastAsia="zh-CN"/>
        </w:rPr>
        <w:t xml:space="preserve">8.2. </w:t>
      </w:r>
      <w:r>
        <w:rPr>
          <w:rFonts w:ascii="Times New Roman" w:hAnsi="Times New Roman"/>
          <w:spacing w:val="-1"/>
          <w:sz w:val="20"/>
          <w:szCs w:val="20"/>
          <w:lang w:eastAsia="zh-CN"/>
        </w:rPr>
        <w:t xml:space="preserve">Любые изменения и дополнения к настоящему Контракту имеют силу только в том случае, если </w:t>
      </w:r>
      <w:r>
        <w:rPr>
          <w:rFonts w:ascii="Times New Roman" w:hAnsi="Times New Roman"/>
          <w:sz w:val="20"/>
          <w:szCs w:val="20"/>
          <w:lang w:eastAsia="zh-CN"/>
        </w:rPr>
        <w:t>они оформлены в письменном виде и подписаны обеими Сторонами.</w:t>
      </w:r>
    </w:p>
    <w:p>
      <w:pPr>
        <w:pStyle w:val="Normal"/>
        <w:tabs>
          <w:tab w:val="clear" w:pos="708"/>
          <w:tab w:val="left" w:pos="1418" w:leader="none"/>
        </w:tabs>
        <w:spacing w:lineRule="auto" w:line="240" w:before="0" w:after="0"/>
        <w:contextualSpacing/>
        <w:jc w:val="both"/>
        <w:rPr>
          <w:rFonts w:ascii="Times New Roman" w:hAnsi="Times New Roman"/>
          <w:sz w:val="20"/>
          <w:szCs w:val="20"/>
        </w:rPr>
      </w:pPr>
      <w:r>
        <w:rPr>
          <w:rFonts w:ascii="Times New Roman" w:hAnsi="Times New Roman"/>
          <w:sz w:val="20"/>
          <w:szCs w:val="20"/>
          <w:lang w:eastAsia="zh-CN"/>
        </w:rPr>
        <w:t>8.3.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РФ и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Normal"/>
        <w:tabs>
          <w:tab w:val="clear" w:pos="708"/>
          <w:tab w:val="left" w:pos="1418" w:leader="none"/>
        </w:tabs>
        <w:spacing w:lineRule="auto" w:line="240" w:before="0" w:after="0"/>
        <w:contextualSpacing/>
        <w:jc w:val="both"/>
        <w:rPr>
          <w:rFonts w:ascii="Times New Roman" w:hAnsi="Times New Roman"/>
          <w:sz w:val="20"/>
          <w:szCs w:val="20"/>
        </w:rPr>
      </w:pPr>
      <w:r>
        <w:rPr>
          <w:rFonts w:ascii="Times New Roman" w:hAnsi="Times New Roman"/>
          <w:sz w:val="20"/>
          <w:szCs w:val="20"/>
          <w:lang w:eastAsia="zh-CN"/>
        </w:rPr>
        <w:t>8.4. Стороны обязаны урегулировать все вопросы по взаимным расчетам до момента расторжения настоящего Контракта по соглашению Сторон.</w:t>
      </w:r>
    </w:p>
    <w:p>
      <w:pPr>
        <w:pStyle w:val="Normal"/>
        <w:tabs>
          <w:tab w:val="clear" w:pos="708"/>
          <w:tab w:val="left" w:pos="1418" w:leader="none"/>
        </w:tabs>
        <w:spacing w:lineRule="auto" w:line="240" w:before="0" w:after="0"/>
        <w:contextualSpacing/>
        <w:jc w:val="both"/>
        <w:rPr>
          <w:rFonts w:ascii="Times New Roman" w:hAnsi="Times New Roman"/>
          <w:sz w:val="20"/>
          <w:szCs w:val="20"/>
          <w:lang w:eastAsia="zh-CN"/>
        </w:rPr>
      </w:pPr>
      <w:r>
        <w:rPr>
          <w:rFonts w:ascii="Times New Roman" w:hAnsi="Times New Roman"/>
          <w:sz w:val="20"/>
          <w:szCs w:val="20"/>
          <w:lang w:eastAsia="zh-CN"/>
        </w:rPr>
      </w:r>
    </w:p>
    <w:p>
      <w:pPr>
        <w:pStyle w:val="Normal"/>
        <w:widowControl w:val="false"/>
        <w:numPr>
          <w:ilvl w:val="0"/>
          <w:numId w:val="0"/>
        </w:numPr>
        <w:spacing w:lineRule="auto" w:line="240" w:before="0" w:after="0"/>
        <w:ind w:hanging="425" w:start="1080"/>
        <w:jc w:val="center"/>
        <w:outlineLvl w:val="0"/>
        <w:rPr>
          <w:rFonts w:ascii="Times New Roman" w:hAnsi="Times New Roman"/>
          <w:sz w:val="20"/>
          <w:szCs w:val="20"/>
        </w:rPr>
      </w:pPr>
      <w:r>
        <w:rPr>
          <w:rFonts w:ascii="Times New Roman" w:hAnsi="Times New Roman"/>
          <w:b/>
          <w:sz w:val="20"/>
          <w:szCs w:val="20"/>
        </w:rPr>
        <w:t>9. ПОРЯДОК РАЗРЕШЕНИЯ СПОРОВ</w:t>
      </w:r>
    </w:p>
    <w:p>
      <w:pPr>
        <w:pStyle w:val="Normal"/>
        <w:numPr>
          <w:ilvl w:val="0"/>
          <w:numId w:val="0"/>
        </w:numPr>
        <w:spacing w:lineRule="auto" w:line="240" w:before="0" w:after="0"/>
        <w:contextualSpacing/>
        <w:jc w:val="both"/>
        <w:outlineLvl w:val="0"/>
        <w:rPr>
          <w:rFonts w:ascii="Times New Roman" w:hAnsi="Times New Roman"/>
          <w:sz w:val="20"/>
          <w:szCs w:val="20"/>
        </w:rPr>
      </w:pPr>
      <w:r>
        <w:rPr>
          <w:rFonts w:ascii="Times New Roman" w:hAnsi="Times New Roman"/>
          <w:sz w:val="20"/>
          <w:szCs w:val="20"/>
        </w:rPr>
        <w:t>9.1. Спорные вопросы, возникающие в ходе исполнения настоящего Контракта, разрешаются между Сторонами с соблюдением претензионного порядка. Срок ответа на претензию – 10 (десяти) рабочих дней со дня получения претензии. Дата отсчета начинается с даты на почтовом штемпеле, свидетельствующем о поступлении претензии в почтовое отделение стороны, направившей требование.</w:t>
      </w:r>
    </w:p>
    <w:p>
      <w:pPr>
        <w:pStyle w:val="Normal"/>
        <w:numPr>
          <w:ilvl w:val="0"/>
          <w:numId w:val="0"/>
        </w:numPr>
        <w:spacing w:lineRule="auto" w:line="240" w:before="0" w:after="0"/>
        <w:contextualSpacing/>
        <w:jc w:val="both"/>
        <w:outlineLvl w:val="0"/>
        <w:rPr>
          <w:rFonts w:ascii="Times New Roman" w:hAnsi="Times New Roman"/>
          <w:sz w:val="20"/>
          <w:szCs w:val="20"/>
        </w:rPr>
      </w:pPr>
      <w:r>
        <w:rPr>
          <w:rFonts w:ascii="Times New Roman" w:hAnsi="Times New Roman"/>
          <w:sz w:val="20"/>
          <w:szCs w:val="20"/>
        </w:rPr>
        <w:t>9.2. Споры, по которым Стороны не достигли соглашения, рассматриваются в Арбитражном суде г. Санкт-Петербурга и Ленинградской области.</w:t>
      </w:r>
    </w:p>
    <w:p>
      <w:pPr>
        <w:pStyle w:val="Normal"/>
        <w:numPr>
          <w:ilvl w:val="0"/>
          <w:numId w:val="0"/>
        </w:numPr>
        <w:spacing w:lineRule="auto" w:line="240" w:before="0" w:after="0"/>
        <w:contextualSpacing/>
        <w:jc w:val="both"/>
        <w:outlineLvl w:val="0"/>
        <w:rPr>
          <w:rFonts w:ascii="Times New Roman" w:hAnsi="Times New Roman"/>
          <w:sz w:val="20"/>
          <w:szCs w:val="20"/>
        </w:rPr>
      </w:pPr>
      <w:r>
        <w:rPr>
          <w:rFonts w:ascii="Times New Roman" w:hAnsi="Times New Roman"/>
          <w:sz w:val="20"/>
          <w:szCs w:val="20"/>
        </w:rPr>
      </w:r>
    </w:p>
    <w:p>
      <w:pPr>
        <w:pStyle w:val="Normal"/>
        <w:widowControl w:val="false"/>
        <w:numPr>
          <w:ilvl w:val="0"/>
          <w:numId w:val="0"/>
        </w:numPr>
        <w:spacing w:lineRule="auto" w:line="240" w:before="0" w:after="0"/>
        <w:ind w:hanging="425" w:start="1080"/>
        <w:jc w:val="center"/>
        <w:outlineLvl w:val="0"/>
        <w:rPr>
          <w:rFonts w:ascii="Times New Roman" w:hAnsi="Times New Roman"/>
          <w:sz w:val="20"/>
          <w:szCs w:val="20"/>
        </w:rPr>
      </w:pPr>
      <w:r>
        <w:rPr>
          <w:rFonts w:ascii="Times New Roman" w:hAnsi="Times New Roman"/>
          <w:b/>
          <w:sz w:val="20"/>
          <w:szCs w:val="20"/>
        </w:rPr>
        <w:t>10. ЗАКЛЮЧИТЕЛЬНЫЕ ПОЛОЖЕНИЯ</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 xml:space="preserve">10.1. При исполнении настоящего Контракта не допускается перемена </w:t>
      </w:r>
      <w:r>
        <w:rPr>
          <w:rFonts w:ascii="Times New Roman" w:hAnsi="Times New Roman"/>
          <w:sz w:val="20"/>
          <w:szCs w:val="20"/>
          <w:lang w:eastAsia="zh-CN"/>
        </w:rPr>
        <w:t>Исполнителя,</w:t>
      </w:r>
      <w:r>
        <w:rPr>
          <w:rFonts w:ascii="Times New Roman" w:hAnsi="Times New Roman"/>
          <w:sz w:val="20"/>
          <w:szCs w:val="20"/>
        </w:rPr>
        <w:t xml:space="preserve"> за исключением случаев, если новый </w:t>
      </w:r>
      <w:r>
        <w:rPr>
          <w:rFonts w:ascii="Times New Roman" w:hAnsi="Times New Roman"/>
          <w:sz w:val="20"/>
          <w:szCs w:val="20"/>
          <w:lang w:eastAsia="zh-CN"/>
        </w:rPr>
        <w:t>Исполнитель</w:t>
      </w:r>
      <w:r>
        <w:rPr>
          <w:rFonts w:ascii="Times New Roman" w:hAnsi="Times New Roman"/>
          <w:sz w:val="20"/>
          <w:szCs w:val="20"/>
        </w:rPr>
        <w:t xml:space="preserve"> является правопреемником </w:t>
      </w:r>
      <w:r>
        <w:rPr>
          <w:rFonts w:ascii="Times New Roman" w:hAnsi="Times New Roman"/>
          <w:sz w:val="20"/>
          <w:szCs w:val="20"/>
          <w:lang w:eastAsia="zh-CN"/>
        </w:rPr>
        <w:t>Исполнителя</w:t>
      </w:r>
      <w:r>
        <w:rPr>
          <w:rFonts w:ascii="Times New Roman" w:hAnsi="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10.2. Любое уведомление или иное сообщение, направляемое Заказчиком или Исполнителем друг другу по настоящему Контракту,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под расписку, заказным письмом или телеграммой по адресу, указанному в Контракте и за подписью полномочного лица. Срок рассмотрения претензии определяется:</w:t>
      </w:r>
    </w:p>
    <w:p>
      <w:pPr>
        <w:pStyle w:val="Normal"/>
        <w:numPr>
          <w:ilvl w:val="0"/>
          <w:numId w:val="1"/>
        </w:numPr>
        <w:tabs>
          <w:tab w:val="clear" w:pos="708"/>
          <w:tab w:val="left" w:pos="0" w:leader="none"/>
        </w:tabs>
        <w:spacing w:lineRule="auto" w:line="240" w:before="0" w:after="0"/>
        <w:contextualSpacing/>
        <w:jc w:val="both"/>
        <w:rPr>
          <w:rFonts w:ascii="Times New Roman" w:hAnsi="Times New Roman"/>
          <w:sz w:val="20"/>
          <w:szCs w:val="20"/>
        </w:rPr>
      </w:pPr>
      <w:r>
        <w:rPr>
          <w:rFonts w:ascii="Times New Roman" w:hAnsi="Times New Roman"/>
          <w:sz w:val="20"/>
          <w:szCs w:val="20"/>
        </w:rPr>
        <w:t>со дня вручения под подпись, под входящий номер,</w:t>
      </w:r>
    </w:p>
    <w:p>
      <w:pPr>
        <w:pStyle w:val="Normal"/>
        <w:numPr>
          <w:ilvl w:val="0"/>
          <w:numId w:val="1"/>
        </w:numPr>
        <w:tabs>
          <w:tab w:val="clear" w:pos="708"/>
          <w:tab w:val="left" w:pos="0" w:leader="none"/>
        </w:tabs>
        <w:spacing w:lineRule="auto" w:line="240" w:before="0" w:after="0"/>
        <w:contextualSpacing/>
        <w:jc w:val="both"/>
        <w:rPr>
          <w:rFonts w:ascii="Times New Roman" w:hAnsi="Times New Roman"/>
          <w:sz w:val="20"/>
          <w:szCs w:val="20"/>
        </w:rPr>
      </w:pPr>
      <w:r>
        <w:rPr>
          <w:rFonts w:ascii="Times New Roman" w:hAnsi="Times New Roman"/>
          <w:sz w:val="20"/>
          <w:szCs w:val="20"/>
        </w:rPr>
        <w:t>с момента регистрации в системе электронного документооборота,</w:t>
      </w:r>
    </w:p>
    <w:p>
      <w:pPr>
        <w:pStyle w:val="Normal"/>
        <w:numPr>
          <w:ilvl w:val="0"/>
          <w:numId w:val="1"/>
        </w:numPr>
        <w:tabs>
          <w:tab w:val="clear" w:pos="708"/>
          <w:tab w:val="left" w:pos="0" w:leader="none"/>
        </w:tabs>
        <w:spacing w:lineRule="auto" w:line="240" w:before="0" w:after="0"/>
        <w:contextualSpacing/>
        <w:jc w:val="both"/>
        <w:rPr>
          <w:rFonts w:ascii="Times New Roman" w:hAnsi="Times New Roman"/>
          <w:sz w:val="20"/>
          <w:szCs w:val="20"/>
        </w:rPr>
      </w:pPr>
      <w:r>
        <w:rPr>
          <w:rFonts w:ascii="Times New Roman" w:hAnsi="Times New Roman"/>
          <w:sz w:val="20"/>
          <w:szCs w:val="20"/>
        </w:rPr>
        <w:t>со дня вручения заказного письма или получения его в отделении почты,</w:t>
      </w:r>
    </w:p>
    <w:p>
      <w:pPr>
        <w:pStyle w:val="Normal"/>
        <w:numPr>
          <w:ilvl w:val="0"/>
          <w:numId w:val="1"/>
        </w:numPr>
        <w:tabs>
          <w:tab w:val="clear" w:pos="708"/>
          <w:tab w:val="left" w:pos="0" w:leader="none"/>
        </w:tabs>
        <w:spacing w:lineRule="auto" w:line="240" w:before="0" w:after="0"/>
        <w:contextualSpacing/>
        <w:jc w:val="both"/>
        <w:rPr>
          <w:rFonts w:ascii="Times New Roman" w:hAnsi="Times New Roman"/>
          <w:sz w:val="20"/>
          <w:szCs w:val="20"/>
        </w:rPr>
      </w:pPr>
      <w:r>
        <w:rPr>
          <w:rFonts w:ascii="Times New Roman" w:hAnsi="Times New Roman"/>
          <w:sz w:val="20"/>
          <w:szCs w:val="20"/>
        </w:rPr>
        <w:t>со дня отказа от получения письма (эта дата подтверждается актом).</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Срок ответа на претензию – 10 (Десять) дней с момента ее получения.</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10.3. Уведомления и сообщения, отсылаемые по почте, направляются на адрес Стороны, указанный в настоящем Контракте, либо по месту нахождения, указанному в ЕГРЮЛ.</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10.4. В случае перемены Заказчика, права и обязанности Заказчика, предусмотренные настоящим Контрактом, переходят к новому Заказчику.</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10.5. Во всем ином, не урегулированном в настоящем Контракте, Стороны будут руководствоваться нормами законодательства Российской Федерации.</w:t>
      </w:r>
    </w:p>
    <w:p>
      <w:pPr>
        <w:pStyle w:val="Normal"/>
        <w:spacing w:lineRule="auto" w:line="240" w:before="0" w:after="0"/>
        <w:jc w:val="both"/>
        <w:rPr>
          <w:rFonts w:ascii="Times New Roman" w:hAnsi="Times New Roman"/>
          <w:sz w:val="20"/>
          <w:szCs w:val="20"/>
        </w:rPr>
      </w:pPr>
      <w:r>
        <w:rPr>
          <w:rFonts w:ascii="Times New Roman" w:hAnsi="Times New Roman"/>
          <w:sz w:val="20"/>
          <w:szCs w:val="20"/>
        </w:rPr>
        <w:t>10.6. Стороны обязуются сохранять конфиденциальную информацию, полученную при выполнении настоящего Контракта. Исполнитель обязуется принять все необходимые меры по обеспечению конфиденциальности полученных в процессе выполнения работ результатов, носящих конфиденциальный характер, включая охрану документации и материалов, ограничение круга лиц, допущенных к информации, заключение соглашений о конфиденциальности с лицами, допущенными к конфиденциальной информации.</w:t>
      </w:r>
    </w:p>
    <w:p>
      <w:pPr>
        <w:pStyle w:val="Normal"/>
        <w:spacing w:lineRule="auto" w:line="240" w:before="0" w:after="0"/>
        <w:jc w:val="both"/>
        <w:rPr>
          <w:rFonts w:ascii="Times New Roman" w:hAnsi="Times New Roman"/>
          <w:sz w:val="20"/>
          <w:szCs w:val="20"/>
        </w:rPr>
      </w:pPr>
      <w:r>
        <w:rPr>
          <w:rFonts w:ascii="Times New Roman" w:hAnsi="Times New Roman"/>
          <w:sz w:val="20"/>
          <w:szCs w:val="20"/>
        </w:rPr>
        <w:t xml:space="preserve">10.7. </w:t>
      </w:r>
      <w:r>
        <w:rPr>
          <w:rFonts w:ascii="Times New Roman" w:hAnsi="Times New Roman"/>
          <w:color w:val="000000"/>
          <w:sz w:val="20"/>
          <w:szCs w:val="20"/>
        </w:rPr>
        <w:t xml:space="preserve">Сторона, нарушившая антикоррупционные требования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w:t>
      </w:r>
      <w:r>
        <w:rPr>
          <w:rFonts w:ascii="Times New Roman" w:hAnsi="Times New Roman"/>
          <w:color w:val="000000"/>
          <w:sz w:val="20"/>
          <w:szCs w:val="20"/>
        </w:rPr>
        <w:t>Контракт</w:t>
      </w:r>
      <w:r>
        <w:rPr>
          <w:rFonts w:ascii="Times New Roman" w:hAnsi="Times New Roman"/>
          <w:color w:val="000000"/>
          <w:sz w:val="20"/>
          <w:szCs w:val="20"/>
        </w:rPr>
        <w:t>ом.</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10.8. Настоящий Контракт заключен на электронной площадке (подписан квалифицированной электронной подписью с двух сторон), составлен в бумажном виде в 2-х экземплярах, идентичных по своему содержанию, один из которых передается Исполнителю, один - хранится у Заказчика.</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t>Приложение: техническое задание (Приложение №1).</w:t>
      </w:r>
    </w:p>
    <w:p>
      <w:pPr>
        <w:pStyle w:val="Normal"/>
        <w:spacing w:lineRule="auto" w:line="240" w:before="0" w:after="0"/>
        <w:contextualSpacing/>
        <w:jc w:val="both"/>
        <w:rPr>
          <w:rFonts w:ascii="Times New Roman" w:hAnsi="Times New Roman"/>
          <w:sz w:val="20"/>
          <w:szCs w:val="20"/>
        </w:rPr>
      </w:pPr>
      <w:r>
        <w:rPr>
          <w:rFonts w:ascii="Times New Roman" w:hAnsi="Times New Roman"/>
          <w:sz w:val="20"/>
          <w:szCs w:val="20"/>
        </w:rPr>
      </w:r>
    </w:p>
    <w:p>
      <w:pPr>
        <w:pStyle w:val="Normal"/>
        <w:widowControl w:val="false"/>
        <w:spacing w:lineRule="auto" w:line="240" w:before="0" w:after="0"/>
        <w:jc w:val="both"/>
        <w:rPr>
          <w:rFonts w:ascii="Times New Roman" w:hAnsi="Times New Roman"/>
          <w:sz w:val="20"/>
          <w:szCs w:val="20"/>
        </w:rPr>
      </w:pPr>
      <w:r>
        <w:rPr>
          <w:rFonts w:ascii="Times New Roman" w:hAnsi="Times New Roman"/>
          <w:b/>
          <w:sz w:val="20"/>
          <w:szCs w:val="20"/>
        </w:rPr>
        <w:t>11.</w:t>
        <w:tab/>
        <w:t>АДРЕСА, РЕКВИЗИТЫ И ПОДПИСИ СТОРОН</w:t>
      </w:r>
    </w:p>
    <w:tbl>
      <w:tblPr>
        <w:tblW w:w="9345"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590"/>
        <w:gridCol w:w="4755"/>
      </w:tblGrid>
      <w:tr>
        <w:trPr/>
        <w:tc>
          <w:tcPr>
            <w:tcW w:w="4590"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240" w:before="0" w:after="0"/>
              <w:jc w:val="both"/>
              <w:rPr>
                <w:rFonts w:ascii="Times New Roman" w:hAnsi="Times New Roman"/>
                <w:sz w:val="20"/>
                <w:szCs w:val="20"/>
              </w:rPr>
            </w:pPr>
            <w:r>
              <w:rPr>
                <w:rFonts w:ascii="Times New Roman" w:hAnsi="Times New Roman"/>
                <w:b/>
                <w:sz w:val="20"/>
                <w:szCs w:val="20"/>
              </w:rPr>
              <w:t>Заказчик:</w:t>
            </w:r>
          </w:p>
        </w:tc>
        <w:tc>
          <w:tcPr>
            <w:tcW w:w="4755"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240" w:before="0" w:after="0"/>
              <w:jc w:val="both"/>
              <w:rPr>
                <w:rFonts w:ascii="Times New Roman" w:hAnsi="Times New Roman"/>
                <w:sz w:val="20"/>
                <w:szCs w:val="20"/>
              </w:rPr>
            </w:pPr>
            <w:r>
              <w:rPr>
                <w:rFonts w:ascii="Times New Roman" w:hAnsi="Times New Roman"/>
                <w:b/>
                <w:sz w:val="20"/>
                <w:szCs w:val="20"/>
                <w:shd w:fill="FFFFFF" w:val="clear"/>
              </w:rPr>
              <w:t>Исполнитель</w:t>
            </w:r>
            <w:r>
              <w:rPr>
                <w:rFonts w:ascii="Times New Roman" w:hAnsi="Times New Roman"/>
                <w:sz w:val="20"/>
                <w:szCs w:val="20"/>
                <w:shd w:fill="FFFFFF" w:val="clear"/>
              </w:rPr>
              <w:t>:</w:t>
            </w:r>
          </w:p>
        </w:tc>
      </w:tr>
      <w:tr>
        <w:trPr/>
        <w:tc>
          <w:tcPr>
            <w:tcW w:w="4590"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240" w:before="0" w:after="0"/>
              <w:jc w:val="both"/>
              <w:rPr>
                <w:rFonts w:ascii="Times New Roman" w:hAnsi="Times New Roman"/>
                <w:sz w:val="20"/>
                <w:szCs w:val="20"/>
              </w:rPr>
            </w:pPr>
            <w:r>
              <w:rPr>
                <w:rFonts w:ascii="Times New Roman" w:hAnsi="Times New Roman"/>
                <w:b/>
                <w:sz w:val="20"/>
                <w:szCs w:val="20"/>
              </w:rPr>
              <w:t>Сяськелевское территориальное управление Гатчинского муниципального округа Ленинградской области</w:t>
            </w:r>
          </w:p>
        </w:tc>
        <w:tc>
          <w:tcPr>
            <w:tcW w:w="4755"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r>
          </w:p>
        </w:tc>
      </w:tr>
      <w:tr>
        <w:trPr>
          <w:trHeight w:val="728" w:hRule="atLeast"/>
        </w:trPr>
        <w:tc>
          <w:tcPr>
            <w:tcW w:w="4590"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188358, Ленинградская обл., Гатчинский</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м.о.,  д. Сяськелево, ул. Центральная, дом 12-а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Факс – 8(813-71) 67-067</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Телефон – 67-067, 67-071</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адрес электронной почты: syaskelevo@</w:t>
            </w:r>
            <w:r>
              <w:rPr>
                <w:rFonts w:ascii="Times New Roman" w:hAnsi="Times New Roman"/>
                <w:sz w:val="20"/>
                <w:szCs w:val="20"/>
                <w:lang w:val="en-US"/>
              </w:rPr>
              <w:t>gmolo</w:t>
            </w:r>
            <w:r>
              <w:rPr>
                <w:rFonts w:ascii="Times New Roman" w:hAnsi="Times New Roman"/>
                <w:sz w:val="20"/>
                <w:szCs w:val="20"/>
              </w:rPr>
              <w:t>.ru</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ИНН  4705121837    КПП  470501001</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ОКПО  93883179     ОКТМО 41518000</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ОГРН-1244700034930</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Плательщик:</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Комитет финансов Гатчинского муниципального округа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(Сяськелевское территориальное управление, л/сч 01732</w:t>
            </w:r>
            <w:r>
              <w:rPr>
                <w:rFonts w:ascii="Times New Roman" w:hAnsi="Times New Roman"/>
                <w:sz w:val="20"/>
                <w:szCs w:val="20"/>
                <w:lang w:val="en-US"/>
              </w:rPr>
              <w:t>D</w:t>
            </w:r>
            <w:r>
              <w:rPr>
                <w:rFonts w:ascii="Times New Roman" w:hAnsi="Times New Roman"/>
                <w:sz w:val="20"/>
                <w:szCs w:val="20"/>
              </w:rPr>
              <w:t>06060)</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б/сч 03231643415180004500</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Единый лицевой счет: 02453</w:t>
            </w:r>
            <w:r>
              <w:rPr>
                <w:rFonts w:ascii="Times New Roman" w:hAnsi="Times New Roman"/>
                <w:sz w:val="20"/>
                <w:szCs w:val="20"/>
                <w:lang w:val="en-US"/>
              </w:rPr>
              <w:t>D</w:t>
            </w:r>
            <w:r>
              <w:rPr>
                <w:rFonts w:ascii="Times New Roman" w:hAnsi="Times New Roman"/>
                <w:sz w:val="20"/>
                <w:szCs w:val="20"/>
              </w:rPr>
              <w:t>06060</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ОКЦ №1 СЗГУ  БАНКА РОССИИ//УФК по Ленинградской области, г. Санкт-Петербург</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к/с 40102810745370000098</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БИК 044030098</w:t>
            </w:r>
          </w:p>
        </w:tc>
        <w:tc>
          <w:tcPr>
            <w:tcW w:w="4755"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240" w:before="0" w:after="0"/>
              <w:jc w:val="both"/>
              <w:rPr>
                <w:rFonts w:ascii="Times New Roman" w:hAnsi="Times New Roman"/>
                <w:sz w:val="20"/>
                <w:szCs w:val="20"/>
              </w:rPr>
            </w:pPr>
            <w:r>
              <w:rPr>
                <w:rFonts w:ascii="Times New Roman" w:hAnsi="Times New Roman"/>
                <w:color w:val="000000"/>
                <w:sz w:val="20"/>
                <w:szCs w:val="20"/>
                <w:shd w:fill="FFFFFF" w:val="clear"/>
              </w:rPr>
              <w:t>Юр. адрес:.</w:t>
            </w:r>
          </w:p>
          <w:p>
            <w:pPr>
              <w:pStyle w:val="Normal"/>
              <w:widowControl w:val="false"/>
              <w:spacing w:lineRule="auto" w:line="240" w:before="0" w:after="0"/>
              <w:jc w:val="both"/>
              <w:rPr>
                <w:rFonts w:ascii="Times New Roman" w:hAnsi="Times New Roman"/>
                <w:sz w:val="20"/>
                <w:szCs w:val="20"/>
              </w:rPr>
            </w:pPr>
            <w:r>
              <w:rPr>
                <w:rFonts w:ascii="Times New Roman" w:hAnsi="Times New Roman"/>
                <w:color w:val="000000"/>
                <w:sz w:val="20"/>
                <w:szCs w:val="20"/>
                <w:shd w:fill="FFFFFF" w:val="clear"/>
              </w:rPr>
              <w:t>Факт. адрес:</w:t>
            </w:r>
          </w:p>
          <w:p>
            <w:pPr>
              <w:pStyle w:val="Normal"/>
              <w:widowControl w:val="false"/>
              <w:spacing w:lineRule="auto" w:line="240" w:before="0" w:after="0"/>
              <w:jc w:val="both"/>
              <w:rPr>
                <w:rFonts w:ascii="Times New Roman" w:hAnsi="Times New Roman"/>
                <w:sz w:val="20"/>
                <w:szCs w:val="20"/>
              </w:rPr>
            </w:pPr>
            <w:r>
              <w:rPr>
                <w:rFonts w:ascii="Times New Roman" w:hAnsi="Times New Roman"/>
                <w:color w:val="000000"/>
                <w:sz w:val="20"/>
                <w:szCs w:val="20"/>
                <w:shd w:fill="FFFFFF" w:val="clear"/>
              </w:rPr>
              <w:t>Телефон:</w:t>
            </w:r>
          </w:p>
          <w:p>
            <w:pPr>
              <w:pStyle w:val="Normal"/>
              <w:widowControl w:val="false"/>
              <w:spacing w:lineRule="auto" w:line="240" w:before="0" w:after="0"/>
              <w:jc w:val="both"/>
              <w:rPr>
                <w:rFonts w:ascii="Times New Roman" w:hAnsi="Times New Roman"/>
                <w:sz w:val="20"/>
                <w:szCs w:val="20"/>
              </w:rPr>
            </w:pPr>
            <w:r>
              <w:rPr>
                <w:rFonts w:ascii="Times New Roman" w:hAnsi="Times New Roman"/>
                <w:color w:val="000000"/>
                <w:sz w:val="20"/>
                <w:szCs w:val="20"/>
                <w:shd w:fill="FFFFFF" w:val="clear"/>
              </w:rPr>
              <w:t xml:space="preserve"> </w:t>
            </w:r>
            <w:r>
              <w:rPr>
                <w:rFonts w:ascii="Times New Roman" w:hAnsi="Times New Roman"/>
                <w:color w:val="000000"/>
                <w:sz w:val="20"/>
                <w:szCs w:val="20"/>
                <w:shd w:fill="FFFFFF" w:val="clear"/>
              </w:rPr>
              <w:t>адрес электронной почты:</w:t>
            </w:r>
          </w:p>
          <w:p>
            <w:pPr>
              <w:pStyle w:val="Normal"/>
              <w:widowControl w:val="false"/>
              <w:spacing w:lineRule="auto" w:line="240" w:before="0" w:after="0"/>
              <w:jc w:val="both"/>
              <w:rPr>
                <w:rFonts w:ascii="Times New Roman" w:hAnsi="Times New Roman"/>
                <w:sz w:val="20"/>
                <w:szCs w:val="20"/>
              </w:rPr>
            </w:pPr>
            <w:r>
              <w:rPr>
                <w:rFonts w:ascii="Times New Roman" w:hAnsi="Times New Roman"/>
                <w:color w:val="000000"/>
                <w:sz w:val="20"/>
                <w:szCs w:val="20"/>
                <w:shd w:fill="FFFFFF" w:val="clear"/>
              </w:rPr>
              <w:t>ИНН                 КПП</w:t>
            </w:r>
          </w:p>
          <w:p>
            <w:pPr>
              <w:pStyle w:val="Normal"/>
              <w:widowControl w:val="false"/>
              <w:spacing w:lineRule="auto" w:line="240" w:before="0" w:after="0"/>
              <w:jc w:val="both"/>
              <w:rPr>
                <w:rFonts w:ascii="Times New Roman" w:hAnsi="Times New Roman"/>
                <w:sz w:val="20"/>
                <w:szCs w:val="20"/>
              </w:rPr>
            </w:pPr>
            <w:r>
              <w:rPr>
                <w:rFonts w:ascii="Times New Roman" w:hAnsi="Times New Roman"/>
                <w:color w:val="000000"/>
                <w:sz w:val="20"/>
                <w:szCs w:val="20"/>
                <w:shd w:fill="FFFFFF" w:val="clear"/>
              </w:rPr>
              <w:t>ОКПО          ОКТМО</w:t>
            </w:r>
          </w:p>
          <w:p>
            <w:pPr>
              <w:pStyle w:val="Normal"/>
              <w:widowControl w:val="false"/>
              <w:spacing w:lineRule="auto" w:line="240" w:before="0" w:after="0"/>
              <w:jc w:val="both"/>
              <w:rPr>
                <w:rFonts w:ascii="Times New Roman" w:hAnsi="Times New Roman"/>
                <w:sz w:val="20"/>
                <w:szCs w:val="20"/>
              </w:rPr>
            </w:pPr>
            <w:r>
              <w:rPr>
                <w:rFonts w:ascii="Times New Roman" w:hAnsi="Times New Roman"/>
                <w:color w:val="000000"/>
                <w:sz w:val="20"/>
                <w:szCs w:val="20"/>
                <w:shd w:fill="FFFFFF" w:val="clear"/>
              </w:rPr>
              <w:t>ОГРН</w:t>
            </w:r>
          </w:p>
          <w:p>
            <w:pPr>
              <w:pStyle w:val="Normal"/>
              <w:widowControl w:val="false"/>
              <w:spacing w:lineRule="auto" w:line="240" w:before="0" w:after="0"/>
              <w:jc w:val="both"/>
              <w:rPr>
                <w:rFonts w:ascii="Times New Roman" w:hAnsi="Times New Roman"/>
                <w:sz w:val="20"/>
                <w:szCs w:val="20"/>
                <w:shd w:fill="FFFFFF" w:val="clear"/>
              </w:rPr>
            </w:pPr>
            <w:r>
              <w:rPr>
                <w:rFonts w:ascii="Times New Roman" w:hAnsi="Times New Roman"/>
                <w:sz w:val="20"/>
                <w:szCs w:val="20"/>
                <w:shd w:fill="FFFFFF" w:val="clear"/>
              </w:rPr>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р/с</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к/с</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БИК</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r>
          </w:p>
          <w:p>
            <w:pPr>
              <w:pStyle w:val="Normal"/>
              <w:widowControl w:val="false"/>
              <w:spacing w:lineRule="auto" w:line="240" w:before="0" w:after="0"/>
              <w:jc w:val="both"/>
              <w:rPr>
                <w:rFonts w:ascii="Times New Roman" w:hAnsi="Times New Roman"/>
                <w:sz w:val="20"/>
                <w:szCs w:val="20"/>
                <w:shd w:fill="FFFFFF" w:val="clear"/>
              </w:rPr>
            </w:pPr>
            <w:r>
              <w:rPr>
                <w:rFonts w:ascii="Times New Roman" w:hAnsi="Times New Roman"/>
                <w:sz w:val="20"/>
                <w:szCs w:val="20"/>
                <w:shd w:fill="FFFFFF" w:val="clear"/>
              </w:rPr>
            </w:r>
          </w:p>
        </w:tc>
      </w:tr>
      <w:tr>
        <w:trPr/>
        <w:tc>
          <w:tcPr>
            <w:tcW w:w="4590"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240" w:before="0" w:after="0"/>
              <w:jc w:val="both"/>
              <w:rPr>
                <w:rFonts w:ascii="Times New Roman" w:hAnsi="Times New Roman"/>
                <w:sz w:val="20"/>
                <w:szCs w:val="20"/>
              </w:rPr>
            </w:pPr>
            <w:r>
              <w:rPr>
                <w:rFonts w:ascii="Times New Roman" w:hAnsi="Times New Roman"/>
                <w:b/>
                <w:sz w:val="20"/>
                <w:szCs w:val="20"/>
              </w:rPr>
              <w:t>Глава Сяськелевского территориального управления</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_____________________ /Е.Е. Федорова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(подпись ЭЦП)</w:t>
            </w:r>
          </w:p>
        </w:tc>
        <w:tc>
          <w:tcPr>
            <w:tcW w:w="4755" w:type="dxa"/>
            <w:tcBorders>
              <w:top w:val="single" w:sz="4" w:space="0" w:color="000000"/>
              <w:start w:val="single" w:sz="4" w:space="0" w:color="000000"/>
              <w:bottom w:val="single" w:sz="4" w:space="0" w:color="000000"/>
              <w:end w:val="single" w:sz="4" w:space="0" w:color="000000"/>
            </w:tcBorders>
          </w:tcPr>
          <w:p>
            <w:pPr>
              <w:pStyle w:val="Normal"/>
              <w:widowControl w:val="false"/>
              <w:spacing w:lineRule="auto" w:line="240" w:before="0" w:after="0"/>
              <w:jc w:val="both"/>
              <w:rPr>
                <w:rFonts w:ascii="Times New Roman" w:hAnsi="Times New Roman"/>
                <w:b/>
                <w:sz w:val="20"/>
                <w:szCs w:val="20"/>
              </w:rPr>
            </w:pPr>
            <w:r>
              <w:rPr>
                <w:rFonts w:ascii="Times New Roman" w:hAnsi="Times New Roman"/>
                <w:b/>
                <w:sz w:val="20"/>
                <w:szCs w:val="20"/>
              </w:rPr>
            </w:r>
          </w:p>
          <w:p>
            <w:pPr>
              <w:pStyle w:val="Normal"/>
              <w:widowControl w:val="false"/>
              <w:spacing w:lineRule="auto" w:line="240" w:before="0" w:after="0"/>
              <w:jc w:val="both"/>
              <w:rPr>
                <w:rFonts w:ascii="Times New Roman" w:hAnsi="Times New Roman"/>
                <w:b/>
                <w:sz w:val="20"/>
                <w:szCs w:val="20"/>
              </w:rPr>
            </w:pPr>
            <w:r>
              <w:rPr>
                <w:rFonts w:ascii="Times New Roman" w:hAnsi="Times New Roman"/>
                <w:b/>
                <w:sz w:val="20"/>
                <w:szCs w:val="20"/>
              </w:rPr>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rPr>
              <w:t>_____________________ /                      /</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lang w:eastAsia="zh-CN"/>
              </w:rPr>
              <w:t>(подпись ЭЦП)</w:t>
            </w:r>
          </w:p>
        </w:tc>
      </w:tr>
    </w:tbl>
    <w:p>
      <w:pPr>
        <w:pStyle w:val="Normal"/>
        <w:spacing w:lineRule="auto" w:line="240" w:before="0" w:after="0"/>
        <w:jc w:val="both"/>
        <w:rPr>
          <w:rFonts w:ascii="Times New Roman" w:hAnsi="Times New Roman"/>
          <w:sz w:val="20"/>
          <w:szCs w:val="20"/>
          <w:lang w:eastAsia="zh-CN"/>
        </w:rPr>
      </w:pPr>
      <w:r>
        <w:rPr>
          <w:rFonts w:ascii="Times New Roman" w:hAnsi="Times New Roman"/>
          <w:sz w:val="20"/>
          <w:szCs w:val="20"/>
          <w:lang w:eastAsia="zh-CN"/>
        </w:rPr>
      </w:r>
      <w:r>
        <w:br w:type="page"/>
      </w:r>
    </w:p>
    <w:p>
      <w:pPr>
        <w:pStyle w:val="Normal"/>
        <w:spacing w:lineRule="auto" w:line="240" w:before="0" w:after="0"/>
        <w:jc w:val="end"/>
        <w:rPr>
          <w:rFonts w:ascii="Times New Roman" w:hAnsi="Times New Roman"/>
          <w:sz w:val="20"/>
          <w:szCs w:val="20"/>
        </w:rPr>
      </w:pPr>
      <w:r>
        <w:rPr>
          <w:rFonts w:ascii="Times New Roman" w:hAnsi="Times New Roman"/>
          <w:sz w:val="20"/>
          <w:szCs w:val="20"/>
          <w:lang w:eastAsia="zh-CN"/>
        </w:rPr>
        <w:t>Приложение № 1</w:t>
      </w:r>
    </w:p>
    <w:p>
      <w:pPr>
        <w:pStyle w:val="Normal"/>
        <w:spacing w:lineRule="auto" w:line="240" w:before="0" w:after="0"/>
        <w:jc w:val="end"/>
        <w:rPr>
          <w:rFonts w:ascii="Times New Roman" w:hAnsi="Times New Roman"/>
          <w:sz w:val="20"/>
          <w:szCs w:val="20"/>
        </w:rPr>
      </w:pPr>
      <w:r>
        <w:rPr>
          <w:rFonts w:ascii="Times New Roman" w:hAnsi="Times New Roman"/>
          <w:sz w:val="20"/>
          <w:szCs w:val="20"/>
          <w:lang w:eastAsia="zh-CN"/>
        </w:rPr>
        <w:t>к муниципальному контракту № _____</w:t>
      </w:r>
    </w:p>
    <w:p>
      <w:pPr>
        <w:pStyle w:val="Normal"/>
        <w:spacing w:lineRule="auto" w:line="240" w:before="0" w:after="0"/>
        <w:jc w:val="end"/>
        <w:rPr>
          <w:rFonts w:ascii="Times New Roman" w:hAnsi="Times New Roman"/>
          <w:sz w:val="20"/>
          <w:szCs w:val="20"/>
        </w:rPr>
      </w:pPr>
      <w:r>
        <w:rPr>
          <w:rFonts w:ascii="Times New Roman" w:hAnsi="Times New Roman"/>
          <w:sz w:val="20"/>
          <w:szCs w:val="20"/>
          <w:lang w:eastAsia="zh-CN"/>
        </w:rPr>
        <w:t xml:space="preserve"> </w:t>
      </w:r>
      <w:r>
        <w:rPr>
          <w:rFonts w:ascii="Times New Roman" w:hAnsi="Times New Roman"/>
          <w:sz w:val="20"/>
          <w:szCs w:val="20"/>
          <w:lang w:eastAsia="zh-CN"/>
        </w:rPr>
        <w:t>от «___»  ________  2026</w:t>
      </w:r>
    </w:p>
    <w:p>
      <w:pPr>
        <w:pStyle w:val="Normal"/>
        <w:spacing w:lineRule="auto" w:line="240" w:before="0" w:after="0"/>
        <w:jc w:val="end"/>
        <w:rPr>
          <w:rFonts w:ascii="Times New Roman" w:hAnsi="Times New Roman"/>
          <w:b/>
          <w:bCs/>
          <w:iCs/>
          <w:sz w:val="20"/>
          <w:szCs w:val="20"/>
        </w:rPr>
      </w:pPr>
      <w:r>
        <w:rPr>
          <w:rFonts w:ascii="Times New Roman" w:hAnsi="Times New Roman"/>
          <w:b/>
          <w:bCs/>
          <w:iCs/>
          <w:sz w:val="20"/>
          <w:szCs w:val="20"/>
        </w:rPr>
      </w:r>
    </w:p>
    <w:p>
      <w:pPr>
        <w:pStyle w:val="Normal"/>
        <w:spacing w:lineRule="auto" w:line="240" w:before="0" w:after="0"/>
        <w:jc w:val="both"/>
        <w:rPr>
          <w:rFonts w:ascii="Times New Roman" w:hAnsi="Times New Roman"/>
          <w:b/>
          <w:bCs/>
          <w:iCs/>
          <w:sz w:val="20"/>
          <w:szCs w:val="20"/>
        </w:rPr>
      </w:pPr>
      <w:r>
        <w:rPr>
          <w:rFonts w:ascii="Times New Roman" w:hAnsi="Times New Roman"/>
          <w:b/>
          <w:bCs/>
          <w:iCs/>
          <w:sz w:val="20"/>
          <w:szCs w:val="20"/>
        </w:rPr>
      </w:r>
    </w:p>
    <w:p>
      <w:pPr>
        <w:pStyle w:val="Normal"/>
        <w:spacing w:lineRule="auto" w:line="240" w:before="0" w:after="0"/>
        <w:jc w:val="center"/>
        <w:rPr>
          <w:rFonts w:ascii="Times New Roman" w:hAnsi="Times New Roman"/>
          <w:sz w:val="20"/>
          <w:szCs w:val="20"/>
        </w:rPr>
      </w:pPr>
      <w:r>
        <w:rPr>
          <w:rFonts w:ascii="Times New Roman" w:hAnsi="Times New Roman"/>
          <w:b/>
          <w:bCs/>
          <w:iCs/>
          <w:sz w:val="20"/>
          <w:szCs w:val="20"/>
        </w:rPr>
        <w:t>ТЕХНИЧЕСКОЕ ЗАДАНИЕ</w:t>
      </w:r>
    </w:p>
    <w:p>
      <w:pPr>
        <w:pStyle w:val="Normal"/>
        <w:spacing w:before="0" w:after="0"/>
        <w:jc w:val="center"/>
        <w:rPr>
          <w:rFonts w:ascii="Times New Roman" w:hAnsi="Times New Roman"/>
          <w:sz w:val="20"/>
          <w:szCs w:val="20"/>
        </w:rPr>
      </w:pPr>
      <w:r>
        <w:rPr>
          <w:rFonts w:ascii="Times New Roman" w:hAnsi="Times New Roman"/>
          <w:b/>
          <w:sz w:val="20"/>
          <w:szCs w:val="20"/>
        </w:rPr>
        <w:t xml:space="preserve">На оказание услуг по строительному контролю и лабораторному контролю качества </w:t>
      </w:r>
    </w:p>
    <w:tbl>
      <w:tblPr>
        <w:tblStyle w:val="TableNormal"/>
        <w:tblW w:w="10349" w:type="dxa"/>
        <w:jc w:val="start"/>
        <w:tblInd w:w="-289" w:type="dxa"/>
        <w:tblLayout w:type="fixed"/>
        <w:tblCellMar>
          <w:top w:w="0" w:type="dxa"/>
          <w:start w:w="5" w:type="dxa"/>
          <w:bottom w:w="0" w:type="dxa"/>
          <w:end w:w="5" w:type="dxa"/>
        </w:tblCellMar>
        <w:tblLook w:val="01e0" w:firstRow="1" w:noVBand="0" w:lastRow="1" w:firstColumn="1" w:lastColumn="1" w:noHBand="0"/>
      </w:tblPr>
      <w:tblGrid>
        <w:gridCol w:w="568"/>
        <w:gridCol w:w="2410"/>
        <w:gridCol w:w="7371"/>
      </w:tblGrid>
      <w:tr>
        <w:trPr>
          <w:trHeight w:val="549" w:hRule="atLeast"/>
        </w:trPr>
        <w:tc>
          <w:tcPr>
            <w:tcW w:w="568" w:type="dxa"/>
            <w:tcBorders>
              <w:top w:val="single" w:sz="4" w:space="0" w:color="000000"/>
              <w:start w:val="single" w:sz="4" w:space="0" w:color="000000"/>
              <w:bottom w:val="single" w:sz="6" w:space="0" w:color="000000"/>
              <w:end w:val="single" w:sz="4" w:space="0" w:color="000000"/>
            </w:tcBorders>
          </w:tcPr>
          <w:p>
            <w:pPr>
              <w:pStyle w:val="TableParagraph"/>
              <w:suppressAutoHyphens w:val="false"/>
              <w:spacing w:before="19" w:after="0"/>
              <w:ind w:start="45"/>
              <w:jc w:val="both"/>
              <w:rPr>
                <w:rFonts w:ascii="Times New Roman" w:hAnsi="Times New Roman"/>
                <w:kern w:val="0"/>
                <w:sz w:val="20"/>
                <w:szCs w:val="20"/>
                <w:lang w:val="en-US"/>
              </w:rPr>
            </w:pPr>
            <w:r>
              <w:rPr>
                <w:rFonts w:ascii="Times New Roman" w:hAnsi="Times New Roman"/>
                <w:color w:themeColor="text1" w:val="000000"/>
                <w:w w:val="103"/>
                <w:kern w:val="0"/>
                <w:sz w:val="20"/>
                <w:szCs w:val="20"/>
                <w:lang w:val="en-US"/>
              </w:rPr>
              <w:t xml:space="preserve">№ </w:t>
            </w:r>
            <w:r>
              <w:rPr>
                <w:rFonts w:ascii="Times New Roman" w:hAnsi="Times New Roman"/>
                <w:color w:themeColor="text1" w:val="000000"/>
                <w:w w:val="103"/>
                <w:kern w:val="0"/>
                <w:sz w:val="20"/>
                <w:szCs w:val="20"/>
                <w:lang w:val="en-US"/>
              </w:rPr>
              <w:t>п/п</w:t>
            </w:r>
          </w:p>
        </w:tc>
        <w:tc>
          <w:tcPr>
            <w:tcW w:w="2410" w:type="dxa"/>
            <w:tcBorders>
              <w:top w:val="single" w:sz="4" w:space="0" w:color="000000"/>
              <w:start w:val="single" w:sz="4" w:space="0" w:color="000000"/>
              <w:bottom w:val="single" w:sz="6" w:space="0" w:color="000000"/>
              <w:end w:val="single" w:sz="4" w:space="0" w:color="000000"/>
            </w:tcBorders>
          </w:tcPr>
          <w:p>
            <w:pPr>
              <w:pStyle w:val="TableParagraph"/>
              <w:suppressAutoHyphens w:val="false"/>
              <w:spacing w:lineRule="atLeast" w:line="270" w:before="5" w:after="0"/>
              <w:ind w:start="227" w:end="43"/>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Перечень основных данных и требований</w:t>
            </w:r>
          </w:p>
        </w:tc>
        <w:tc>
          <w:tcPr>
            <w:tcW w:w="7371" w:type="dxa"/>
            <w:tcBorders>
              <w:top w:val="single" w:sz="4" w:space="0" w:color="000000"/>
              <w:start w:val="single" w:sz="4" w:space="0" w:color="000000"/>
              <w:bottom w:val="single" w:sz="6" w:space="0" w:color="000000"/>
              <w:end w:val="single" w:sz="4" w:space="0" w:color="000000"/>
            </w:tcBorders>
          </w:tcPr>
          <w:p>
            <w:pPr>
              <w:pStyle w:val="TableParagraph"/>
              <w:suppressAutoHyphens w:val="false"/>
              <w:spacing w:before="11" w:after="0"/>
              <w:ind w:start="1995"/>
              <w:jc w:val="both"/>
              <w:rPr>
                <w:rFonts w:ascii="Times New Roman" w:hAnsi="Times New Roman"/>
                <w:kern w:val="0"/>
                <w:sz w:val="20"/>
                <w:szCs w:val="20"/>
                <w:lang w:val="en-US"/>
              </w:rPr>
            </w:pPr>
            <w:r>
              <w:rPr>
                <w:rFonts w:ascii="Times New Roman" w:hAnsi="Times New Roman"/>
                <w:color w:themeColor="text1" w:val="000000"/>
                <w:kern w:val="0"/>
                <w:sz w:val="20"/>
                <w:szCs w:val="20"/>
                <w:lang w:val="en-US"/>
              </w:rPr>
              <w:t>Содержание данных и требований</w:t>
            </w:r>
          </w:p>
        </w:tc>
      </w:tr>
      <w:tr>
        <w:trPr>
          <w:trHeight w:val="2682" w:hRule="atLeast"/>
        </w:trPr>
        <w:tc>
          <w:tcPr>
            <w:tcW w:w="568"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20" w:after="0"/>
              <w:ind w:start="27"/>
              <w:jc w:val="both"/>
              <w:rPr>
                <w:rFonts w:ascii="Times New Roman" w:hAnsi="Times New Roman"/>
                <w:kern w:val="0"/>
                <w:sz w:val="20"/>
                <w:szCs w:val="20"/>
                <w:lang w:val="en-US"/>
              </w:rPr>
            </w:pPr>
            <w:r>
              <w:rPr>
                <w:rFonts w:ascii="Times New Roman" w:hAnsi="Times New Roman"/>
                <w:color w:themeColor="text1" w:val="000000"/>
                <w:w w:val="110"/>
                <w:kern w:val="0"/>
                <w:sz w:val="20"/>
                <w:szCs w:val="20"/>
                <w:lang w:val="en-US"/>
              </w:rPr>
              <w:t>1.</w:t>
            </w:r>
          </w:p>
        </w:tc>
        <w:tc>
          <w:tcPr>
            <w:tcW w:w="2410"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11" w:after="0"/>
              <w:ind w:start="105"/>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en-US"/>
              </w:rPr>
              <w:t>Цель и вид услуг</w:t>
            </w:r>
          </w:p>
        </w:tc>
        <w:tc>
          <w:tcPr>
            <w:tcW w:w="7371" w:type="dxa"/>
            <w:tcBorders>
              <w:top w:val="single" w:sz="4" w:space="0" w:color="000000"/>
              <w:start w:val="single" w:sz="4" w:space="0" w:color="000000"/>
              <w:bottom w:val="single" w:sz="4" w:space="0" w:color="000000"/>
              <w:end w:val="single" w:sz="4" w:space="0" w:color="000000"/>
            </w:tcBorders>
          </w:tcPr>
          <w:p>
            <w:pPr>
              <w:pStyle w:val="NoSpacing"/>
              <w:widowControl/>
              <w:numPr>
                <w:ilvl w:val="1"/>
                <w:numId w:val="11"/>
              </w:numPr>
              <w:spacing w:before="0" w:after="0"/>
              <w:ind w:firstLine="1" w:start="141"/>
              <w:jc w:val="both"/>
              <w:rPr>
                <w:rFonts w:ascii="Times New Roman" w:hAnsi="Times New Roman" w:eastAsia="Calibri" w:cs=""/>
                <w:kern w:val="0"/>
                <w:sz w:val="20"/>
                <w:szCs w:val="20"/>
                <w:lang w:val="en-US" w:eastAsia="en-US" w:bidi="ar-SA"/>
              </w:rPr>
            </w:pPr>
            <w:r>
              <w:rPr>
                <w:rFonts w:eastAsia="Calibri" w:cs="Times New Roman" w:ascii="Times New Roman" w:hAnsi="Times New Roman"/>
                <w:color w:themeColor="text1" w:val="000000"/>
                <w:w w:val="105"/>
                <w:kern w:val="0"/>
                <w:sz w:val="20"/>
                <w:szCs w:val="20"/>
                <w:lang w:val="ru-RU" w:eastAsia="en-US" w:bidi="ar-SA"/>
              </w:rPr>
              <w:t>С</w:t>
            </w:r>
            <w:r>
              <w:rPr>
                <w:rFonts w:eastAsia="Calibri" w:cs="Times New Roman" w:ascii="Times New Roman" w:hAnsi="Times New Roman"/>
                <w:kern w:val="0"/>
                <w:sz w:val="20"/>
                <w:szCs w:val="20"/>
                <w:lang w:val="ru-RU" w:eastAsia="en-US" w:bidi="ar-SA"/>
              </w:rPr>
              <w:t xml:space="preserve"> целью строительного контроля и лабораторного контроля качества и объема</w:t>
            </w:r>
            <w:r>
              <w:rPr>
                <w:rFonts w:eastAsia="Calibri" w:cs="Times New Roman" w:ascii="Times New Roman" w:hAnsi="Times New Roman"/>
                <w:color w:themeColor="text1" w:val="000000"/>
                <w:w w:val="105"/>
                <w:kern w:val="0"/>
                <w:sz w:val="20"/>
                <w:szCs w:val="20"/>
                <w:lang w:val="ru-RU" w:eastAsia="en-US" w:bidi="ar-SA"/>
              </w:rPr>
              <w:t>, Исполнитель осуществляет п</w:t>
            </w:r>
            <w:r>
              <w:rPr>
                <w:rFonts w:eastAsia="Calibri" w:cs="Times New Roman" w:ascii="Times New Roman" w:hAnsi="Times New Roman"/>
                <w:color w:themeColor="text1" w:val="000000"/>
                <w:kern w:val="0"/>
                <w:sz w:val="20"/>
                <w:szCs w:val="20"/>
                <w:lang w:val="ru-RU" w:eastAsia="en-US" w:bidi="ar-SA"/>
              </w:rPr>
              <w:t>роверку выполнения работ лицом, осуществляющим работы:</w:t>
            </w:r>
          </w:p>
          <w:p>
            <w:pPr>
              <w:pStyle w:val="NoSpacing"/>
              <w:widowControl/>
              <w:spacing w:before="0" w:after="0"/>
              <w:ind w:firstLine="360"/>
              <w:jc w:val="both"/>
              <w:rPr>
                <w:rFonts w:ascii="Times New Roman" w:hAnsi="Times New Roman" w:eastAsia="Calibri" w:cs=""/>
                <w:kern w:val="0"/>
                <w:sz w:val="20"/>
                <w:szCs w:val="20"/>
                <w:lang w:val="en-US" w:eastAsia="en-US" w:bidi="ar-SA"/>
              </w:rPr>
            </w:pPr>
            <w:r>
              <w:rPr>
                <w:rFonts w:eastAsia="Times New Roman" w:cs="" w:ascii="Times New Roman" w:hAnsi="Times New Roman"/>
                <w:kern w:val="0"/>
                <w:sz w:val="20"/>
                <w:szCs w:val="20"/>
                <w:lang w:val="ru-RU" w:eastAsia="ru-RU" w:bidi="ar-SA"/>
              </w:rPr>
              <w:t>-Ремонт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w:t>
            </w:r>
            <w:r>
              <w:rPr>
                <w:rFonts w:eastAsia="Calibri" w:cs="Times New Roman" w:ascii="Times New Roman" w:hAnsi="Times New Roman"/>
                <w:color w:themeColor="text1" w:val="000000"/>
                <w:spacing w:val="-4"/>
                <w:kern w:val="0"/>
                <w:sz w:val="20"/>
                <w:szCs w:val="20"/>
                <w:lang w:val="ru-RU" w:eastAsia="en-US" w:bidi="ar-SA"/>
              </w:rPr>
              <w:t xml:space="preserve">на соответствие требованиям законодательства, действующего на территории Российской Федерации, действующих правовых технических норм, сводов правил (далее – </w:t>
            </w:r>
            <w:r>
              <w:rPr>
                <w:rFonts w:eastAsia="Calibri" w:cs="Times New Roman" w:ascii="Times New Roman" w:hAnsi="Times New Roman"/>
                <w:bCs/>
                <w:color w:themeColor="text1" w:val="000000"/>
                <w:spacing w:val="-4"/>
                <w:kern w:val="0"/>
                <w:sz w:val="20"/>
                <w:szCs w:val="20"/>
                <w:lang w:val="ru-RU" w:eastAsia="en-US" w:bidi="ar-SA"/>
              </w:rPr>
              <w:t>«СП»</w:t>
            </w:r>
            <w:r>
              <w:rPr>
                <w:rFonts w:eastAsia="Calibri" w:cs="Times New Roman" w:ascii="Times New Roman" w:hAnsi="Times New Roman"/>
                <w:color w:themeColor="text1" w:val="000000"/>
                <w:spacing w:val="-4"/>
                <w:kern w:val="0"/>
                <w:sz w:val="20"/>
                <w:szCs w:val="20"/>
                <w:lang w:val="ru-RU" w:eastAsia="en-US" w:bidi="ar-SA"/>
              </w:rPr>
              <w:t xml:space="preserve">), строительных норм и правил (далее – </w:t>
            </w:r>
            <w:r>
              <w:rPr>
                <w:rFonts w:eastAsia="Calibri" w:cs="Times New Roman" w:ascii="Times New Roman" w:hAnsi="Times New Roman"/>
                <w:bCs/>
                <w:color w:themeColor="text1" w:val="000000"/>
                <w:spacing w:val="-4"/>
                <w:kern w:val="0"/>
                <w:sz w:val="20"/>
                <w:szCs w:val="20"/>
                <w:lang w:val="ru-RU" w:eastAsia="en-US" w:bidi="ar-SA"/>
              </w:rPr>
              <w:t>«СНиП»</w:t>
            </w:r>
            <w:r>
              <w:rPr>
                <w:rFonts w:eastAsia="Calibri" w:cs="Times New Roman" w:ascii="Times New Roman" w:hAnsi="Times New Roman"/>
                <w:color w:themeColor="text1" w:val="000000"/>
                <w:spacing w:val="-4"/>
                <w:kern w:val="0"/>
                <w:sz w:val="20"/>
                <w:szCs w:val="20"/>
                <w:lang w:val="ru-RU" w:eastAsia="en-US" w:bidi="ar-SA"/>
              </w:rPr>
              <w:t xml:space="preserve">), государственных стандартов (далее – </w:t>
            </w:r>
            <w:r>
              <w:rPr>
                <w:rFonts w:eastAsia="Calibri" w:cs="Times New Roman" w:ascii="Times New Roman" w:hAnsi="Times New Roman"/>
                <w:bCs/>
                <w:color w:themeColor="text1" w:val="000000"/>
                <w:spacing w:val="-4"/>
                <w:kern w:val="0"/>
                <w:sz w:val="20"/>
                <w:szCs w:val="20"/>
                <w:lang w:val="ru-RU" w:eastAsia="en-US" w:bidi="ar-SA"/>
              </w:rPr>
              <w:t>«ГОСТ»</w:t>
            </w:r>
            <w:r>
              <w:rPr>
                <w:rFonts w:eastAsia="Calibri" w:cs="Times New Roman" w:ascii="Times New Roman" w:hAnsi="Times New Roman"/>
                <w:color w:themeColor="text1" w:val="000000"/>
                <w:spacing w:val="-4"/>
                <w:kern w:val="0"/>
                <w:sz w:val="20"/>
                <w:szCs w:val="20"/>
                <w:lang w:val="ru-RU" w:eastAsia="en-US" w:bidi="ar-SA"/>
              </w:rPr>
              <w:t xml:space="preserve">), технических условий (далее – </w:t>
            </w:r>
            <w:r>
              <w:rPr>
                <w:rFonts w:eastAsia="Calibri" w:cs="Times New Roman" w:ascii="Times New Roman" w:hAnsi="Times New Roman"/>
                <w:bCs/>
                <w:color w:themeColor="text1" w:val="000000"/>
                <w:spacing w:val="-4"/>
                <w:kern w:val="0"/>
                <w:sz w:val="20"/>
                <w:szCs w:val="20"/>
                <w:lang w:val="ru-RU" w:eastAsia="en-US" w:bidi="ar-SA"/>
              </w:rPr>
              <w:t>«ТУ»</w:t>
            </w:r>
            <w:r>
              <w:rPr>
                <w:rFonts w:eastAsia="Calibri" w:cs="Times New Roman" w:ascii="Times New Roman" w:hAnsi="Times New Roman"/>
                <w:color w:themeColor="text1" w:val="000000"/>
                <w:spacing w:val="-4"/>
                <w:kern w:val="0"/>
                <w:sz w:val="20"/>
                <w:szCs w:val="20"/>
                <w:lang w:val="ru-RU" w:eastAsia="en-US" w:bidi="ar-SA"/>
              </w:rPr>
              <w:t xml:space="preserve">), ведомственных строительных норм (далее – </w:t>
            </w:r>
            <w:r>
              <w:rPr>
                <w:rFonts w:eastAsia="Calibri" w:cs="Times New Roman" w:ascii="Times New Roman" w:hAnsi="Times New Roman"/>
                <w:bCs/>
                <w:color w:themeColor="text1" w:val="000000"/>
                <w:spacing w:val="-4"/>
                <w:kern w:val="0"/>
                <w:sz w:val="20"/>
                <w:szCs w:val="20"/>
                <w:lang w:val="ru-RU" w:eastAsia="en-US" w:bidi="ar-SA"/>
              </w:rPr>
              <w:t>«ВСН»</w:t>
            </w:r>
            <w:r>
              <w:rPr>
                <w:rFonts w:eastAsia="Calibri" w:cs="Times New Roman" w:ascii="Times New Roman" w:hAnsi="Times New Roman"/>
                <w:color w:themeColor="text1" w:val="000000"/>
                <w:spacing w:val="-4"/>
                <w:kern w:val="0"/>
                <w:sz w:val="20"/>
                <w:szCs w:val="20"/>
                <w:lang w:val="ru-RU" w:eastAsia="en-US" w:bidi="ar-SA"/>
              </w:rPr>
              <w:t xml:space="preserve">),  а также на соответствие требованиям </w:t>
            </w:r>
            <w:r>
              <w:rPr>
                <w:rFonts w:eastAsia="Calibri" w:cs="Times New Roman" w:ascii="Times New Roman" w:hAnsi="Times New Roman"/>
                <w:bCs/>
                <w:color w:themeColor="text1" w:val="000000"/>
                <w:spacing w:val="-4"/>
                <w:kern w:val="0"/>
                <w:sz w:val="20"/>
                <w:szCs w:val="20"/>
                <w:lang w:val="ru-RU" w:eastAsia="en-US" w:bidi="ar-SA"/>
              </w:rPr>
              <w:t xml:space="preserve">Проектной документации </w:t>
            </w:r>
            <w:r>
              <w:rPr>
                <w:rFonts w:eastAsia="Calibri" w:cs="Times New Roman" w:ascii="Times New Roman" w:hAnsi="Times New Roman"/>
                <w:color w:themeColor="text1" w:val="000000"/>
                <w:spacing w:val="-4"/>
                <w:kern w:val="0"/>
                <w:sz w:val="20"/>
                <w:szCs w:val="20"/>
                <w:lang w:val="ru-RU" w:eastAsia="en-US" w:bidi="ar-SA"/>
              </w:rPr>
              <w:t>по объекту, в которую входят локальные сметные расчеты (сметы), ведомости объемов работ, рабочая документация</w:t>
            </w:r>
            <w:r>
              <w:rPr>
                <w:rFonts w:eastAsia="Calibri" w:cs="Times New Roman" w:ascii="Times New Roman" w:hAnsi="Times New Roman"/>
                <w:color w:themeColor="text1" w:val="000000"/>
                <w:kern w:val="0"/>
                <w:sz w:val="20"/>
                <w:szCs w:val="20"/>
                <w:lang w:val="ru-RU" w:eastAsia="en-US" w:bidi="ar-SA"/>
              </w:rPr>
              <w:t>.</w:t>
            </w:r>
          </w:p>
          <w:p>
            <w:pPr>
              <w:pStyle w:val="NoSpacing"/>
              <w:widowControl/>
              <w:numPr>
                <w:ilvl w:val="1"/>
                <w:numId w:val="5"/>
              </w:numPr>
              <w:spacing w:before="0" w:after="0"/>
              <w:ind w:firstLine="1" w:start="141"/>
              <w:jc w:val="both"/>
              <w:rPr>
                <w:rFonts w:ascii="Times New Roman" w:hAnsi="Times New Roman" w:eastAsia="Calibri" w:cs=""/>
                <w:kern w:val="0"/>
                <w:sz w:val="20"/>
                <w:szCs w:val="20"/>
                <w:lang w:val="en-US" w:eastAsia="en-US" w:bidi="ar-SA"/>
              </w:rPr>
            </w:pPr>
            <w:r>
              <w:rPr>
                <w:rFonts w:eastAsia="Calibri" w:cs="Times New Roman" w:ascii="Times New Roman" w:hAnsi="Times New Roman"/>
                <w:color w:themeColor="text1" w:val="000000"/>
                <w:kern w:val="0"/>
                <w:sz w:val="20"/>
                <w:szCs w:val="20"/>
                <w:lang w:val="ru-RU" w:eastAsia="en-US" w:bidi="ar-SA"/>
              </w:rPr>
              <w:t xml:space="preserve">Контроль соответствия объемов выполненных работ объемам, предусмотренных </w:t>
            </w:r>
            <w:r>
              <w:rPr>
                <w:rFonts w:eastAsia="Calibri" w:cs="Times New Roman" w:ascii="Times New Roman" w:hAnsi="Times New Roman"/>
                <w:bCs/>
                <w:color w:themeColor="text1" w:val="000000"/>
                <w:kern w:val="0"/>
                <w:sz w:val="20"/>
                <w:szCs w:val="20"/>
                <w:lang w:val="ru-RU" w:eastAsia="en-US" w:bidi="ar-SA"/>
              </w:rPr>
              <w:t>ведомостями объемов работ</w:t>
            </w:r>
            <w:r>
              <w:rPr>
                <w:rFonts w:eastAsia="Calibri" w:cs="Times New Roman" w:ascii="Times New Roman" w:hAnsi="Times New Roman"/>
                <w:color w:themeColor="text1" w:val="000000"/>
                <w:kern w:val="0"/>
                <w:sz w:val="20"/>
                <w:szCs w:val="20"/>
                <w:lang w:val="ru-RU" w:eastAsia="en-US" w:bidi="ar-SA"/>
              </w:rPr>
              <w:t xml:space="preserve"> по объекту.</w:t>
            </w:r>
          </w:p>
          <w:p>
            <w:pPr>
              <w:pStyle w:val="TableParagraph"/>
              <w:numPr>
                <w:ilvl w:val="1"/>
                <w:numId w:val="5"/>
              </w:numPr>
              <w:suppressAutoHyphens w:val="false"/>
              <w:spacing w:lineRule="auto" w:line="252" w:before="6" w:after="0"/>
              <w:ind w:firstLine="1" w:start="141" w:end="78"/>
              <w:jc w:val="both"/>
              <w:rPr>
                <w:rFonts w:ascii="Times New Roman" w:hAnsi="Times New Roman"/>
                <w:kern w:val="0"/>
                <w:sz w:val="20"/>
                <w:szCs w:val="20"/>
                <w:lang w:val="en-US"/>
              </w:rPr>
            </w:pPr>
            <w:r>
              <w:rPr>
                <w:rFonts w:eastAsia="SimSun" w:ascii="Times New Roman" w:hAnsi="Times New Roman"/>
                <w:color w:themeColor="text1" w:val="000000"/>
                <w:kern w:val="0"/>
                <w:sz w:val="20"/>
                <w:szCs w:val="20"/>
                <w:shd w:fill="FFFFFF" w:val="clear"/>
                <w:lang w:val="ru-RU" w:eastAsia="ar-SA"/>
              </w:rPr>
              <w:t>Недопущение приемки работ, выполненных с нарушением вышеуказанных требований.</w:t>
            </w:r>
          </w:p>
        </w:tc>
      </w:tr>
      <w:tr>
        <w:trPr>
          <w:trHeight w:val="586" w:hRule="atLeast"/>
        </w:trPr>
        <w:tc>
          <w:tcPr>
            <w:tcW w:w="568"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24" w:after="0"/>
              <w:ind w:start="110" w:end="90"/>
              <w:jc w:val="both"/>
              <w:rPr>
                <w:rFonts w:ascii="Times New Roman" w:hAnsi="Times New Roman"/>
                <w:kern w:val="0"/>
                <w:sz w:val="20"/>
                <w:szCs w:val="20"/>
                <w:lang w:val="en-US"/>
              </w:rPr>
            </w:pPr>
            <w:r>
              <w:rPr>
                <w:rFonts w:ascii="Times New Roman" w:hAnsi="Times New Roman"/>
                <w:color w:themeColor="text1" w:val="000000"/>
                <w:kern w:val="0"/>
                <w:sz w:val="20"/>
                <w:szCs w:val="20"/>
                <w:lang w:val="en-US"/>
              </w:rPr>
              <w:t>2.</w:t>
            </w:r>
          </w:p>
        </w:tc>
        <w:tc>
          <w:tcPr>
            <w:tcW w:w="2410"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lineRule="auto" w:line="245" w:before="1" w:after="0"/>
              <w:ind w:firstLine="4" w:start="10" w:end="91"/>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 xml:space="preserve">Состав услуг по </w:t>
            </w:r>
            <w:r>
              <w:rPr>
                <w:rFonts w:ascii="Times New Roman" w:hAnsi="Times New Roman"/>
                <w:color w:themeColor="text1" w:val="000000"/>
                <w:kern w:val="0"/>
                <w:sz w:val="20"/>
                <w:szCs w:val="20"/>
                <w:lang w:val="ru-RU"/>
              </w:rPr>
              <w:t xml:space="preserve">осуществлению </w:t>
            </w:r>
            <w:r>
              <w:rPr>
                <w:rFonts w:ascii="Times New Roman" w:hAnsi="Times New Roman"/>
                <w:color w:themeColor="text1" w:val="000000"/>
                <w:w w:val="105"/>
                <w:kern w:val="0"/>
                <w:sz w:val="20"/>
                <w:szCs w:val="20"/>
                <w:lang w:val="ru-RU"/>
              </w:rPr>
              <w:t>строительного контроля</w:t>
            </w:r>
          </w:p>
        </w:tc>
        <w:tc>
          <w:tcPr>
            <w:tcW w:w="7371"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lineRule="auto" w:line="242" w:before="0" w:after="0"/>
              <w:ind w:firstLine="1" w:start="141" w:end="97"/>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2.1. Проверка Исполнителем полноты и соблюдения установленных сроков выполнения Подрядчиком входного контроля и достоверности документирования его результатов.</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При этом проверка качества приборов, строительных материалов, изделий, конструкций и оборудования, поставленных для выполнения работ на объекте (далее соответственно - продукция, входной  контроль) -  при  каждой  поставке. Входной  контроль при каждой поставке материалов осуществляется Исполнителем с фиксацией в журнале «Входной учёт и контроль качества получаемых деталей, материалов, конструкций и оборудования».</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2.2. Контроль соответствия объемов выполненных строительно-монтажных работ объемам, заложенным в сметной документации.</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2.3. Контроль исполнения Подрядчиком сроков производства работ.</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 xml:space="preserve">2.4. Контроль качества строительно-монтажных работ, в том числе </w:t>
            </w:r>
            <w:r>
              <w:rPr>
                <w:rFonts w:ascii="Times New Roman" w:hAnsi="Times New Roman"/>
                <w:color w:themeColor="text1" w:val="000000"/>
                <w:kern w:val="0"/>
                <w:sz w:val="20"/>
                <w:szCs w:val="20"/>
                <w:lang w:val="ru-RU"/>
              </w:rPr>
              <w:t>контроль соответствия выполняемых строительно-монтажных работ утвержденной сметной документации, контроль за соблюдением технологических регламентов.</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2.5.</w:t>
              <w:tab/>
              <w:t>Приемочный контроль работ, подписание актов освидетельствования скрытых работ - при каждой скрытой работе.</w:t>
            </w:r>
          </w:p>
          <w:p>
            <w:pPr>
              <w:pStyle w:val="TableParagraph"/>
              <w:suppressAutoHyphens w:val="false"/>
              <w:spacing w:lineRule="exact" w:line="256" w:before="0" w:after="0"/>
              <w:ind w:start="141"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2.6.</w:t>
              <w:tab/>
              <w:t>Контроль над полнотой и правильностью оформления исполнительной документации, журнала производства работ.</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2.7.</w:t>
              <w:tab/>
              <w:t>Участие во всех технических и организационных совещаниях в рамках исполнения контракта между Заказчиком и Подрядчиком.</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2.8.</w:t>
              <w:tab/>
              <w:t>Предоставление Заказчику оперативной информации о любых факторах, которые могут повлиять на установленные контрактом сроки выполнения работ Подрядчиком.</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2.9.</w:t>
              <w:tab/>
              <w:t>Участие в работе рабочих и приемочных комиссий.</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2.10.</w:t>
              <w:tab/>
              <w:t>Выезд на пооперационную приемку - по мере готовности, не позднее 2 (двух) рабочих дней с момента получения уведомления от Подрядчика (по телефонограмме/ по электронной почте).</w:t>
            </w:r>
          </w:p>
          <w:p>
            <w:pPr>
              <w:pStyle w:val="TableParagraph"/>
              <w:suppressAutoHyphens w:val="false"/>
              <w:spacing w:lineRule="exact" w:line="256" w:before="0" w:after="0"/>
              <w:ind w:firstLine="1" w:start="141"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2.11.</w:t>
              <w:tab/>
              <w:t xml:space="preserve">Иные мероприятия в целях осуществления строительного контроля, предусмотренные законодательством Российской Федерации и (или) заключенным </w:t>
            </w:r>
            <w:r>
              <w:rPr>
                <w:rFonts w:ascii="Times New Roman" w:hAnsi="Times New Roman"/>
                <w:color w:themeColor="text1" w:val="000000"/>
                <w:kern w:val="0"/>
                <w:sz w:val="20"/>
                <w:szCs w:val="20"/>
                <w:lang w:val="ru-RU"/>
              </w:rPr>
              <w:t>Контракт</w:t>
            </w:r>
            <w:r>
              <w:rPr>
                <w:rFonts w:ascii="Times New Roman" w:hAnsi="Times New Roman"/>
                <w:color w:themeColor="text1" w:val="000000"/>
                <w:kern w:val="0"/>
                <w:sz w:val="20"/>
                <w:szCs w:val="20"/>
                <w:lang w:val="ru-RU"/>
              </w:rPr>
              <w:t>ом.</w:t>
            </w:r>
          </w:p>
        </w:tc>
      </w:tr>
      <w:tr>
        <w:trPr>
          <w:trHeight w:val="557" w:hRule="atLeast"/>
        </w:trPr>
        <w:tc>
          <w:tcPr>
            <w:tcW w:w="568"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24" w:after="0"/>
              <w:ind w:start="110" w:end="90"/>
              <w:jc w:val="both"/>
              <w:rPr>
                <w:rFonts w:ascii="Times New Roman" w:hAnsi="Times New Roman"/>
                <w:kern w:val="0"/>
                <w:sz w:val="20"/>
                <w:szCs w:val="20"/>
                <w:lang w:val="en-US"/>
              </w:rPr>
            </w:pPr>
            <w:r>
              <w:rPr>
                <w:rFonts w:ascii="Times New Roman" w:hAnsi="Times New Roman"/>
                <w:color w:themeColor="text1" w:val="000000"/>
                <w:w w:val="107"/>
                <w:kern w:val="0"/>
                <w:sz w:val="20"/>
                <w:szCs w:val="20"/>
                <w:lang w:val="en-US"/>
              </w:rPr>
              <w:t>3.</w:t>
            </w:r>
          </w:p>
        </w:tc>
        <w:tc>
          <w:tcPr>
            <w:tcW w:w="2410"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lineRule="auto" w:line="245" w:before="1" w:after="0"/>
              <w:ind w:start="142" w:end="91"/>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Общие требования к оказанию услуг</w:t>
            </w:r>
          </w:p>
        </w:tc>
        <w:tc>
          <w:tcPr>
            <w:tcW w:w="7371"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lineRule="exact" w:line="256" w:before="109" w:after="0"/>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3.1. Соответствие оказываемых услуг действующему законодательству, в том числе:</w:t>
            </w:r>
          </w:p>
          <w:p>
            <w:pPr>
              <w:pStyle w:val="Normal"/>
              <w:widowControl w:val="false"/>
              <w:tabs>
                <w:tab w:val="clear" w:pos="708"/>
                <w:tab w:val="left" w:pos="644" w:leader="none"/>
              </w:tabs>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color w:themeColor="text1" w:val="000000"/>
                <w:kern w:val="0"/>
                <w:sz w:val="20"/>
                <w:szCs w:val="20"/>
                <w:lang w:val="ru-RU" w:bidi="ru-RU"/>
              </w:rPr>
              <w:t xml:space="preserve">Федеральному закону от 05 апреля 2013 г. </w:t>
            </w:r>
            <w:r>
              <w:rPr>
                <w:rFonts w:ascii="Times New Roman" w:hAnsi="Times New Roman"/>
                <w:color w:themeColor="text1" w:val="000000"/>
                <w:kern w:val="0"/>
                <w:sz w:val="20"/>
                <w:szCs w:val="20"/>
                <w:lang w:val="en-US" w:bidi="ru-RU"/>
              </w:rPr>
              <w:t>N</w:t>
            </w:r>
            <w:r>
              <w:rPr>
                <w:rFonts w:ascii="Times New Roman" w:hAnsi="Times New Roman"/>
                <w:color w:themeColor="text1" w:val="000000"/>
                <w:kern w:val="0"/>
                <w:sz w:val="20"/>
                <w:szCs w:val="20"/>
                <w:lang w:val="ru-RU" w:bidi="ru-RU"/>
              </w:rPr>
              <w:t xml:space="preserve"> 44-ФЗ "О контрактной системе в сфере закупок товаров, работ, услуг для обеспечения государственных и муниципальных нужд" (с изменениями и дополнениями</w:t>
            </w:r>
          </w:p>
          <w:p>
            <w:pPr>
              <w:pStyle w:val="TableParagraph"/>
              <w:suppressAutoHyphens w:val="false"/>
              <w:spacing w:lineRule="exact" w:line="256"/>
              <w:ind w:start="0"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 xml:space="preserve">Федеральному закону от 30 декабря 2009 г. </w:t>
            </w:r>
            <w:r>
              <w:rPr>
                <w:rFonts w:ascii="Times New Roman" w:hAnsi="Times New Roman"/>
                <w:color w:themeColor="text1" w:val="000000"/>
                <w:kern w:val="0"/>
                <w:sz w:val="20"/>
                <w:szCs w:val="20"/>
                <w:lang w:val="en-US"/>
              </w:rPr>
              <w:t>N</w:t>
            </w:r>
            <w:r>
              <w:rPr>
                <w:rFonts w:ascii="Times New Roman" w:hAnsi="Times New Roman"/>
                <w:color w:themeColor="text1" w:val="000000"/>
                <w:kern w:val="0"/>
                <w:sz w:val="20"/>
                <w:szCs w:val="20"/>
                <w:lang w:val="ru-RU"/>
              </w:rPr>
              <w:t xml:space="preserve"> 384-ФЗ «Технический регламент о безопасности зданий и сооружений»;</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 xml:space="preserve">Федеральному закону от 27 декабря 2002 г. </w:t>
            </w:r>
            <w:r>
              <w:rPr>
                <w:rFonts w:ascii="Times New Roman" w:hAnsi="Times New Roman"/>
                <w:color w:themeColor="text1" w:val="000000"/>
                <w:kern w:val="0"/>
                <w:sz w:val="20"/>
                <w:szCs w:val="20"/>
                <w:lang w:val="en-US"/>
              </w:rPr>
              <w:t>N</w:t>
            </w:r>
            <w:r>
              <w:rPr>
                <w:rFonts w:ascii="Times New Roman" w:hAnsi="Times New Roman"/>
                <w:color w:themeColor="text1" w:val="000000"/>
                <w:kern w:val="0"/>
                <w:sz w:val="20"/>
                <w:szCs w:val="20"/>
                <w:lang w:val="ru-RU"/>
              </w:rPr>
              <w:t xml:space="preserve"> 184-ФЗ «О техническом регулировании»;</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 xml:space="preserve">Федеральному закону от 29 декабря 2004 г. </w:t>
            </w:r>
            <w:r>
              <w:rPr>
                <w:rFonts w:ascii="Times New Roman" w:hAnsi="Times New Roman"/>
                <w:color w:themeColor="text1" w:val="000000"/>
                <w:kern w:val="0"/>
                <w:sz w:val="20"/>
                <w:szCs w:val="20"/>
                <w:lang w:val="en-US"/>
              </w:rPr>
              <w:t>N</w:t>
            </w:r>
            <w:r>
              <w:rPr>
                <w:rFonts w:ascii="Times New Roman" w:hAnsi="Times New Roman"/>
                <w:color w:themeColor="text1" w:val="000000"/>
                <w:kern w:val="0"/>
                <w:sz w:val="20"/>
                <w:szCs w:val="20"/>
                <w:lang w:val="ru-RU"/>
              </w:rPr>
              <w:t xml:space="preserve"> 190-ФЗ «Градостроительный кодекс Российской Федерации»;</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 xml:space="preserve">Федеральному закону от 22 июля 2008 г. </w:t>
            </w:r>
            <w:r>
              <w:rPr>
                <w:rFonts w:ascii="Times New Roman" w:hAnsi="Times New Roman"/>
                <w:color w:themeColor="text1" w:val="000000"/>
                <w:kern w:val="0"/>
                <w:sz w:val="20"/>
                <w:szCs w:val="20"/>
                <w:lang w:val="en-US"/>
              </w:rPr>
              <w:t>N</w:t>
            </w:r>
            <w:r>
              <w:rPr>
                <w:rFonts w:ascii="Times New Roman" w:hAnsi="Times New Roman"/>
                <w:color w:themeColor="text1" w:val="000000"/>
                <w:kern w:val="0"/>
                <w:sz w:val="20"/>
                <w:szCs w:val="20"/>
                <w:lang w:val="ru-RU"/>
              </w:rPr>
              <w:t xml:space="preserve"> 123-ФЗ «Технический регламент о требованиях пожарной безопасности»;</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 xml:space="preserve">Постановлению Правительства РФ от 28 мая 2021 г. </w:t>
            </w:r>
            <w:r>
              <w:rPr>
                <w:rFonts w:ascii="Times New Roman" w:hAnsi="Times New Roman"/>
                <w:color w:themeColor="text1" w:val="000000"/>
                <w:kern w:val="0"/>
                <w:sz w:val="20"/>
                <w:szCs w:val="20"/>
                <w:lang w:val="en-US"/>
              </w:rPr>
              <w:t>N</w:t>
            </w:r>
            <w:r>
              <w:rPr>
                <w:rFonts w:ascii="Times New Roman" w:hAnsi="Times New Roman"/>
                <w:color w:themeColor="text1" w:val="000000"/>
                <w:kern w:val="0"/>
                <w:sz w:val="20"/>
                <w:szCs w:val="20"/>
                <w:lang w:val="ru-RU"/>
              </w:rPr>
              <w:t xml:space="preserve">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w:t>
            </w:r>
            <w:r>
              <w:rPr>
                <w:rFonts w:ascii="Times New Roman" w:hAnsi="Times New Roman"/>
                <w:color w:themeColor="text1" w:val="000000"/>
                <w:kern w:val="0"/>
                <w:sz w:val="20"/>
                <w:szCs w:val="20"/>
                <w:lang w:val="en-US"/>
              </w:rPr>
              <w:t>N</w:t>
            </w:r>
            <w:r>
              <w:rPr>
                <w:rFonts w:ascii="Times New Roman" w:hAnsi="Times New Roman"/>
                <w:color w:themeColor="text1" w:val="000000"/>
                <w:kern w:val="0"/>
                <w:sz w:val="20"/>
                <w:szCs w:val="20"/>
                <w:lang w:val="ru-RU"/>
              </w:rPr>
              <w:t xml:space="preserve"> 985»;</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 xml:space="preserve">Постановлению Правительства РФ от 16.09.2020 г. </w:t>
            </w:r>
            <w:r>
              <w:rPr>
                <w:rFonts w:ascii="Times New Roman" w:hAnsi="Times New Roman"/>
                <w:color w:themeColor="text1" w:val="000000"/>
                <w:kern w:val="0"/>
                <w:sz w:val="20"/>
                <w:szCs w:val="20"/>
                <w:lang w:val="en-US"/>
              </w:rPr>
              <w:t>N</w:t>
            </w:r>
            <w:r>
              <w:rPr>
                <w:rFonts w:ascii="Times New Roman" w:hAnsi="Times New Roman"/>
                <w:color w:themeColor="text1" w:val="000000"/>
                <w:kern w:val="0"/>
                <w:sz w:val="20"/>
                <w:szCs w:val="20"/>
                <w:lang w:val="ru-RU"/>
              </w:rPr>
              <w:t xml:space="preserve"> 1479 «Об утверждении Правил противопожарного режима в Российской Федерации»;</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ГОСТ Р 59638-2021</w:t>
              <w:tab/>
              <w:t>«Национальный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 работоспособность»;</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СНиП 12-04-2002 «Безопасность труда в строительстве. Часть 2. Строительное производство»;</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СП 485.1311500-2020 «Свод правил. Системы противопожарной защиты. Установки пожаротушения автоматические. Нормы и правила проектирования»;</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w:t>
            </w:r>
          </w:p>
          <w:p>
            <w:pPr>
              <w:pStyle w:val="TableParagraph"/>
              <w:suppressAutoHyphens w:val="false"/>
              <w:spacing w:lineRule="auto" w:line="276"/>
              <w:ind w:start="142"/>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 xml:space="preserve">Постановлению Правительства РФ от 21 июня 2010 г. </w:t>
            </w:r>
            <w:r>
              <w:rPr>
                <w:rFonts w:ascii="Times New Roman" w:hAnsi="Times New Roman"/>
                <w:color w:themeColor="text1" w:val="000000"/>
                <w:kern w:val="0"/>
                <w:sz w:val="20"/>
                <w:szCs w:val="20"/>
                <w:lang w:val="en-US"/>
              </w:rPr>
              <w:t>N</w:t>
            </w:r>
            <w:r>
              <w:rPr>
                <w:rFonts w:ascii="Times New Roman" w:hAnsi="Times New Roman"/>
                <w:color w:themeColor="text1" w:val="000000"/>
                <w:kern w:val="0"/>
                <w:sz w:val="20"/>
                <w:szCs w:val="20"/>
                <w:lang w:val="ru-RU"/>
              </w:rPr>
              <w:t xml:space="preserve">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pPr>
              <w:pStyle w:val="TableParagraph"/>
              <w:suppressAutoHyphens w:val="false"/>
              <w:spacing w:lineRule="exact" w:line="256"/>
              <w:ind w:start="95"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 xml:space="preserve">СП 49.13330.2012 «Безопасность труда в строительстве. </w:t>
            </w:r>
            <w:r>
              <w:rPr>
                <w:rFonts w:ascii="Times New Roman" w:hAnsi="Times New Roman"/>
                <w:color w:themeColor="text1" w:val="000000"/>
                <w:kern w:val="0"/>
                <w:sz w:val="20"/>
                <w:szCs w:val="20"/>
                <w:lang w:val="en-US"/>
              </w:rPr>
              <w:t>Часть 1. Общие требования»;</w:t>
            </w:r>
          </w:p>
        </w:tc>
      </w:tr>
      <w:tr>
        <w:trPr>
          <w:trHeight w:val="1363" w:hRule="atLeast"/>
        </w:trPr>
        <w:tc>
          <w:tcPr>
            <w:tcW w:w="568"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24" w:after="0"/>
              <w:ind w:start="110" w:end="90"/>
              <w:jc w:val="both"/>
              <w:rPr>
                <w:rFonts w:ascii="Times New Roman" w:hAnsi="Times New Roman"/>
                <w:kern w:val="0"/>
                <w:sz w:val="20"/>
                <w:szCs w:val="20"/>
                <w:lang w:val="en-US"/>
              </w:rPr>
            </w:pPr>
            <w:r>
              <w:rPr>
                <w:rFonts w:ascii="Times New Roman" w:hAnsi="Times New Roman"/>
                <w:color w:themeColor="text1" w:val="000000"/>
                <w:w w:val="107"/>
                <w:kern w:val="0"/>
                <w:sz w:val="20"/>
                <w:szCs w:val="20"/>
                <w:lang w:val="en-US"/>
              </w:rPr>
              <w:t>4.</w:t>
            </w:r>
          </w:p>
        </w:tc>
        <w:tc>
          <w:tcPr>
            <w:tcW w:w="2410"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lineRule="auto" w:line="245" w:before="1" w:after="0"/>
              <w:ind w:start="142" w:end="91"/>
              <w:jc w:val="both"/>
              <w:rPr>
                <w:rFonts w:ascii="Times New Roman" w:hAnsi="Times New Roman"/>
                <w:kern w:val="0"/>
                <w:sz w:val="20"/>
                <w:szCs w:val="20"/>
                <w:lang w:val="en-US"/>
              </w:rPr>
            </w:pPr>
            <w:r>
              <w:rPr>
                <w:rFonts w:ascii="Times New Roman" w:hAnsi="Times New Roman"/>
                <w:color w:themeColor="text1" w:val="000000"/>
                <w:kern w:val="0"/>
                <w:sz w:val="20"/>
                <w:szCs w:val="20"/>
                <w:lang w:val="en-US"/>
              </w:rPr>
              <w:t>Краткое описание услуг</w:t>
            </w:r>
          </w:p>
        </w:tc>
        <w:tc>
          <w:tcPr>
            <w:tcW w:w="7371" w:type="dxa"/>
            <w:tcBorders>
              <w:top w:val="single" w:sz="4" w:space="0" w:color="000000"/>
              <w:start w:val="single" w:sz="4" w:space="0" w:color="000000"/>
              <w:bottom w:val="single" w:sz="4" w:space="0" w:color="000000"/>
              <w:end w:val="single" w:sz="4" w:space="0" w:color="000000"/>
            </w:tcBorders>
          </w:tcPr>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 xml:space="preserve">• </w:t>
            </w:r>
            <w:r>
              <w:rPr>
                <w:rFonts w:ascii="Times New Roman" w:hAnsi="Times New Roman"/>
                <w:kern w:val="0"/>
                <w:sz w:val="20"/>
                <w:szCs w:val="20"/>
                <w:lang w:val="ru-RU" w:bidi="ar-SA"/>
              </w:rPr>
              <w:t>осуществляет независимый строительный контроль производства демонтажных, строительных, специальных строительных, монтажных и инженерных работ по строительству Объекта при этом Исполнитель руководствуется установленными и действующими на момент осуществления строительного контроля, законодательством РФ обязательными правилами осуществления строительного контроля;</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контролирует соответствие объемов и качества выполненных и предъявленных к сдаче работ проектно-сметной документации;</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 xml:space="preserve">• </w:t>
            </w:r>
            <w:r>
              <w:rPr>
                <w:rFonts w:ascii="Times New Roman" w:hAnsi="Times New Roman"/>
                <w:kern w:val="0"/>
                <w:sz w:val="20"/>
                <w:szCs w:val="20"/>
                <w:lang w:val="ru-RU" w:bidi="ar-SA"/>
              </w:rPr>
              <w:t>осуществляет инструментальный контроль качества выполнения работ на соответствие проектной документации, утвержденной Заказчиком, требованиям нормативно-технической документации на производство и приемку работ;</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 xml:space="preserve">• </w:t>
            </w:r>
            <w:r>
              <w:rPr>
                <w:rFonts w:ascii="Times New Roman" w:hAnsi="Times New Roman"/>
                <w:kern w:val="0"/>
                <w:sz w:val="20"/>
                <w:szCs w:val="20"/>
                <w:lang w:val="ru-RU" w:bidi="ar-SA"/>
              </w:rPr>
              <w:t>осуществляет контроль соответствия применяемых Подрядчиком строительных материалов согласно утвержденной Заказчиком проектно-сметной документации;</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 xml:space="preserve">• </w:t>
            </w:r>
            <w:r>
              <w:rPr>
                <w:rFonts w:ascii="Times New Roman" w:hAnsi="Times New Roman"/>
                <w:kern w:val="0"/>
                <w:sz w:val="20"/>
                <w:szCs w:val="20"/>
                <w:lang w:val="ru-RU" w:bidi="ar-SA"/>
              </w:rPr>
              <w:t>принимает участие в приемке законченных этапов строительства на соответствие действующим стандартам и нормативно-технической документации;</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 xml:space="preserve">• </w:t>
            </w:r>
            <w:r>
              <w:rPr>
                <w:rFonts w:ascii="Times New Roman" w:hAnsi="Times New Roman"/>
                <w:kern w:val="0"/>
                <w:sz w:val="20"/>
                <w:szCs w:val="20"/>
                <w:lang w:val="ru-RU" w:bidi="ar-SA"/>
              </w:rPr>
              <w:t>принимает участие в освидетельствовании скрытых работ и подписании Актов скрытых работ, выполненных в период действия настоящего Контракта, а в случае уклонения лица, осуществляющего строительство, от составления документов по результатам освидетельствования, немедленно информирует об этом Заказчика;</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 xml:space="preserve">• </w:t>
            </w:r>
            <w:r>
              <w:rPr>
                <w:rFonts w:ascii="Times New Roman" w:hAnsi="Times New Roman"/>
                <w:kern w:val="0"/>
                <w:sz w:val="20"/>
                <w:szCs w:val="20"/>
                <w:lang w:val="ru-RU" w:bidi="ar-SA"/>
              </w:rPr>
              <w:t>Если скрытые работы произведены без предъявления результатов специалистам Исполнителя, то для их освидетельствования необходимо произвести разборку результатов работ, других конструкций, участков сетей и т.п. с составлением соответствующих актов (ГрК ст. 53 п.6).</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 xml:space="preserve"> </w:t>
            </w:r>
            <w:r>
              <w:rPr>
                <w:rFonts w:ascii="Times New Roman" w:hAnsi="Times New Roman"/>
                <w:kern w:val="0"/>
                <w:sz w:val="20"/>
                <w:szCs w:val="20"/>
                <w:lang w:val="ru-RU" w:bidi="ar-SA"/>
              </w:rPr>
              <w:t>В противном случае, у специалистов строительного контроля Подрядчика нет оснований для подписания актов освидетельствования скрытых работ.</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принимает участие в приемке законченного строительством Объекта Заказчиком;</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 xml:space="preserve">• </w:t>
            </w:r>
            <w:r>
              <w:rPr>
                <w:rFonts w:ascii="Times New Roman" w:hAnsi="Times New Roman"/>
                <w:kern w:val="0"/>
                <w:sz w:val="20"/>
                <w:szCs w:val="20"/>
                <w:lang w:val="ru-RU" w:bidi="ar-SA"/>
              </w:rPr>
              <w:t>проверяет совместно с Заказчиком соответствие законченного объекта строительства требованиям проектной и подготовленной на ее основе рабочей документации, технических регламентов;</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проводит проверку выполнения Подрядчиком указаний и предписаний, выданных по результатам строительного контроля;</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уведомляет Подрядчика в письменной форме о несоответствии конструкций, изделий, материалов, оборудования, объемов и качества выполненных работ требованиям государственных стандартов, строительных норм и правил, технических условий и других нормативных документов, проектно-сметной документации;</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выдает предписания на устранение недоделок по выполненным работам;</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участвует в проведении проверки рабочей комиссией качества отдельных конструкций и узлов, строительно-монтажных работ всех видов, соответствия смонтированного оборудования и механизмов техническим условиям;</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участвует в проведении проверки Объекта органами государственного надзора и архитектурно-строительного контроля;</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проводит геодезический контроль на объекте с целью отражения данных в исполнительной документации;</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принимает участие в подписании акта приемки выполненных работ на объекте</w:t>
            </w:r>
          </w:p>
          <w:p>
            <w:pPr>
              <w:pStyle w:val="Normal"/>
              <w:widowControl w:val="false"/>
              <w:suppressAutoHyphens w:val="false"/>
              <w:spacing w:lineRule="auto" w:line="240" w:before="0" w:after="0"/>
              <w:jc w:val="both"/>
              <w:rPr>
                <w:rFonts w:ascii="Times New Roman" w:hAnsi="Times New Roman"/>
                <w:kern w:val="0"/>
                <w:sz w:val="20"/>
                <w:szCs w:val="20"/>
                <w:lang w:val="en-US" w:bidi="ar-SA"/>
              </w:rPr>
            </w:pPr>
            <w:r>
              <w:rPr>
                <w:rFonts w:ascii="Times New Roman" w:hAnsi="Times New Roman"/>
                <w:kern w:val="0"/>
                <w:sz w:val="20"/>
                <w:szCs w:val="20"/>
                <w:lang w:val="ru-RU" w:bidi="ar-SA"/>
              </w:rPr>
              <w:t>•</w:t>
            </w:r>
            <w:r>
              <w:rPr>
                <w:rFonts w:ascii="Times New Roman" w:hAnsi="Times New Roman"/>
                <w:kern w:val="0"/>
                <w:sz w:val="20"/>
                <w:szCs w:val="20"/>
                <w:lang w:val="ru-RU" w:bidi="ar-SA"/>
              </w:rPr>
              <w:t>визирует своей подписью КС-2, чем подтверждает качество и объемы выполненных работ.</w:t>
            </w:r>
          </w:p>
          <w:p>
            <w:pPr>
              <w:pStyle w:val="TableParagraph"/>
              <w:suppressAutoHyphens w:val="false"/>
              <w:spacing w:lineRule="auto" w:line="242" w:before="0" w:after="0"/>
              <w:ind w:start="141" w:end="97"/>
              <w:jc w:val="both"/>
              <w:rPr>
                <w:rFonts w:ascii="Times New Roman" w:hAnsi="Times New Roman"/>
                <w:color w:themeColor="text1" w:val="000000"/>
                <w:kern w:val="0"/>
                <w:sz w:val="20"/>
                <w:szCs w:val="20"/>
                <w:lang w:val="ru-RU"/>
              </w:rPr>
            </w:pPr>
            <w:r>
              <w:rPr>
                <w:rFonts w:ascii="Times New Roman" w:hAnsi="Times New Roman"/>
                <w:color w:themeColor="text1" w:val="000000"/>
                <w:kern w:val="0"/>
                <w:sz w:val="20"/>
                <w:szCs w:val="20"/>
                <w:lang w:val="ru-RU"/>
              </w:rPr>
            </w:r>
          </w:p>
        </w:tc>
      </w:tr>
      <w:tr>
        <w:trPr>
          <w:trHeight w:val="1363" w:hRule="atLeast"/>
        </w:trPr>
        <w:tc>
          <w:tcPr>
            <w:tcW w:w="568"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24" w:after="0"/>
              <w:ind w:start="110" w:end="90"/>
              <w:jc w:val="both"/>
              <w:rPr>
                <w:rFonts w:ascii="Times New Roman" w:hAnsi="Times New Roman"/>
                <w:kern w:val="0"/>
                <w:sz w:val="20"/>
                <w:szCs w:val="20"/>
                <w:lang w:val="en-US"/>
              </w:rPr>
            </w:pPr>
            <w:r>
              <w:rPr>
                <w:rFonts w:ascii="Times New Roman" w:hAnsi="Times New Roman"/>
                <w:color w:themeColor="text1" w:val="000000"/>
                <w:w w:val="107"/>
                <w:kern w:val="0"/>
                <w:sz w:val="20"/>
                <w:szCs w:val="20"/>
                <w:lang w:val="en-US"/>
              </w:rPr>
              <w:t>5.</w:t>
            </w:r>
          </w:p>
        </w:tc>
        <w:tc>
          <w:tcPr>
            <w:tcW w:w="2410"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lineRule="auto" w:line="245" w:before="1" w:after="0"/>
              <w:ind w:start="142" w:end="91"/>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Требования к составу документов при оформлении оказанных услуг по строительному контролю</w:t>
            </w:r>
          </w:p>
        </w:tc>
        <w:tc>
          <w:tcPr>
            <w:tcW w:w="7371"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lineRule="auto" w:line="242" w:before="109" w:after="0"/>
              <w:ind w:firstLine="6" w:start="94"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5.1.</w:t>
              <w:tab/>
              <w:t>Документы, подлежащие постоянному оформлению Подрядчиком и регистрации Исполнителем при проведении строительного контроля:</w:t>
            </w:r>
          </w:p>
          <w:p>
            <w:pPr>
              <w:pStyle w:val="TableParagraph"/>
              <w:suppressAutoHyphens w:val="false"/>
              <w:spacing w:lineRule="auto" w:line="242"/>
              <w:ind w:firstLine="6" w:start="94"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5.1.1.</w:t>
              <w:tab/>
              <w:t xml:space="preserve"> Исполнительные схемы положения ответственных конструкций, исполнительные чертежи с внесенными изменениями и документы согласований этих изменений с проектной организацией и Заказчиком;</w:t>
            </w:r>
          </w:p>
          <w:p>
            <w:pPr>
              <w:pStyle w:val="Normal"/>
              <w:widowControl w:val="false"/>
              <w:tabs>
                <w:tab w:val="left" w:pos="708" w:leader="none"/>
              </w:tabs>
              <w:suppressAutoHyphens w:val="false"/>
              <w:spacing w:before="0" w:after="200"/>
              <w:ind w:firstLine="6" w:start="94"/>
              <w:jc w:val="both"/>
              <w:rPr>
                <w:rFonts w:ascii="Times New Roman" w:hAnsi="Times New Roman"/>
                <w:kern w:val="0"/>
                <w:sz w:val="20"/>
                <w:szCs w:val="20"/>
                <w:lang w:val="en-US" w:bidi="ar-SA"/>
              </w:rPr>
            </w:pPr>
            <w:r>
              <w:rPr>
                <w:rFonts w:ascii="Times New Roman" w:hAnsi="Times New Roman"/>
                <w:color w:themeColor="text1" w:val="000000"/>
                <w:kern w:val="0"/>
                <w:sz w:val="20"/>
                <w:szCs w:val="20"/>
                <w:lang w:val="ru-RU" w:bidi="ar-SA"/>
              </w:rPr>
              <w:t>5.1.2</w:t>
            </w:r>
            <w:r>
              <w:rPr>
                <w:rFonts w:ascii="Times New Roman" w:hAnsi="Times New Roman"/>
                <w:color w:themeColor="text1" w:val="000000"/>
                <w:kern w:val="0"/>
                <w:sz w:val="20"/>
                <w:szCs w:val="20"/>
                <w:lang w:val="ru-RU" w:bidi="ru-RU"/>
              </w:rPr>
              <w:t>. документы, подтверждающие, в соответствии с действующим законодательством, качество примененных Подрядчиком технических средств и материалов: сертификаты соответствия (декларации о соответствии), паспорта и иные документы;</w:t>
            </w:r>
          </w:p>
          <w:p>
            <w:pPr>
              <w:pStyle w:val="TableParagraph"/>
              <w:suppressAutoHyphens w:val="false"/>
              <w:spacing w:lineRule="auto" w:line="242"/>
              <w:ind w:firstLine="6" w:start="94"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5.1.3. Акт проведения вводного контроля технических средств и материалов;</w:t>
            </w:r>
          </w:p>
          <w:p>
            <w:pPr>
              <w:pStyle w:val="TableParagraph"/>
              <w:suppressAutoHyphens w:val="false"/>
              <w:spacing w:lineRule="auto" w:line="242"/>
              <w:ind w:firstLine="6" w:start="94"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5.1.4. Акты освидетельствования скрытых работ;</w:t>
            </w:r>
          </w:p>
          <w:p>
            <w:pPr>
              <w:pStyle w:val="TableParagraph"/>
              <w:suppressAutoHyphens w:val="false"/>
              <w:spacing w:lineRule="auto" w:line="242"/>
              <w:ind w:firstLine="6" w:start="94"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5.1.5.</w:t>
              <w:tab/>
              <w:t>Журналы производства работ;</w:t>
            </w:r>
          </w:p>
          <w:p>
            <w:pPr>
              <w:pStyle w:val="TableParagraph"/>
              <w:suppressAutoHyphens w:val="false"/>
              <w:spacing w:lineRule="auto" w:line="242"/>
              <w:ind w:firstLine="6" w:start="94"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5.1.6. Схемы (после геодезического контроля) для исполнительной документации.</w:t>
            </w:r>
          </w:p>
          <w:p>
            <w:pPr>
              <w:pStyle w:val="TableParagraph"/>
              <w:suppressAutoHyphens w:val="false"/>
              <w:spacing w:lineRule="auto" w:line="242"/>
              <w:ind w:firstLine="6" w:start="94"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5.3. Акт выполненных Подрядчиком работ по форме КС-2.</w:t>
            </w:r>
          </w:p>
          <w:p>
            <w:pPr>
              <w:pStyle w:val="TableParagraph"/>
              <w:suppressAutoHyphens w:val="false"/>
              <w:spacing w:lineRule="auto" w:line="242"/>
              <w:ind w:firstLine="6" w:start="94" w:end="97"/>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Исполнитель визирует подписью, заверяет печатью указанные выше документы.</w:t>
            </w:r>
          </w:p>
        </w:tc>
      </w:tr>
      <w:tr>
        <w:trPr>
          <w:trHeight w:val="1363" w:hRule="atLeast"/>
        </w:trPr>
        <w:tc>
          <w:tcPr>
            <w:tcW w:w="568"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24" w:after="0"/>
              <w:ind w:start="110" w:end="90"/>
              <w:jc w:val="both"/>
              <w:rPr>
                <w:rFonts w:ascii="Times New Roman" w:hAnsi="Times New Roman"/>
                <w:kern w:val="0"/>
                <w:sz w:val="20"/>
                <w:szCs w:val="20"/>
                <w:lang w:val="en-US"/>
              </w:rPr>
            </w:pPr>
            <w:r>
              <w:rPr>
                <w:rFonts w:ascii="Times New Roman" w:hAnsi="Times New Roman"/>
                <w:color w:themeColor="text1" w:val="000000"/>
                <w:w w:val="107"/>
                <w:kern w:val="0"/>
                <w:sz w:val="20"/>
                <w:szCs w:val="20"/>
                <w:lang w:val="en-US"/>
              </w:rPr>
              <w:t>6.</w:t>
            </w:r>
          </w:p>
        </w:tc>
        <w:tc>
          <w:tcPr>
            <w:tcW w:w="2410"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lineRule="auto" w:line="254" w:before="11" w:after="0"/>
              <w:ind w:firstLine="6" w:start="105" w:end="184"/>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Общие требования к качеству материалов, технические характеристики материалов, используемых при выполнении работ</w:t>
            </w:r>
          </w:p>
        </w:tc>
        <w:tc>
          <w:tcPr>
            <w:tcW w:w="7371" w:type="dxa"/>
            <w:tcBorders>
              <w:top w:val="single" w:sz="4" w:space="0" w:color="000000"/>
              <w:start w:val="single" w:sz="4" w:space="0" w:color="000000"/>
              <w:bottom w:val="single" w:sz="4" w:space="0" w:color="000000"/>
              <w:end w:val="single" w:sz="4" w:space="0" w:color="000000"/>
            </w:tcBorders>
          </w:tcPr>
          <w:p>
            <w:pPr>
              <w:pStyle w:val="Normal"/>
              <w:widowControl w:val="false"/>
              <w:tabs>
                <w:tab w:val="left" w:pos="708" w:leader="none"/>
              </w:tabs>
              <w:suppressAutoHyphens w:val="false"/>
              <w:spacing w:before="0" w:after="200"/>
              <w:ind w:start="142"/>
              <w:jc w:val="both"/>
              <w:rPr>
                <w:rFonts w:ascii="Times New Roman" w:hAnsi="Times New Roman"/>
                <w:kern w:val="0"/>
                <w:sz w:val="20"/>
                <w:szCs w:val="20"/>
                <w:lang w:val="en-US" w:bidi="ar-SA"/>
              </w:rPr>
            </w:pPr>
            <w:r>
              <w:rPr>
                <w:rFonts w:ascii="Times New Roman" w:hAnsi="Times New Roman"/>
                <w:color w:themeColor="text1" w:val="000000"/>
                <w:w w:val="105"/>
                <w:kern w:val="0"/>
                <w:sz w:val="20"/>
                <w:szCs w:val="20"/>
                <w:lang w:val="ru-RU" w:bidi="ar-SA"/>
              </w:rPr>
              <w:t xml:space="preserve">6.1. </w:t>
            </w:r>
            <w:r>
              <w:rPr>
                <w:rFonts w:ascii="Times New Roman" w:hAnsi="Times New Roman"/>
                <w:color w:themeColor="text1" w:val="000000"/>
                <w:w w:val="105"/>
                <w:kern w:val="0"/>
                <w:sz w:val="20"/>
                <w:szCs w:val="20"/>
                <w:lang w:val="ru-RU" w:bidi="ru-RU"/>
              </w:rPr>
              <w:t>При осуществлении строительного контроля Исполнитель проверяет используемые при капитальном ремонте материалы, которые должны соответствовать техническим регламентам, принятым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должны быть новыми,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проверяет документы, подтверждающие, в соответствии с действующим законодательством, качество примененных материалов: сертификаты соответствия (декларации о соответствии), паспорта и иные документы.</w:t>
            </w:r>
          </w:p>
        </w:tc>
      </w:tr>
      <w:tr>
        <w:trPr>
          <w:trHeight w:val="832" w:hRule="atLeast"/>
        </w:trPr>
        <w:tc>
          <w:tcPr>
            <w:tcW w:w="568"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24" w:after="0"/>
              <w:ind w:start="110" w:end="90"/>
              <w:jc w:val="both"/>
              <w:rPr>
                <w:rFonts w:ascii="Times New Roman" w:hAnsi="Times New Roman"/>
                <w:kern w:val="0"/>
                <w:sz w:val="20"/>
                <w:szCs w:val="20"/>
                <w:lang w:val="en-US"/>
              </w:rPr>
            </w:pPr>
            <w:r>
              <w:rPr>
                <w:rFonts w:ascii="Times New Roman" w:hAnsi="Times New Roman"/>
                <w:color w:themeColor="text1" w:val="000000"/>
                <w:w w:val="107"/>
                <w:kern w:val="0"/>
                <w:sz w:val="20"/>
                <w:szCs w:val="20"/>
                <w:lang w:val="en-US"/>
              </w:rPr>
              <w:t>7.</w:t>
            </w:r>
          </w:p>
        </w:tc>
        <w:tc>
          <w:tcPr>
            <w:tcW w:w="2410"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1" w:after="0"/>
              <w:ind w:start="93"/>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Требования по</w:t>
            </w:r>
          </w:p>
          <w:p>
            <w:pPr>
              <w:pStyle w:val="TableParagraph"/>
              <w:suppressAutoHyphens w:val="false"/>
              <w:spacing w:lineRule="atLeast" w:line="260" w:before="9" w:after="0"/>
              <w:ind w:start="92" w:end="184"/>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обеспечению средствами измерений</w:t>
            </w:r>
          </w:p>
        </w:tc>
        <w:tc>
          <w:tcPr>
            <w:tcW w:w="7371"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6" w:after="0"/>
              <w:ind w:start="103"/>
              <w:jc w:val="both"/>
              <w:rPr>
                <w:rFonts w:ascii="Times New Roman" w:hAnsi="Times New Roman"/>
                <w:kern w:val="0"/>
                <w:sz w:val="20"/>
                <w:szCs w:val="20"/>
                <w:lang w:val="en-US"/>
              </w:rPr>
            </w:pPr>
            <w:r>
              <w:rPr>
                <w:rFonts w:ascii="Times New Roman" w:hAnsi="Times New Roman"/>
                <w:color w:themeColor="text1" w:val="000000"/>
                <w:kern w:val="0"/>
                <w:sz w:val="20"/>
                <w:szCs w:val="20"/>
                <w:lang w:val="ru-RU"/>
              </w:rPr>
              <w:t>7.1. Наличие у Исполнителя средств инструментального контроля.</w:t>
            </w:r>
          </w:p>
        </w:tc>
      </w:tr>
      <w:tr>
        <w:trPr>
          <w:trHeight w:val="1363" w:hRule="atLeast"/>
        </w:trPr>
        <w:tc>
          <w:tcPr>
            <w:tcW w:w="568"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24" w:after="0"/>
              <w:ind w:start="110" w:end="90"/>
              <w:jc w:val="both"/>
              <w:rPr>
                <w:rFonts w:ascii="Times New Roman" w:hAnsi="Times New Roman"/>
                <w:kern w:val="0"/>
                <w:sz w:val="20"/>
                <w:szCs w:val="20"/>
                <w:lang w:val="en-US"/>
              </w:rPr>
            </w:pPr>
            <w:r>
              <w:rPr>
                <w:rFonts w:ascii="Times New Roman" w:hAnsi="Times New Roman"/>
                <w:color w:themeColor="text1" w:val="000000"/>
                <w:w w:val="107"/>
                <w:kern w:val="0"/>
                <w:sz w:val="20"/>
                <w:szCs w:val="20"/>
                <w:lang w:val="en-US"/>
              </w:rPr>
              <w:t>8.</w:t>
            </w:r>
          </w:p>
        </w:tc>
        <w:tc>
          <w:tcPr>
            <w:tcW w:w="2410" w:type="dxa"/>
            <w:tcBorders>
              <w:top w:val="single" w:sz="4" w:space="0" w:color="000000"/>
              <w:start w:val="single" w:sz="4" w:space="0" w:color="000000"/>
              <w:bottom w:val="single" w:sz="4" w:space="0" w:color="000000"/>
              <w:end w:val="single" w:sz="4" w:space="0" w:color="000000"/>
            </w:tcBorders>
          </w:tcPr>
          <w:p>
            <w:pPr>
              <w:pStyle w:val="TableParagraph"/>
              <w:suppressAutoHyphens w:val="false"/>
              <w:spacing w:before="1" w:after="0"/>
              <w:ind w:start="92"/>
              <w:jc w:val="both"/>
              <w:rPr>
                <w:rFonts w:ascii="Times New Roman" w:hAnsi="Times New Roman"/>
                <w:kern w:val="0"/>
                <w:sz w:val="20"/>
                <w:szCs w:val="20"/>
                <w:lang w:val="en-US"/>
              </w:rPr>
            </w:pPr>
            <w:r>
              <w:rPr>
                <w:rFonts w:ascii="Times New Roman" w:hAnsi="Times New Roman"/>
                <w:color w:themeColor="text1" w:val="000000"/>
                <w:kern w:val="0"/>
                <w:sz w:val="20"/>
                <w:szCs w:val="20"/>
                <w:lang w:val="en-US"/>
              </w:rPr>
              <w:t>Особые условия</w:t>
            </w:r>
          </w:p>
        </w:tc>
        <w:tc>
          <w:tcPr>
            <w:tcW w:w="7371" w:type="dxa"/>
            <w:tcBorders>
              <w:top w:val="single" w:sz="4" w:space="0" w:color="000000"/>
              <w:start w:val="single" w:sz="4" w:space="0" w:color="000000"/>
              <w:bottom w:val="single" w:sz="4" w:space="0" w:color="000000"/>
              <w:end w:val="single" w:sz="4" w:space="0" w:color="000000"/>
            </w:tcBorders>
          </w:tcPr>
          <w:p>
            <w:pPr>
              <w:pStyle w:val="TableParagraph"/>
              <w:numPr>
                <w:ilvl w:val="1"/>
                <w:numId w:val="12"/>
              </w:numPr>
              <w:tabs>
                <w:tab w:val="left" w:pos="708" w:leader="none"/>
              </w:tabs>
              <w:suppressAutoHyphens w:val="false"/>
              <w:spacing w:lineRule="auto" w:line="247" w:before="1" w:after="0"/>
              <w:ind w:hanging="609" w:start="91" w:end="104"/>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8.1. При появлении опасных дефектов или грубых нарушений и невозможности их устранения при выполнении Подрядчиком работ Исполнитель обязан незамедлительно ставить в известность Заказчика.</w:t>
            </w:r>
          </w:p>
          <w:p>
            <w:pPr>
              <w:pStyle w:val="TableParagraph"/>
              <w:numPr>
                <w:ilvl w:val="1"/>
                <w:numId w:val="8"/>
              </w:numPr>
              <w:tabs>
                <w:tab w:val="left" w:pos="708" w:leader="none"/>
              </w:tabs>
              <w:suppressAutoHyphens w:val="false"/>
              <w:spacing w:lineRule="auto" w:line="247" w:before="1" w:after="0"/>
              <w:ind w:hanging="609" w:start="91" w:end="104"/>
              <w:jc w:val="both"/>
              <w:rPr>
                <w:rFonts w:ascii="Times New Roman" w:hAnsi="Times New Roman"/>
                <w:kern w:val="0"/>
                <w:sz w:val="20"/>
                <w:szCs w:val="20"/>
                <w:lang w:val="en-US"/>
              </w:rPr>
            </w:pPr>
            <w:r>
              <w:rPr>
                <w:rFonts w:ascii="Times New Roman" w:hAnsi="Times New Roman"/>
                <w:color w:themeColor="text1" w:val="000000"/>
                <w:w w:val="105"/>
                <w:kern w:val="0"/>
                <w:sz w:val="20"/>
                <w:szCs w:val="20"/>
                <w:lang w:val="ru-RU"/>
              </w:rPr>
              <w:t xml:space="preserve">8.2. Организация, контроль и выполнение работ должны осуществляться с соблюдением законодательства Российской Федерации по охране </w:t>
            </w:r>
            <w:r>
              <w:rPr>
                <w:rFonts w:ascii="Times New Roman" w:hAnsi="Times New Roman"/>
                <w:color w:themeColor="text1" w:val="000000"/>
                <w:spacing w:val="-3"/>
                <w:w w:val="105"/>
                <w:kern w:val="0"/>
                <w:sz w:val="20"/>
                <w:szCs w:val="20"/>
                <w:lang w:val="ru-RU"/>
              </w:rPr>
              <w:t xml:space="preserve">труда, </w:t>
            </w:r>
            <w:r>
              <w:rPr>
                <w:rFonts w:ascii="Times New Roman" w:hAnsi="Times New Roman"/>
                <w:color w:themeColor="text1" w:val="000000"/>
                <w:w w:val="105"/>
                <w:kern w:val="0"/>
                <w:sz w:val="20"/>
                <w:szCs w:val="20"/>
                <w:lang w:val="ru-RU"/>
              </w:rPr>
              <w:t>а также иных нормативных правовых актов, установленных перечнем видов нормативных правовых актов, утвержденных Постановлением Правительства РФ.</w:t>
            </w:r>
          </w:p>
        </w:tc>
      </w:tr>
    </w:tbl>
    <w:p>
      <w:pPr>
        <w:pStyle w:val="Normal"/>
        <w:jc w:val="both"/>
        <w:rPr>
          <w:rFonts w:ascii="Times New Roman" w:hAnsi="Times New Roman"/>
          <w:color w:themeColor="text1" w:val="000000"/>
          <w:sz w:val="20"/>
          <w:szCs w:val="20"/>
          <w:lang w:eastAsia="en-US"/>
        </w:rPr>
      </w:pPr>
      <w:r>
        <w:rPr>
          <w:rFonts w:ascii="Times New Roman" w:hAnsi="Times New Roman"/>
          <w:color w:themeColor="text1" w:val="000000"/>
          <w:sz w:val="20"/>
          <w:szCs w:val="20"/>
          <w:lang w:eastAsia="en-US"/>
        </w:rPr>
      </w:r>
    </w:p>
    <w:tbl>
      <w:tblPr>
        <w:tblW w:w="5000" w:type="pct"/>
        <w:jc w:val="start"/>
        <w:tblInd w:w="0" w:type="dxa"/>
        <w:tblLayout w:type="fixed"/>
        <w:tblCellMar>
          <w:top w:w="0" w:type="dxa"/>
          <w:start w:w="108" w:type="dxa"/>
          <w:bottom w:w="0" w:type="dxa"/>
          <w:end w:w="108" w:type="dxa"/>
        </w:tblCellMar>
        <w:tblLook w:val="01e0" w:firstRow="1" w:noVBand="0" w:lastRow="1" w:firstColumn="1" w:lastColumn="1" w:noHBand="0"/>
      </w:tblPr>
      <w:tblGrid>
        <w:gridCol w:w="4960"/>
        <w:gridCol w:w="4961"/>
      </w:tblGrid>
      <w:tr>
        <w:trPr/>
        <w:tc>
          <w:tcPr>
            <w:tcW w:w="4960" w:type="dxa"/>
            <w:tcBorders/>
          </w:tcPr>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lang w:eastAsia="en-US"/>
              </w:rPr>
              <w:t>Заказчик:</w:t>
            </w:r>
          </w:p>
          <w:p>
            <w:pPr>
              <w:pStyle w:val="Normal"/>
              <w:widowControl w:val="false"/>
              <w:numPr>
                <w:ilvl w:val="0"/>
                <w:numId w:val="0"/>
              </w:numPr>
              <w:spacing w:lineRule="auto" w:line="240" w:before="0" w:after="0"/>
              <w:jc w:val="both"/>
              <w:outlineLvl w:val="0"/>
              <w:rPr>
                <w:rFonts w:ascii="Times New Roman" w:hAnsi="Times New Roman"/>
                <w:sz w:val="20"/>
                <w:szCs w:val="20"/>
              </w:rPr>
            </w:pPr>
            <w:r>
              <w:rPr>
                <w:rFonts w:ascii="Times New Roman" w:hAnsi="Times New Roman"/>
                <w:b/>
                <w:sz w:val="20"/>
                <w:szCs w:val="20"/>
              </w:rPr>
              <w:t>Сяськелевское территориальное управление Гатчинского муниципального округа Ленинградской области</w:t>
            </w:r>
          </w:p>
          <w:p>
            <w:pPr>
              <w:pStyle w:val="Normal"/>
              <w:widowControl w:val="false"/>
              <w:numPr>
                <w:ilvl w:val="0"/>
                <w:numId w:val="0"/>
              </w:numPr>
              <w:spacing w:lineRule="auto" w:line="240" w:before="0" w:after="0"/>
              <w:jc w:val="both"/>
              <w:outlineLvl w:val="0"/>
              <w:rPr>
                <w:rFonts w:ascii="Times New Roman" w:hAnsi="Times New Roman"/>
                <w:sz w:val="20"/>
                <w:szCs w:val="20"/>
              </w:rPr>
            </w:pPr>
            <w:r>
              <w:rPr>
                <w:rFonts w:ascii="Times New Roman" w:hAnsi="Times New Roman"/>
                <w:sz w:val="20"/>
                <w:szCs w:val="20"/>
                <w:lang w:eastAsia="en-US"/>
              </w:rPr>
              <w:t>Глава Сяськелевского</w:t>
            </w:r>
          </w:p>
          <w:p>
            <w:pPr>
              <w:pStyle w:val="Normal"/>
              <w:widowControl w:val="false"/>
              <w:numPr>
                <w:ilvl w:val="0"/>
                <w:numId w:val="0"/>
              </w:numPr>
              <w:spacing w:lineRule="auto" w:line="240" w:before="0" w:after="0"/>
              <w:jc w:val="both"/>
              <w:outlineLvl w:val="0"/>
              <w:rPr>
                <w:rFonts w:ascii="Times New Roman" w:hAnsi="Times New Roman"/>
                <w:sz w:val="20"/>
                <w:szCs w:val="20"/>
              </w:rPr>
            </w:pPr>
            <w:r>
              <w:rPr>
                <w:rFonts w:ascii="Times New Roman" w:hAnsi="Times New Roman"/>
                <w:sz w:val="20"/>
                <w:szCs w:val="20"/>
                <w:lang w:eastAsia="en-US"/>
              </w:rPr>
              <w:t>территориального управления</w:t>
            </w:r>
          </w:p>
          <w:p>
            <w:pPr>
              <w:pStyle w:val="Normal"/>
              <w:widowControl w:val="false"/>
              <w:numPr>
                <w:ilvl w:val="0"/>
                <w:numId w:val="0"/>
              </w:numPr>
              <w:spacing w:lineRule="auto" w:line="240" w:before="0" w:after="0"/>
              <w:jc w:val="both"/>
              <w:outlineLvl w:val="0"/>
              <w:rPr>
                <w:rFonts w:ascii="Times New Roman" w:hAnsi="Times New Roman"/>
                <w:sz w:val="20"/>
                <w:szCs w:val="20"/>
                <w:lang w:eastAsia="en-US"/>
              </w:rPr>
            </w:pPr>
            <w:r>
              <w:rPr>
                <w:rFonts w:ascii="Times New Roman" w:hAnsi="Times New Roman"/>
                <w:sz w:val="20"/>
                <w:szCs w:val="20"/>
                <w:lang w:eastAsia="en-US"/>
              </w:rPr>
            </w:r>
          </w:p>
          <w:p>
            <w:pPr>
              <w:pStyle w:val="Normal"/>
              <w:widowControl w:val="false"/>
              <w:numPr>
                <w:ilvl w:val="0"/>
                <w:numId w:val="0"/>
              </w:numPr>
              <w:spacing w:lineRule="auto" w:line="240" w:before="0" w:after="0"/>
              <w:jc w:val="both"/>
              <w:outlineLvl w:val="0"/>
              <w:rPr>
                <w:rFonts w:ascii="Times New Roman" w:hAnsi="Times New Roman"/>
                <w:sz w:val="20"/>
                <w:szCs w:val="20"/>
              </w:rPr>
            </w:pPr>
            <w:r>
              <w:rPr>
                <w:rFonts w:ascii="Times New Roman" w:hAnsi="Times New Roman"/>
                <w:sz w:val="20"/>
                <w:szCs w:val="20"/>
                <w:lang w:eastAsia="en-US"/>
              </w:rPr>
              <w:t>_______________________ Е.Е. Федорова</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lang w:eastAsia="en-US"/>
              </w:rPr>
              <w:t>(подпись ЭЦП)</w:t>
            </w:r>
          </w:p>
        </w:tc>
        <w:tc>
          <w:tcPr>
            <w:tcW w:w="4961" w:type="dxa"/>
            <w:tcBorders/>
          </w:tcPr>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lang w:eastAsia="en-US"/>
              </w:rPr>
              <w:t>Исполнитель:</w:t>
            </w:r>
          </w:p>
          <w:p>
            <w:pPr>
              <w:pStyle w:val="Normal"/>
              <w:widowControl w:val="false"/>
              <w:spacing w:lineRule="auto" w:line="240" w:before="0" w:after="0"/>
              <w:jc w:val="both"/>
              <w:rPr>
                <w:rFonts w:ascii="Times New Roman" w:hAnsi="Times New Roman"/>
                <w:sz w:val="20"/>
                <w:szCs w:val="20"/>
                <w:lang w:eastAsia="en-US"/>
              </w:rPr>
            </w:pPr>
            <w:r>
              <w:rPr>
                <w:rFonts w:ascii="Times New Roman" w:hAnsi="Times New Roman"/>
                <w:sz w:val="20"/>
                <w:szCs w:val="20"/>
                <w:lang w:eastAsia="en-US"/>
              </w:rPr>
            </w:r>
          </w:p>
          <w:p>
            <w:pPr>
              <w:pStyle w:val="Normal"/>
              <w:widowControl w:val="false"/>
              <w:spacing w:lineRule="auto" w:line="240" w:before="0" w:after="0"/>
              <w:jc w:val="both"/>
              <w:rPr>
                <w:rFonts w:ascii="Times New Roman" w:hAnsi="Times New Roman"/>
                <w:sz w:val="20"/>
                <w:szCs w:val="20"/>
                <w:lang w:eastAsia="en-US"/>
              </w:rPr>
            </w:pPr>
            <w:r>
              <w:rPr>
                <w:rFonts w:ascii="Times New Roman" w:hAnsi="Times New Roman"/>
                <w:sz w:val="20"/>
                <w:szCs w:val="20"/>
                <w:lang w:eastAsia="en-US"/>
              </w:rPr>
            </w:r>
          </w:p>
          <w:p>
            <w:pPr>
              <w:pStyle w:val="Normal"/>
              <w:widowControl w:val="false"/>
              <w:spacing w:lineRule="auto" w:line="240" w:before="0" w:after="0"/>
              <w:jc w:val="both"/>
              <w:rPr>
                <w:rFonts w:ascii="Times New Roman" w:hAnsi="Times New Roman"/>
                <w:sz w:val="20"/>
                <w:szCs w:val="20"/>
                <w:lang w:eastAsia="en-US"/>
              </w:rPr>
            </w:pPr>
            <w:r>
              <w:rPr>
                <w:rFonts w:ascii="Times New Roman" w:hAnsi="Times New Roman"/>
                <w:sz w:val="20"/>
                <w:szCs w:val="20"/>
                <w:lang w:eastAsia="en-US"/>
              </w:rPr>
            </w:r>
          </w:p>
          <w:p>
            <w:pPr>
              <w:pStyle w:val="Normal"/>
              <w:widowControl w:val="false"/>
              <w:spacing w:lineRule="auto" w:line="240" w:before="0" w:after="0"/>
              <w:jc w:val="both"/>
              <w:rPr>
                <w:rFonts w:ascii="Times New Roman" w:hAnsi="Times New Roman"/>
                <w:sz w:val="20"/>
                <w:szCs w:val="20"/>
                <w:lang w:eastAsia="en-US"/>
              </w:rPr>
            </w:pPr>
            <w:r>
              <w:rPr>
                <w:rFonts w:ascii="Times New Roman" w:hAnsi="Times New Roman"/>
                <w:sz w:val="20"/>
                <w:szCs w:val="20"/>
                <w:lang w:eastAsia="en-US"/>
              </w:rPr>
            </w:r>
          </w:p>
          <w:p>
            <w:pPr>
              <w:pStyle w:val="Normal"/>
              <w:widowControl w:val="false"/>
              <w:spacing w:lineRule="auto" w:line="240" w:before="0" w:after="0"/>
              <w:jc w:val="both"/>
              <w:rPr>
                <w:rFonts w:ascii="Times New Roman" w:hAnsi="Times New Roman"/>
                <w:sz w:val="20"/>
                <w:szCs w:val="20"/>
                <w:lang w:eastAsia="en-US"/>
              </w:rPr>
            </w:pPr>
            <w:r>
              <w:rPr>
                <w:rFonts w:ascii="Times New Roman" w:hAnsi="Times New Roman"/>
                <w:sz w:val="20"/>
                <w:szCs w:val="20"/>
                <w:lang w:eastAsia="en-US"/>
              </w:rPr>
            </w:r>
          </w:p>
          <w:p>
            <w:pPr>
              <w:pStyle w:val="Normal"/>
              <w:widowControl w:val="false"/>
              <w:spacing w:lineRule="auto" w:line="240" w:before="0" w:after="0"/>
              <w:jc w:val="both"/>
              <w:rPr>
                <w:rFonts w:ascii="Times New Roman" w:hAnsi="Times New Roman"/>
                <w:sz w:val="20"/>
                <w:szCs w:val="20"/>
                <w:lang w:eastAsia="en-US"/>
              </w:rPr>
            </w:pPr>
            <w:r>
              <w:rPr>
                <w:rFonts w:ascii="Times New Roman" w:hAnsi="Times New Roman"/>
                <w:sz w:val="20"/>
                <w:szCs w:val="20"/>
                <w:lang w:eastAsia="en-US"/>
              </w:rPr>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lang w:eastAsia="en-US"/>
              </w:rPr>
              <w:t>_______________________</w:t>
            </w:r>
          </w:p>
          <w:p>
            <w:pPr>
              <w:pStyle w:val="Normal"/>
              <w:widowControl w:val="false"/>
              <w:spacing w:lineRule="auto" w:line="240" w:before="0" w:after="0"/>
              <w:jc w:val="both"/>
              <w:rPr>
                <w:rFonts w:ascii="Times New Roman" w:hAnsi="Times New Roman"/>
                <w:sz w:val="20"/>
                <w:szCs w:val="20"/>
              </w:rPr>
            </w:pPr>
            <w:r>
              <w:rPr>
                <w:rFonts w:ascii="Times New Roman" w:hAnsi="Times New Roman"/>
                <w:sz w:val="20"/>
                <w:szCs w:val="20"/>
                <w:lang w:eastAsia="en-US"/>
              </w:rPr>
              <w:t>(подпись ЭЦП)</w:t>
            </w:r>
          </w:p>
        </w:tc>
      </w:tr>
    </w:tbl>
    <w:p>
      <w:pPr>
        <w:pStyle w:val="Normal"/>
        <w:spacing w:before="0" w:after="200"/>
        <w:jc w:val="both"/>
        <w:rPr>
          <w:rFonts w:ascii="Times New Roman" w:hAnsi="Times New Roman"/>
          <w:sz w:val="20"/>
          <w:szCs w:val="20"/>
          <w:lang w:eastAsia="zh-CN"/>
        </w:rPr>
      </w:pPr>
      <w:r>
        <w:rPr>
          <w:rFonts w:ascii="Times New Roman" w:hAnsi="Times New Roman"/>
          <w:sz w:val="20"/>
          <w:szCs w:val="20"/>
          <w:lang w:eastAsia="zh-CN"/>
        </w:rPr>
      </w:r>
    </w:p>
    <w:sectPr>
      <w:headerReference w:type="even" r:id="rId2"/>
      <w:headerReference w:type="default" r:id="rId3"/>
      <w:headerReference w:type="first" r:id="rId4"/>
      <w:type w:val="nextPage"/>
      <w:pgSz w:w="11906" w:h="16838"/>
      <w:pgMar w:left="1134" w:right="851" w:gutter="0" w:header="567" w:top="851" w:footer="0" w:bottom="34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Cambria">
    <w:charset w:val="cc" w:characterSet="windows-1251"/>
    <w:family w:val="roman"/>
    <w:pitch w:val="variable"/>
  </w:font>
  <w:font w:name="Times New Roman">
    <w:charset w:val="cc" w:characterSet="windows-1251"/>
    <w:family w:val="roman"/>
    <w:pitch w:val="variable"/>
  </w:font>
  <w:font w:name="Calibri">
    <w:charset w:val="cc" w:characterSet="windows-1251"/>
    <w:family w:val="swiss"/>
    <w:pitch w:val="variable"/>
  </w:font>
  <w:font w:name="Segoe UI">
    <w:charset w:val="cc" w:characterSet="windows-1251"/>
    <w:family w:val="swiss"/>
    <w:pitch w:val="variable"/>
  </w:font>
  <w:font w:name="OpenSymbol">
    <w:altName w:val="Arial Unicode MS"/>
    <w:charset w:val="02"/>
    <w:family w:val="roman"/>
    <w:pitch w:val="variable"/>
  </w:font>
  <w:font w:name="Arial">
    <w:charset w:val="cc" w:characterSet="windows-1251"/>
    <w:family w:val="swiss"/>
    <w:pitch w:val="variable"/>
  </w:font>
  <w:font w:name="Wingdings">
    <w:charset w:val="02"/>
    <w:family w:val="roman"/>
    <w:pitch w:val="variable"/>
  </w:font>
  <w:font w:name="Courier New">
    <w:charset w:val="cc" w:characterSet="windows-1251"/>
    <w:family w:val="roman"/>
    <w:pitch w:val="variable"/>
  </w:font>
  <w:font w:name="Liberation Sans">
    <w:altName w:val="Arial"/>
    <w:charset w:val="cc" w:characterSet="windows-1251"/>
    <w:family w:val="swiss"/>
    <w:pitch w:val="variable"/>
  </w:font>
  <w:font w:name="MS Outlook">
    <w:charset w:val="02"/>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052976785"/>
      <w:docPartObj>
        <w:docPartGallery w:val="Page Numbers (Top of Page)"/>
        <w:docPartUnique w:val="true"/>
      </w:docPartObj>
    </w:sdtPr>
    <w:sdtContent>
      <w:p>
        <w:pPr>
          <w:pStyle w:val="Header"/>
          <w:jc w:val="cente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w:instrText>
        </w:r>
        <w:r>
          <w:rPr>
            <w:rFonts w:ascii="Times New Roman" w:hAnsi="Times New Roman"/>
            <w:sz w:val="18"/>
            <w:szCs w:val="18"/>
          </w:rPr>
          <w:fldChar w:fldCharType="separate"/>
        </w:r>
        <w:r>
          <w:rPr>
            <w:rFonts w:ascii="Times New Roman" w:hAnsi="Times New Roman"/>
            <w:sz w:val="18"/>
            <w:szCs w:val="18"/>
          </w:rPr>
          <w:t>1</w:t>
        </w:r>
        <w:r>
          <w:rPr>
            <w:rFonts w:ascii="Times New Roman" w:hAnsi="Times New Roman"/>
            <w:sz w:val="18"/>
            <w:szCs w:val="18"/>
          </w:rPr>
          <w:fldChar w:fldCharType="end"/>
        </w:r>
      </w:p>
      <w:p>
        <w:pPr>
          <w:pStyle w:val="Header"/>
          <w:rPr/>
        </w:pPr>
        <w:r>
          <w:rPr/>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052976785"/>
      <w:docPartObj>
        <w:docPartGallery w:val="Page Numbers (Top of Page)"/>
        <w:docPartUnique w:val="true"/>
      </w:docPartObj>
    </w:sdtPr>
    <w:sdtContent>
      <w:p>
        <w:pPr>
          <w:pStyle w:val="Header"/>
          <w:jc w:val="cente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w:instrText>
        </w:r>
        <w:r>
          <w:rPr>
            <w:rFonts w:ascii="Times New Roman" w:hAnsi="Times New Roman"/>
            <w:sz w:val="18"/>
            <w:szCs w:val="18"/>
          </w:rPr>
          <w:fldChar w:fldCharType="separate"/>
        </w:r>
        <w:r>
          <w:rPr>
            <w:rFonts w:ascii="Times New Roman" w:hAnsi="Times New Roman"/>
            <w:sz w:val="18"/>
            <w:szCs w:val="18"/>
          </w:rPr>
          <w:t>1</w:t>
        </w:r>
        <w:r>
          <w:rPr>
            <w:rFonts w:ascii="Times New Roman" w:hAnsi="Times New Roman"/>
            <w:sz w:val="18"/>
            <w:szCs w:val="18"/>
          </w:rPr>
          <w:fldChar w:fldCharType="end"/>
        </w:r>
      </w:p>
      <w:p>
        <w:pPr>
          <w:pStyle w:val="Header"/>
          <w:rPr/>
        </w:pPr>
        <w:r>
          <w:rPr/>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o"/>
      <w:lvlJc w:val="start"/>
      <w:pPr>
        <w:tabs>
          <w:tab w:val="num" w:pos="1440"/>
        </w:tabs>
        <w:ind w:start="1440" w:hanging="360"/>
      </w:pPr>
      <w:rPr>
        <w:rFonts w:ascii="Courier New" w:hAnsi="Courier New" w:cs="Courier New" w:hint="default"/>
      </w:rPr>
    </w:lvl>
    <w:lvl w:ilvl="2">
      <w:start w:val="1"/>
      <w:numFmt w:val="bullet"/>
      <w:lvlText w:val=""/>
      <w:lvlJc w:val="start"/>
      <w:pPr>
        <w:tabs>
          <w:tab w:val="num" w:pos="2160"/>
        </w:tabs>
        <w:ind w:start="2160" w:hanging="360"/>
      </w:pPr>
      <w:rPr>
        <w:rFonts w:ascii="Wingdings" w:hAnsi="Wingdings" w:cs="Wingdings" w:hint="default"/>
      </w:rPr>
    </w:lvl>
    <w:lvl w:ilvl="3">
      <w:start w:val="1"/>
      <w:numFmt w:val="bullet"/>
      <w:lvlText w:val=""/>
      <w:lvlJc w:val="start"/>
      <w:pPr>
        <w:tabs>
          <w:tab w:val="num" w:pos="2880"/>
        </w:tabs>
        <w:ind w:start="2880" w:hanging="360"/>
      </w:pPr>
      <w:rPr>
        <w:rFonts w:ascii="Symbol" w:hAnsi="Symbol" w:cs="Symbol" w:hint="default"/>
      </w:rPr>
    </w:lvl>
    <w:lvl w:ilvl="4">
      <w:start w:val="1"/>
      <w:numFmt w:val="bullet"/>
      <w:lvlText w:val="o"/>
      <w:lvlJc w:val="start"/>
      <w:pPr>
        <w:tabs>
          <w:tab w:val="num" w:pos="3600"/>
        </w:tabs>
        <w:ind w:start="3600" w:hanging="360"/>
      </w:pPr>
      <w:rPr>
        <w:rFonts w:ascii="Courier New" w:hAnsi="Courier New" w:cs="Courier New" w:hint="default"/>
      </w:rPr>
    </w:lvl>
    <w:lvl w:ilvl="5">
      <w:start w:val="1"/>
      <w:numFmt w:val="bullet"/>
      <w:lvlText w:val=""/>
      <w:lvlJc w:val="start"/>
      <w:pPr>
        <w:tabs>
          <w:tab w:val="num" w:pos="4320"/>
        </w:tabs>
        <w:ind w:start="4320" w:hanging="360"/>
      </w:pPr>
      <w:rPr>
        <w:rFonts w:ascii="Wingdings" w:hAnsi="Wingdings" w:cs="Wingdings" w:hint="default"/>
      </w:rPr>
    </w:lvl>
    <w:lvl w:ilvl="6">
      <w:start w:val="1"/>
      <w:numFmt w:val="bullet"/>
      <w:lvlText w:val=""/>
      <w:lvlJc w:val="start"/>
      <w:pPr>
        <w:tabs>
          <w:tab w:val="num" w:pos="5040"/>
        </w:tabs>
        <w:ind w:start="5040" w:hanging="360"/>
      </w:pPr>
      <w:rPr>
        <w:rFonts w:ascii="Symbol" w:hAnsi="Symbol" w:cs="Symbol" w:hint="default"/>
      </w:rPr>
    </w:lvl>
    <w:lvl w:ilvl="7">
      <w:start w:val="1"/>
      <w:numFmt w:val="bullet"/>
      <w:lvlText w:val="o"/>
      <w:lvlJc w:val="start"/>
      <w:pPr>
        <w:tabs>
          <w:tab w:val="num" w:pos="5760"/>
        </w:tabs>
        <w:ind w:start="5760" w:hanging="360"/>
      </w:pPr>
      <w:rPr>
        <w:rFonts w:ascii="Courier New" w:hAnsi="Courier New" w:cs="Courier New" w:hint="default"/>
      </w:rPr>
    </w:lvl>
    <w:lvl w:ilvl="8">
      <w:start w:val="1"/>
      <w:numFmt w:val="bullet"/>
      <w:lvlText w:val=""/>
      <w:lvlJc w:val="start"/>
      <w:pPr>
        <w:tabs>
          <w:tab w:val="num" w:pos="6480"/>
        </w:tabs>
        <w:ind w:start="6480" w:hanging="360"/>
      </w:pPr>
      <w:rPr>
        <w:rFonts w:ascii="Wingdings" w:hAnsi="Wingdings" w:cs="Wingdings" w:hint="default"/>
      </w:rPr>
    </w:lvl>
  </w:abstractNum>
  <w:abstractNum w:abstractNumId="2">
    <w:lvl w:ilvl="0">
      <w:start w:val="7"/>
      <w:numFmt w:val="decimal"/>
      <w:lvlText w:val="%1."/>
      <w:lvlJc w:val="start"/>
      <w:pPr>
        <w:tabs>
          <w:tab w:val="num" w:pos="0"/>
        </w:tabs>
        <w:ind w:start="720" w:hanging="360"/>
      </w:pPr>
      <w:rPr>
        <w:b/>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6"/>
      <w:numFmt w:val="decimal"/>
      <w:lvlText w:val="%1."/>
      <w:lvlJc w:val="start"/>
      <w:pPr>
        <w:tabs>
          <w:tab w:val="num" w:pos="0"/>
        </w:tabs>
        <w:ind w:start="720" w:hanging="360"/>
      </w:pPr>
      <w:rPr>
        <w:b/>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decimal"/>
      <w:lvlText w:val="%1."/>
      <w:lvlJc w:val="start"/>
      <w:pPr>
        <w:tabs>
          <w:tab w:val="num" w:pos="432"/>
        </w:tabs>
        <w:ind w:start="432" w:hanging="432"/>
      </w:pPr>
      <w:rPr/>
    </w:lvl>
    <w:lvl w:ilvl="1">
      <w:start w:val="1"/>
      <w:numFmt w:val="decimal"/>
      <w:lvlText w:val="%1.%2"/>
      <w:lvlJc w:val="start"/>
      <w:pPr>
        <w:tabs>
          <w:tab w:val="num" w:pos="1836"/>
        </w:tabs>
        <w:ind w:start="1836" w:hanging="576"/>
      </w:pPr>
      <w:rPr/>
    </w:lvl>
    <w:lvl w:ilvl="2">
      <w:start w:val="1"/>
      <w:numFmt w:val="decimal"/>
      <w:lvlText w:val="%1.%2.%3"/>
      <w:lvlJc w:val="start"/>
      <w:pPr>
        <w:tabs>
          <w:tab w:val="num" w:pos="1307"/>
        </w:tabs>
        <w:ind w:start="1080" w:hanging="0"/>
      </w:pPr>
      <w:rPr/>
    </w:lvl>
    <w:lvl w:ilvl="3">
      <w:start w:val="1"/>
      <w:numFmt w:val="decimal"/>
      <w:lvlText w:val="%1.%2.%3.%4"/>
      <w:lvlJc w:val="start"/>
      <w:pPr>
        <w:tabs>
          <w:tab w:val="num" w:pos="864"/>
        </w:tabs>
        <w:ind w:start="864" w:hanging="864"/>
      </w:pPr>
      <w:rPr/>
    </w:lvl>
    <w:lvl w:ilvl="4">
      <w:start w:val="1"/>
      <w:numFmt w:val="decimal"/>
      <w:lvlText w:val="%1.%2.%3.%4.%5"/>
      <w:lvlJc w:val="start"/>
      <w:pPr>
        <w:tabs>
          <w:tab w:val="num" w:pos="1008"/>
        </w:tabs>
        <w:ind w:start="1008" w:hanging="1008"/>
      </w:pPr>
      <w:rPr/>
    </w:lvl>
    <w:lvl w:ilvl="5">
      <w:start w:val="1"/>
      <w:numFmt w:val="decimal"/>
      <w:lvlText w:val="%1.%2.%3.%4.%5.%6"/>
      <w:lvlJc w:val="start"/>
      <w:pPr>
        <w:tabs>
          <w:tab w:val="num" w:pos="1152"/>
        </w:tabs>
        <w:ind w:start="1152" w:hanging="1152"/>
      </w:pPr>
      <w:rPr/>
    </w:lvl>
    <w:lvl w:ilvl="6">
      <w:start w:val="1"/>
      <w:numFmt w:val="decimal"/>
      <w:lvlText w:val="%1.%2.%3.%4.%5.%6.%7"/>
      <w:lvlJc w:val="start"/>
      <w:pPr>
        <w:tabs>
          <w:tab w:val="num" w:pos="1296"/>
        </w:tabs>
        <w:ind w:start="1296" w:hanging="1296"/>
      </w:pPr>
      <w:rPr/>
    </w:lvl>
    <w:lvl w:ilvl="7">
      <w:start w:val="1"/>
      <w:numFmt w:val="decimal"/>
      <w:lvlText w:val="%1.%2.%3.%4.%5.%6.%7.%8"/>
      <w:lvlJc w:val="start"/>
      <w:pPr>
        <w:tabs>
          <w:tab w:val="num" w:pos="1440"/>
        </w:tabs>
        <w:ind w:start="1440" w:hanging="1440"/>
      </w:pPr>
      <w:rPr/>
    </w:lvl>
    <w:lvl w:ilvl="8">
      <w:start w:val="1"/>
      <w:numFmt w:val="decimal"/>
      <w:lvlText w:val="%1.%2.%3.%4.%5.%6.%7.%8.%9"/>
      <w:lvlJc w:val="start"/>
      <w:pPr>
        <w:tabs>
          <w:tab w:val="num" w:pos="1584"/>
        </w:tabs>
        <w:ind w:start="1584" w:hanging="1584"/>
      </w:pPr>
      <w:rPr/>
    </w:lvl>
  </w:abstractNum>
  <w:abstractNum w:abstractNumId="5">
    <w:lvl w:ilvl="0">
      <w:start w:val="1"/>
      <w:numFmt w:val="decimal"/>
      <w:lvlText w:val="%1."/>
      <w:lvlJc w:val="start"/>
      <w:pPr>
        <w:tabs>
          <w:tab w:val="num" w:pos="0"/>
        </w:tabs>
        <w:ind w:start="360" w:hanging="360"/>
      </w:pPr>
      <w:rPr>
        <w:w w:val="105"/>
      </w:rPr>
    </w:lvl>
    <w:lvl w:ilvl="1">
      <w:start w:val="1"/>
      <w:numFmt w:val="decimal"/>
      <w:lvlText w:val="%1.%2."/>
      <w:lvlJc w:val="start"/>
      <w:pPr>
        <w:tabs>
          <w:tab w:val="num" w:pos="0"/>
        </w:tabs>
        <w:ind w:start="360" w:hanging="360"/>
      </w:pPr>
      <w:rPr>
        <w:w w:val="105"/>
      </w:rPr>
    </w:lvl>
    <w:lvl w:ilvl="2">
      <w:start w:val="1"/>
      <w:numFmt w:val="decimal"/>
      <w:lvlText w:val="%1.%2.%3."/>
      <w:lvlJc w:val="start"/>
      <w:pPr>
        <w:tabs>
          <w:tab w:val="num" w:pos="0"/>
        </w:tabs>
        <w:ind w:start="720" w:hanging="720"/>
      </w:pPr>
      <w:rPr>
        <w:w w:val="105"/>
      </w:rPr>
    </w:lvl>
    <w:lvl w:ilvl="3">
      <w:start w:val="1"/>
      <w:numFmt w:val="decimal"/>
      <w:lvlText w:val="%1.%2.%3.%4."/>
      <w:lvlJc w:val="start"/>
      <w:pPr>
        <w:tabs>
          <w:tab w:val="num" w:pos="0"/>
        </w:tabs>
        <w:ind w:start="720" w:hanging="720"/>
      </w:pPr>
      <w:rPr>
        <w:w w:val="105"/>
      </w:rPr>
    </w:lvl>
    <w:lvl w:ilvl="4">
      <w:start w:val="1"/>
      <w:numFmt w:val="decimal"/>
      <w:lvlText w:val="%1.%2.%3.%4.%5."/>
      <w:lvlJc w:val="start"/>
      <w:pPr>
        <w:tabs>
          <w:tab w:val="num" w:pos="0"/>
        </w:tabs>
        <w:ind w:start="1080" w:hanging="1080"/>
      </w:pPr>
      <w:rPr>
        <w:w w:val="105"/>
      </w:rPr>
    </w:lvl>
    <w:lvl w:ilvl="5">
      <w:start w:val="1"/>
      <w:numFmt w:val="decimal"/>
      <w:lvlText w:val="%1.%2.%3.%4.%5.%6."/>
      <w:lvlJc w:val="start"/>
      <w:pPr>
        <w:tabs>
          <w:tab w:val="num" w:pos="0"/>
        </w:tabs>
        <w:ind w:start="1080" w:hanging="1080"/>
      </w:pPr>
      <w:rPr>
        <w:w w:val="105"/>
      </w:rPr>
    </w:lvl>
    <w:lvl w:ilvl="6">
      <w:start w:val="1"/>
      <w:numFmt w:val="decimal"/>
      <w:lvlText w:val="%1.%2.%3.%4.%5.%6.%7."/>
      <w:lvlJc w:val="start"/>
      <w:pPr>
        <w:tabs>
          <w:tab w:val="num" w:pos="0"/>
        </w:tabs>
        <w:ind w:start="1440" w:hanging="1440"/>
      </w:pPr>
      <w:rPr>
        <w:w w:val="105"/>
      </w:rPr>
    </w:lvl>
    <w:lvl w:ilvl="7">
      <w:start w:val="1"/>
      <w:numFmt w:val="decimal"/>
      <w:lvlText w:val="%1.%2.%3.%4.%5.%6.%7.%8."/>
      <w:lvlJc w:val="start"/>
      <w:pPr>
        <w:tabs>
          <w:tab w:val="num" w:pos="0"/>
        </w:tabs>
        <w:ind w:start="1440" w:hanging="1440"/>
      </w:pPr>
      <w:rPr>
        <w:w w:val="105"/>
      </w:rPr>
    </w:lvl>
    <w:lvl w:ilvl="8">
      <w:start w:val="1"/>
      <w:numFmt w:val="decimal"/>
      <w:lvlText w:val="%1.%2.%3.%4.%5.%6.%7.%8.%9."/>
      <w:lvlJc w:val="start"/>
      <w:pPr>
        <w:tabs>
          <w:tab w:val="num" w:pos="0"/>
        </w:tabs>
        <w:ind w:start="1800" w:hanging="1800"/>
      </w:pPr>
      <w:rPr>
        <w:w w:val="105"/>
      </w:rPr>
    </w:lvl>
  </w:abstractNum>
  <w:abstractNum w:abstractNumId="6">
    <w:lvl w:ilvl="0">
      <w:start w:val="1"/>
      <w:numFmt w:val="decimal"/>
      <w:lvlText w:val="%1."/>
      <w:lvlJc w:val="start"/>
      <w:pPr>
        <w:tabs>
          <w:tab w:val="num" w:pos="0"/>
        </w:tabs>
        <w:ind w:start="360" w:hanging="360"/>
      </w:pPr>
      <w:rPr>
        <w:w w:val="105"/>
      </w:rPr>
    </w:lvl>
    <w:lvl w:ilvl="1">
      <w:start w:val="1"/>
      <w:numFmt w:val="decimal"/>
      <w:lvlText w:val="%1.%2."/>
      <w:lvlJc w:val="start"/>
      <w:pPr>
        <w:tabs>
          <w:tab w:val="num" w:pos="0"/>
        </w:tabs>
        <w:ind w:start="360" w:hanging="360"/>
      </w:pPr>
      <w:rPr>
        <w:w w:val="105"/>
      </w:rPr>
    </w:lvl>
    <w:lvl w:ilvl="2">
      <w:start w:val="1"/>
      <w:numFmt w:val="decimal"/>
      <w:lvlText w:val="%1.%2.%3."/>
      <w:lvlJc w:val="start"/>
      <w:pPr>
        <w:tabs>
          <w:tab w:val="num" w:pos="0"/>
        </w:tabs>
        <w:ind w:start="720" w:hanging="720"/>
      </w:pPr>
      <w:rPr>
        <w:w w:val="105"/>
      </w:rPr>
    </w:lvl>
    <w:lvl w:ilvl="3">
      <w:start w:val="1"/>
      <w:numFmt w:val="decimal"/>
      <w:lvlText w:val="%1.%2.%3.%4."/>
      <w:lvlJc w:val="start"/>
      <w:pPr>
        <w:tabs>
          <w:tab w:val="num" w:pos="0"/>
        </w:tabs>
        <w:ind w:start="720" w:hanging="720"/>
      </w:pPr>
      <w:rPr>
        <w:w w:val="105"/>
      </w:rPr>
    </w:lvl>
    <w:lvl w:ilvl="4">
      <w:start w:val="1"/>
      <w:numFmt w:val="decimal"/>
      <w:lvlText w:val="%1.%2.%3.%4.%5."/>
      <w:lvlJc w:val="start"/>
      <w:pPr>
        <w:tabs>
          <w:tab w:val="num" w:pos="0"/>
        </w:tabs>
        <w:ind w:start="1080" w:hanging="1080"/>
      </w:pPr>
      <w:rPr>
        <w:w w:val="105"/>
      </w:rPr>
    </w:lvl>
    <w:lvl w:ilvl="5">
      <w:start w:val="1"/>
      <w:numFmt w:val="decimal"/>
      <w:lvlText w:val="%1.%2.%3.%4.%5.%6."/>
      <w:lvlJc w:val="start"/>
      <w:pPr>
        <w:tabs>
          <w:tab w:val="num" w:pos="0"/>
        </w:tabs>
        <w:ind w:start="1080" w:hanging="1080"/>
      </w:pPr>
      <w:rPr>
        <w:w w:val="105"/>
      </w:rPr>
    </w:lvl>
    <w:lvl w:ilvl="6">
      <w:start w:val="1"/>
      <w:numFmt w:val="decimal"/>
      <w:lvlText w:val="%1.%2.%3.%4.%5.%6.%7."/>
      <w:lvlJc w:val="start"/>
      <w:pPr>
        <w:tabs>
          <w:tab w:val="num" w:pos="0"/>
        </w:tabs>
        <w:ind w:start="1440" w:hanging="1440"/>
      </w:pPr>
      <w:rPr>
        <w:w w:val="105"/>
      </w:rPr>
    </w:lvl>
    <w:lvl w:ilvl="7">
      <w:start w:val="1"/>
      <w:numFmt w:val="decimal"/>
      <w:lvlText w:val="%1.%2.%3.%4.%5.%6.%7.%8."/>
      <w:lvlJc w:val="start"/>
      <w:pPr>
        <w:tabs>
          <w:tab w:val="num" w:pos="0"/>
        </w:tabs>
        <w:ind w:start="1440" w:hanging="1440"/>
      </w:pPr>
      <w:rPr>
        <w:w w:val="105"/>
      </w:rPr>
    </w:lvl>
    <w:lvl w:ilvl="8">
      <w:start w:val="1"/>
      <w:numFmt w:val="decimal"/>
      <w:lvlText w:val="%1.%2.%3.%4.%5.%6.%7.%8.%9."/>
      <w:lvlJc w:val="start"/>
      <w:pPr>
        <w:tabs>
          <w:tab w:val="num" w:pos="0"/>
        </w:tabs>
        <w:ind w:start="1800" w:hanging="1800"/>
      </w:pPr>
      <w:rPr>
        <w:w w:val="105"/>
      </w:rPr>
    </w:lvl>
  </w:abstractNum>
  <w:abstractNum w:abstractNumId="7">
    <w:lvl w:ilvl="0">
      <w:start w:val="1"/>
      <w:numFmt w:val="decimal"/>
      <w:lvlText w:val="%1."/>
      <w:lvlJc w:val="start"/>
      <w:pPr>
        <w:tabs>
          <w:tab w:val="num" w:pos="0"/>
        </w:tabs>
        <w:ind w:start="360" w:hanging="360"/>
      </w:pPr>
      <w:rPr>
        <w:w w:val="105"/>
      </w:rPr>
    </w:lvl>
    <w:lvl w:ilvl="1">
      <w:start w:val="1"/>
      <w:numFmt w:val="decimal"/>
      <w:lvlText w:val="%1.%2."/>
      <w:lvlJc w:val="start"/>
      <w:pPr>
        <w:tabs>
          <w:tab w:val="num" w:pos="0"/>
        </w:tabs>
        <w:ind w:start="360" w:hanging="360"/>
      </w:pPr>
      <w:rPr>
        <w:w w:val="105"/>
      </w:rPr>
    </w:lvl>
    <w:lvl w:ilvl="2">
      <w:start w:val="1"/>
      <w:numFmt w:val="decimal"/>
      <w:lvlText w:val="%1.%2.%3."/>
      <w:lvlJc w:val="start"/>
      <w:pPr>
        <w:tabs>
          <w:tab w:val="num" w:pos="0"/>
        </w:tabs>
        <w:ind w:start="720" w:hanging="720"/>
      </w:pPr>
      <w:rPr>
        <w:w w:val="105"/>
      </w:rPr>
    </w:lvl>
    <w:lvl w:ilvl="3">
      <w:start w:val="1"/>
      <w:numFmt w:val="decimal"/>
      <w:lvlText w:val="%1.%2.%3.%4."/>
      <w:lvlJc w:val="start"/>
      <w:pPr>
        <w:tabs>
          <w:tab w:val="num" w:pos="0"/>
        </w:tabs>
        <w:ind w:start="720" w:hanging="720"/>
      </w:pPr>
      <w:rPr>
        <w:w w:val="105"/>
      </w:rPr>
    </w:lvl>
    <w:lvl w:ilvl="4">
      <w:start w:val="1"/>
      <w:numFmt w:val="decimal"/>
      <w:lvlText w:val="%1.%2.%3.%4.%5."/>
      <w:lvlJc w:val="start"/>
      <w:pPr>
        <w:tabs>
          <w:tab w:val="num" w:pos="0"/>
        </w:tabs>
        <w:ind w:start="1080" w:hanging="1080"/>
      </w:pPr>
      <w:rPr>
        <w:w w:val="105"/>
      </w:rPr>
    </w:lvl>
    <w:lvl w:ilvl="5">
      <w:start w:val="1"/>
      <w:numFmt w:val="decimal"/>
      <w:lvlText w:val="%1.%2.%3.%4.%5.%6."/>
      <w:lvlJc w:val="start"/>
      <w:pPr>
        <w:tabs>
          <w:tab w:val="num" w:pos="0"/>
        </w:tabs>
        <w:ind w:start="1080" w:hanging="1080"/>
      </w:pPr>
      <w:rPr>
        <w:w w:val="105"/>
      </w:rPr>
    </w:lvl>
    <w:lvl w:ilvl="6">
      <w:start w:val="1"/>
      <w:numFmt w:val="decimal"/>
      <w:lvlText w:val="%1.%2.%3.%4.%5.%6.%7."/>
      <w:lvlJc w:val="start"/>
      <w:pPr>
        <w:tabs>
          <w:tab w:val="num" w:pos="0"/>
        </w:tabs>
        <w:ind w:start="1440" w:hanging="1440"/>
      </w:pPr>
      <w:rPr>
        <w:w w:val="105"/>
      </w:rPr>
    </w:lvl>
    <w:lvl w:ilvl="7">
      <w:start w:val="1"/>
      <w:numFmt w:val="decimal"/>
      <w:lvlText w:val="%1.%2.%3.%4.%5.%6.%7.%8."/>
      <w:lvlJc w:val="start"/>
      <w:pPr>
        <w:tabs>
          <w:tab w:val="num" w:pos="0"/>
        </w:tabs>
        <w:ind w:start="1440" w:hanging="1440"/>
      </w:pPr>
      <w:rPr>
        <w:w w:val="105"/>
      </w:rPr>
    </w:lvl>
    <w:lvl w:ilvl="8">
      <w:start w:val="1"/>
      <w:numFmt w:val="decimal"/>
      <w:lvlText w:val="%1.%2.%3.%4.%5.%6.%7.%8.%9."/>
      <w:lvlJc w:val="start"/>
      <w:pPr>
        <w:tabs>
          <w:tab w:val="num" w:pos="0"/>
        </w:tabs>
        <w:ind w:start="1800" w:hanging="1800"/>
      </w:pPr>
      <w:rPr>
        <w:w w:val="105"/>
      </w:rPr>
    </w:lvl>
  </w:abstractNum>
  <w:abstractNum w:abstractNumId="8">
    <w:lvl w:ilvl="0">
      <w:start w:val="18"/>
      <w:numFmt w:val="decimal"/>
      <w:lvlText w:val="%1"/>
      <w:lvlJc w:val="start"/>
      <w:pPr>
        <w:tabs>
          <w:tab w:val="num" w:pos="0"/>
        </w:tabs>
        <w:ind w:start="91" w:hanging="609"/>
      </w:pPr>
      <w:rPr/>
    </w:lvl>
    <w:lvl w:ilvl="1">
      <w:start w:val="1"/>
      <w:numFmt w:val="decimal"/>
      <w:lvlText w:val="%1.%2."/>
      <w:lvlJc w:val="start"/>
      <w:pPr>
        <w:tabs>
          <w:tab w:val="num" w:pos="0"/>
        </w:tabs>
        <w:ind w:start="91" w:hanging="609"/>
      </w:pPr>
      <w:rPr>
        <w:rFonts w:ascii="Times New Roman" w:hAnsi="Times New Roman" w:eastAsia="Times New Roman" w:cs="Times New Roman"/>
        <w:color w:val="33312F"/>
        <w:w w:val="102"/>
        <w:sz w:val="23"/>
        <w:szCs w:val="23"/>
      </w:rPr>
    </w:lvl>
    <w:lvl w:ilvl="2">
      <w:start w:val="0"/>
      <w:numFmt w:val="bullet"/>
      <w:lvlText w:val=""/>
      <w:lvlJc w:val="start"/>
      <w:pPr>
        <w:tabs>
          <w:tab w:val="num" w:pos="0"/>
        </w:tabs>
        <w:ind w:start="1564" w:hanging="609"/>
      </w:pPr>
      <w:rPr>
        <w:rFonts w:ascii="Symbol" w:hAnsi="Symbol" w:cs="Symbol" w:hint="default"/>
      </w:rPr>
    </w:lvl>
    <w:lvl w:ilvl="3">
      <w:start w:val="0"/>
      <w:numFmt w:val="bullet"/>
      <w:lvlText w:val=""/>
      <w:lvlJc w:val="start"/>
      <w:pPr>
        <w:tabs>
          <w:tab w:val="num" w:pos="0"/>
        </w:tabs>
        <w:ind w:start="2296" w:hanging="609"/>
      </w:pPr>
      <w:rPr>
        <w:rFonts w:ascii="Symbol" w:hAnsi="Symbol" w:cs="Symbol" w:hint="default"/>
      </w:rPr>
    </w:lvl>
    <w:lvl w:ilvl="4">
      <w:start w:val="0"/>
      <w:numFmt w:val="bullet"/>
      <w:lvlText w:val=""/>
      <w:lvlJc w:val="start"/>
      <w:pPr>
        <w:tabs>
          <w:tab w:val="num" w:pos="0"/>
        </w:tabs>
        <w:ind w:start="3028" w:hanging="609"/>
      </w:pPr>
      <w:rPr>
        <w:rFonts w:ascii="Symbol" w:hAnsi="Symbol" w:cs="Symbol" w:hint="default"/>
      </w:rPr>
    </w:lvl>
    <w:lvl w:ilvl="5">
      <w:start w:val="0"/>
      <w:numFmt w:val="bullet"/>
      <w:lvlText w:val=""/>
      <w:lvlJc w:val="start"/>
      <w:pPr>
        <w:tabs>
          <w:tab w:val="num" w:pos="0"/>
        </w:tabs>
        <w:ind w:start="3761" w:hanging="609"/>
      </w:pPr>
      <w:rPr>
        <w:rFonts w:ascii="Symbol" w:hAnsi="Symbol" w:cs="Symbol" w:hint="default"/>
      </w:rPr>
    </w:lvl>
    <w:lvl w:ilvl="6">
      <w:start w:val="0"/>
      <w:numFmt w:val="bullet"/>
      <w:lvlText w:val=""/>
      <w:lvlJc w:val="start"/>
      <w:pPr>
        <w:tabs>
          <w:tab w:val="num" w:pos="0"/>
        </w:tabs>
        <w:ind w:start="4493" w:hanging="609"/>
      </w:pPr>
      <w:rPr>
        <w:rFonts w:ascii="Symbol" w:hAnsi="Symbol" w:cs="Symbol" w:hint="default"/>
      </w:rPr>
    </w:lvl>
    <w:lvl w:ilvl="7">
      <w:start w:val="0"/>
      <w:numFmt w:val="bullet"/>
      <w:lvlText w:val=""/>
      <w:lvlJc w:val="start"/>
      <w:pPr>
        <w:tabs>
          <w:tab w:val="num" w:pos="0"/>
        </w:tabs>
        <w:ind w:start="5225" w:hanging="609"/>
      </w:pPr>
      <w:rPr>
        <w:rFonts w:ascii="Symbol" w:hAnsi="Symbol" w:cs="Symbol" w:hint="default"/>
      </w:rPr>
    </w:lvl>
    <w:lvl w:ilvl="8">
      <w:start w:val="0"/>
      <w:numFmt w:val="bullet"/>
      <w:lvlText w:val=""/>
      <w:lvlJc w:val="start"/>
      <w:pPr>
        <w:tabs>
          <w:tab w:val="num" w:pos="0"/>
        </w:tabs>
        <w:ind w:start="5957" w:hanging="609"/>
      </w:pPr>
      <w:rPr>
        <w:rFonts w:ascii="Symbol" w:hAnsi="Symbol" w:cs="Symbol" w:hint="default"/>
      </w:rPr>
    </w:lvl>
  </w:abstractNum>
  <w:abstractNum w:abstractNumId="9">
    <w:lvl w:ilvl="0">
      <w:start w:val="18"/>
      <w:numFmt w:val="decimal"/>
      <w:lvlText w:val="%1"/>
      <w:lvlJc w:val="start"/>
      <w:pPr>
        <w:tabs>
          <w:tab w:val="num" w:pos="0"/>
        </w:tabs>
        <w:ind w:start="91" w:hanging="609"/>
      </w:pPr>
      <w:rPr/>
    </w:lvl>
    <w:lvl w:ilvl="1">
      <w:start w:val="1"/>
      <w:numFmt w:val="decimal"/>
      <w:lvlText w:val="%1.%2."/>
      <w:lvlJc w:val="start"/>
      <w:pPr>
        <w:tabs>
          <w:tab w:val="num" w:pos="0"/>
        </w:tabs>
        <w:ind w:start="91" w:hanging="609"/>
      </w:pPr>
      <w:rPr>
        <w:rFonts w:ascii="Times New Roman" w:hAnsi="Times New Roman" w:eastAsia="Times New Roman" w:cs="Times New Roman"/>
        <w:color w:val="33312F"/>
        <w:w w:val="102"/>
        <w:sz w:val="23"/>
        <w:szCs w:val="23"/>
      </w:rPr>
    </w:lvl>
    <w:lvl w:ilvl="2">
      <w:start w:val="0"/>
      <w:numFmt w:val="bullet"/>
      <w:lvlText w:val=""/>
      <w:lvlJc w:val="start"/>
      <w:pPr>
        <w:tabs>
          <w:tab w:val="num" w:pos="0"/>
        </w:tabs>
        <w:ind w:start="1564" w:hanging="609"/>
      </w:pPr>
      <w:rPr>
        <w:rFonts w:ascii="Symbol" w:hAnsi="Symbol" w:cs="Symbol" w:hint="default"/>
      </w:rPr>
    </w:lvl>
    <w:lvl w:ilvl="3">
      <w:start w:val="0"/>
      <w:numFmt w:val="bullet"/>
      <w:lvlText w:val=""/>
      <w:lvlJc w:val="start"/>
      <w:pPr>
        <w:tabs>
          <w:tab w:val="num" w:pos="0"/>
        </w:tabs>
        <w:ind w:start="2296" w:hanging="609"/>
      </w:pPr>
      <w:rPr>
        <w:rFonts w:ascii="Symbol" w:hAnsi="Symbol" w:cs="Symbol" w:hint="default"/>
      </w:rPr>
    </w:lvl>
    <w:lvl w:ilvl="4">
      <w:start w:val="0"/>
      <w:numFmt w:val="bullet"/>
      <w:lvlText w:val=""/>
      <w:lvlJc w:val="start"/>
      <w:pPr>
        <w:tabs>
          <w:tab w:val="num" w:pos="0"/>
        </w:tabs>
        <w:ind w:start="3028" w:hanging="609"/>
      </w:pPr>
      <w:rPr>
        <w:rFonts w:ascii="Symbol" w:hAnsi="Symbol" w:cs="Symbol" w:hint="default"/>
      </w:rPr>
    </w:lvl>
    <w:lvl w:ilvl="5">
      <w:start w:val="0"/>
      <w:numFmt w:val="bullet"/>
      <w:lvlText w:val=""/>
      <w:lvlJc w:val="start"/>
      <w:pPr>
        <w:tabs>
          <w:tab w:val="num" w:pos="0"/>
        </w:tabs>
        <w:ind w:start="3761" w:hanging="609"/>
      </w:pPr>
      <w:rPr>
        <w:rFonts w:ascii="Symbol" w:hAnsi="Symbol" w:cs="Symbol" w:hint="default"/>
      </w:rPr>
    </w:lvl>
    <w:lvl w:ilvl="6">
      <w:start w:val="0"/>
      <w:numFmt w:val="bullet"/>
      <w:lvlText w:val=""/>
      <w:lvlJc w:val="start"/>
      <w:pPr>
        <w:tabs>
          <w:tab w:val="num" w:pos="0"/>
        </w:tabs>
        <w:ind w:start="4493" w:hanging="609"/>
      </w:pPr>
      <w:rPr>
        <w:rFonts w:ascii="Symbol" w:hAnsi="Symbol" w:cs="Symbol" w:hint="default"/>
      </w:rPr>
    </w:lvl>
    <w:lvl w:ilvl="7">
      <w:start w:val="0"/>
      <w:numFmt w:val="bullet"/>
      <w:lvlText w:val=""/>
      <w:lvlJc w:val="start"/>
      <w:pPr>
        <w:tabs>
          <w:tab w:val="num" w:pos="0"/>
        </w:tabs>
        <w:ind w:start="5225" w:hanging="609"/>
      </w:pPr>
      <w:rPr>
        <w:rFonts w:ascii="Symbol" w:hAnsi="Symbol" w:cs="Symbol" w:hint="default"/>
      </w:rPr>
    </w:lvl>
    <w:lvl w:ilvl="8">
      <w:start w:val="0"/>
      <w:numFmt w:val="bullet"/>
      <w:lvlText w:val=""/>
      <w:lvlJc w:val="start"/>
      <w:pPr>
        <w:tabs>
          <w:tab w:val="num" w:pos="0"/>
        </w:tabs>
        <w:ind w:start="5957" w:hanging="609"/>
      </w:pPr>
      <w:rPr>
        <w:rFonts w:ascii="Symbol" w:hAnsi="Symbol" w:cs="Symbol" w:hint="default"/>
      </w:rPr>
    </w:lvl>
  </w:abstractNum>
  <w:abstractNum w:abstractNumId="1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5"/>
    <w:lvlOverride w:ilvl="0">
      <w:startOverride w:val="1"/>
    </w:lvlOverride>
    <w:lvlOverride w:ilvl="1">
      <w:startOverride w:val="1"/>
    </w:lvlOverride>
  </w:num>
  <w:num w:numId="12">
    <w:abstractNumId w:val="8"/>
    <w:lvlOverride w:ilvl="0">
      <w:startOverride w:val="18"/>
    </w:lvlOverride>
    <w:lvlOverride w:ilvl="1">
      <w:startOverride w:val="1"/>
    </w:lvlOverride>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5c21"/>
    <w:pPr>
      <w:widowControl/>
      <w:suppressAutoHyphens w:val="true"/>
      <w:bidi w:val="0"/>
      <w:spacing w:lineRule="auto" w:line="276" w:before="0" w:after="200"/>
      <w:jc w:val="start"/>
    </w:pPr>
    <w:rPr>
      <w:rFonts w:eastAsia="Times New Roman" w:cs="Times New Roman" w:ascii="Calibri" w:hAnsi="Calibri" w:asciiTheme="minorHAnsi" w:hAnsiTheme="minorHAnsi"/>
      <w:color w:val="auto"/>
      <w:kern w:val="0"/>
      <w:sz w:val="22"/>
      <w:szCs w:val="22"/>
      <w:lang w:eastAsia="ru-RU" w:val="ru-RU" w:bidi="ar-SA"/>
    </w:rPr>
  </w:style>
  <w:style w:type="paragraph" w:styleId="Heading1">
    <w:name w:val="heading 1"/>
    <w:basedOn w:val="Normal"/>
    <w:next w:val="Normal"/>
    <w:qFormat/>
    <w:pPr>
      <w:keepNext w:val="true"/>
      <w:suppressAutoHyphens w:val="false"/>
      <w:ind w:hanging="180" w:start="180"/>
      <w:outlineLvl w:val="0"/>
    </w:pPr>
    <w:rPr>
      <w:rFonts w:eastAsia="Calibri"/>
      <w:sz w:val="28"/>
    </w:rPr>
  </w:style>
  <w:style w:type="paragraph" w:styleId="Heading2">
    <w:name w:val="heading 2"/>
    <w:basedOn w:val="Normal"/>
    <w:next w:val="Normal"/>
    <w:link w:val="2"/>
    <w:semiHidden/>
    <w:unhideWhenUsed/>
    <w:qFormat/>
    <w:rsid w:val="00fe004b"/>
    <w:pPr>
      <w:keepNext w:val="true"/>
      <w:keepLines/>
      <w:spacing w:lineRule="auto" w:line="240" w:before="200" w:after="0"/>
      <w:outlineLvl w:val="1"/>
    </w:pPr>
    <w:rPr>
      <w:rFonts w:ascii="Cambria" w:hAnsi="Cambria"/>
      <w:b/>
      <w:bCs/>
      <w:color w:val="4F81BD"/>
      <w:sz w:val="26"/>
      <w:szCs w:val="26"/>
    </w:rPr>
  </w:style>
  <w:style w:type="character" w:styleId="DefaultParagraphFont" w:default="1">
    <w:name w:val="Default Paragraph Font"/>
    <w:uiPriority w:val="1"/>
    <w:semiHidden/>
    <w:unhideWhenUsed/>
    <w:qFormat/>
    <w:rPr/>
  </w:style>
  <w:style w:type="character" w:styleId="Style12" w:customStyle="1">
    <w:name w:val="Основной текст Знак"/>
    <w:basedOn w:val="DefaultParagraphFont"/>
    <w:uiPriority w:val="99"/>
    <w:qFormat/>
    <w:rsid w:val="003c5c21"/>
    <w:rPr>
      <w:rFonts w:ascii="Times New Roman" w:hAnsi="Times New Roman" w:eastAsia="Times New Roman" w:cs="Times New Roman"/>
      <w:sz w:val="24"/>
      <w:szCs w:val="24"/>
      <w:lang w:eastAsia="ru-RU"/>
    </w:rPr>
  </w:style>
  <w:style w:type="character" w:styleId="Style13" w:customStyle="1">
    <w:name w:val="Текст сноски Знак"/>
    <w:basedOn w:val="DefaultParagraphFont"/>
    <w:uiPriority w:val="99"/>
    <w:qFormat/>
    <w:rsid w:val="003c5c21"/>
    <w:rPr>
      <w:rFonts w:ascii="Times New Roman" w:hAnsi="Times New Roman" w:eastAsia="Times New Roman" w:cs="Times New Roman"/>
      <w:sz w:val="20"/>
      <w:szCs w:val="20"/>
      <w:lang w:eastAsia="ru-RU"/>
    </w:rPr>
  </w:style>
  <w:style w:type="character" w:styleId="Style14" w:customStyle="1">
    <w:name w:val="Символ сноски"/>
    <w:qFormat/>
    <w:rPr>
      <w:vertAlign w:val="superscript"/>
    </w:rPr>
  </w:style>
  <w:style w:type="character" w:styleId="user" w:customStyle="1">
    <w:name w:val="Символ сноски (user)"/>
    <w:qFormat/>
    <w:rPr>
      <w:vertAlign w:val="superscript"/>
    </w:rPr>
  </w:style>
  <w:style w:type="character" w:styleId="FootnoteReference">
    <w:name w:val="footnote reference"/>
    <w:rPr>
      <w:vertAlign w:val="superscript"/>
    </w:rPr>
  </w:style>
  <w:style w:type="character" w:styleId="FootnoteCharacters" w:customStyle="1">
    <w:name w:val="Footnote Characters"/>
    <w:qFormat/>
    <w:rsid w:val="003c5c21"/>
    <w:rPr>
      <w:vertAlign w:val="superscript"/>
    </w:rPr>
  </w:style>
  <w:style w:type="character" w:styleId="1" w:customStyle="1">
    <w:name w:val="Гиперссылка1"/>
    <w:uiPriority w:val="99"/>
    <w:unhideWhenUsed/>
    <w:qFormat/>
    <w:rsid w:val="002d4ae1"/>
    <w:rPr>
      <w:color w:val="000080"/>
      <w:u w:val="single"/>
    </w:rPr>
  </w:style>
  <w:style w:type="character" w:styleId="2" w:customStyle="1">
    <w:name w:val="Заголовок 2 Знак"/>
    <w:basedOn w:val="DefaultParagraphFont"/>
    <w:semiHidden/>
    <w:qFormat/>
    <w:rsid w:val="00fe004b"/>
    <w:rPr>
      <w:rFonts w:ascii="Cambria" w:hAnsi="Cambria" w:eastAsia="Times New Roman" w:cs="Times New Roman"/>
      <w:b/>
      <w:bCs/>
      <w:color w:val="4F81BD"/>
      <w:sz w:val="26"/>
      <w:szCs w:val="26"/>
      <w:lang w:eastAsia="ru-RU"/>
    </w:rPr>
  </w:style>
  <w:style w:type="character" w:styleId="company-infotitle" w:customStyle="1">
    <w:name w:val="company-info__title"/>
    <w:basedOn w:val="DefaultParagraphFont"/>
    <w:qFormat/>
    <w:rsid w:val="00fe004b"/>
    <w:rPr/>
  </w:style>
  <w:style w:type="character" w:styleId="copytitle" w:customStyle="1">
    <w:name w:val="copy_title"/>
    <w:basedOn w:val="DefaultParagraphFont"/>
    <w:qFormat/>
    <w:rsid w:val="00fe004b"/>
    <w:rPr/>
  </w:style>
  <w:style w:type="character" w:styleId="copytarget" w:customStyle="1">
    <w:name w:val="copy_target"/>
    <w:basedOn w:val="DefaultParagraphFont"/>
    <w:qFormat/>
    <w:rsid w:val="00fe004b"/>
    <w:rPr/>
  </w:style>
  <w:style w:type="character" w:styleId="Style15" w:customStyle="1">
    <w:name w:val="Верхний колонтитул Знак"/>
    <w:basedOn w:val="DefaultParagraphFont"/>
    <w:uiPriority w:val="99"/>
    <w:qFormat/>
    <w:rsid w:val="00672484"/>
    <w:rPr>
      <w:rFonts w:ascii="Calibri" w:hAnsi="Calibri" w:eastAsia="Times New Roman" w:cs="Times New Roman"/>
      <w:lang w:eastAsia="ru-RU"/>
    </w:rPr>
  </w:style>
  <w:style w:type="character" w:styleId="Style16" w:customStyle="1">
    <w:name w:val="Нижний колонтитул Знак"/>
    <w:basedOn w:val="DefaultParagraphFont"/>
    <w:uiPriority w:val="99"/>
    <w:semiHidden/>
    <w:qFormat/>
    <w:rsid w:val="00672484"/>
    <w:rPr>
      <w:rFonts w:ascii="Calibri" w:hAnsi="Calibri" w:eastAsia="Times New Roman" w:cs="Times New Roman"/>
      <w:lang w:eastAsia="ru-RU"/>
    </w:rPr>
  </w:style>
  <w:style w:type="character" w:styleId="Style17" w:customStyle="1">
    <w:name w:val="Основной текст с отступом Знак"/>
    <w:basedOn w:val="DefaultParagraphFont"/>
    <w:uiPriority w:val="99"/>
    <w:semiHidden/>
    <w:qFormat/>
    <w:rsid w:val="00dc6b56"/>
    <w:rPr>
      <w:rFonts w:ascii="Calibri" w:hAnsi="Calibri" w:eastAsia="Times New Roman" w:cs="Times New Roman"/>
      <w:lang w:eastAsia="ru-RU"/>
    </w:rPr>
  </w:style>
  <w:style w:type="character" w:styleId="Style18" w:customStyle="1">
    <w:name w:val="Текст выноски Знак"/>
    <w:basedOn w:val="DefaultParagraphFont"/>
    <w:link w:val="BalloonText"/>
    <w:uiPriority w:val="99"/>
    <w:semiHidden/>
    <w:qFormat/>
    <w:rsid w:val="009c6a38"/>
    <w:rPr>
      <w:rFonts w:ascii="Segoe UI" w:hAnsi="Segoe UI" w:eastAsia="Times New Roman" w:cs="Segoe UI"/>
      <w:sz w:val="18"/>
      <w:szCs w:val="18"/>
      <w:lang w:eastAsia="ru-RU"/>
    </w:rPr>
  </w:style>
  <w:style w:type="character" w:styleId="wmi-callto" w:customStyle="1">
    <w:name w:val="wmi-callto"/>
    <w:basedOn w:val="DefaultParagraphFont"/>
    <w:qFormat/>
    <w:rPr/>
  </w:style>
  <w:style w:type="character" w:styleId="Style19" w:customStyle="1">
    <w:name w:val="Маркеры"/>
    <w:qFormat/>
    <w:rPr>
      <w:rFonts w:ascii="OpenSymbol;Arial Unicode MS" w:hAnsi="OpenSymbol;Arial Unicode MS" w:eastAsia="OpenSymbol;Arial Unicode MS" w:cs="OpenSymbol;Arial Unicode MS"/>
    </w:rPr>
  </w:style>
  <w:style w:type="character" w:styleId="Emphasis">
    <w:name w:val="Emphasis"/>
    <w:qFormat/>
    <w:rPr>
      <w:i/>
      <w:iCs/>
    </w:rPr>
  </w:style>
  <w:style w:type="character" w:styleId="s2" w:customStyle="1">
    <w:name w:val="s2"/>
    <w:qFormat/>
    <w:rPr/>
  </w:style>
  <w:style w:type="character" w:styleId="s1" w:customStyle="1">
    <w:name w:val="s1"/>
    <w:qFormat/>
    <w:rPr/>
  </w:style>
  <w:style w:type="character" w:styleId="11" w:customStyle="1">
    <w:name w:val="Заголовок 1 Знак"/>
    <w:qFormat/>
    <w:rPr>
      <w:rFonts w:eastAsia="Calibri"/>
      <w:sz w:val="28"/>
      <w:szCs w:val="24"/>
      <w:lang w:val="ru-RU" w:bidi="ar-SA"/>
    </w:rPr>
  </w:style>
  <w:style w:type="character" w:styleId="12" w:customStyle="1">
    <w:name w:val="Название Знак1"/>
    <w:qFormat/>
    <w:rPr>
      <w:rFonts w:eastAsia="Calibri"/>
      <w:b/>
      <w:sz w:val="24"/>
      <w:lang w:val="ru-RU" w:bidi="ar-SA"/>
    </w:rPr>
  </w:style>
  <w:style w:type="character" w:styleId="3" w:customStyle="1">
    <w:name w:val="Основной текст с отступом 3 Знак"/>
    <w:qFormat/>
    <w:rPr>
      <w:rFonts w:ascii="Times New Roman" w:hAnsi="Times New Roman" w:cs="Times New Roman"/>
      <w:sz w:val="16"/>
      <w:szCs w:val="16"/>
    </w:rPr>
  </w:style>
  <w:style w:type="character" w:styleId="21" w:customStyle="1">
    <w:name w:val="Основной текст с отступом 2 Знак"/>
    <w:qFormat/>
    <w:rPr>
      <w:rFonts w:ascii="Times New Roman" w:hAnsi="Times New Roman" w:eastAsia="Times New Roman" w:cs="Times New Roman"/>
      <w:sz w:val="24"/>
      <w:szCs w:val="24"/>
    </w:rPr>
  </w:style>
  <w:style w:type="character" w:styleId="ConsNormal" w:customStyle="1">
    <w:name w:val="ConsNormal Знак"/>
    <w:qFormat/>
    <w:rPr>
      <w:rFonts w:ascii="Arial" w:hAnsi="Arial" w:eastAsia="Times New Roman" w:cs="Arial"/>
      <w:sz w:val="22"/>
      <w:szCs w:val="22"/>
      <w:lang w:bidi="ar-SA"/>
    </w:rPr>
  </w:style>
  <w:style w:type="character" w:styleId="Style20" w:customStyle="1">
    <w:name w:val="Название Знак"/>
    <w:qFormat/>
    <w:rPr>
      <w:rFonts w:ascii="Times New Roman" w:hAnsi="Times New Roman" w:eastAsia="Times New Roman" w:cs="Times New Roman"/>
      <w:b/>
      <w:sz w:val="24"/>
      <w:szCs w:val="20"/>
    </w:rPr>
  </w:style>
  <w:style w:type="character" w:styleId="111" w:customStyle="1">
    <w:name w:val="Заголовок 1 Знак1"/>
    <w:qFormat/>
    <w:rPr>
      <w:rFonts w:ascii="Arial" w:hAnsi="Arial" w:cs="Arial"/>
      <w:b/>
      <w:sz w:val="28"/>
      <w:szCs w:val="18"/>
      <w:lang w:val="ru-RU" w:bidi="ar-SA"/>
    </w:rPr>
  </w:style>
  <w:style w:type="character" w:styleId="22" w:customStyle="1">
    <w:name w:val="Основной текст 2 Знак"/>
    <w:qFormat/>
    <w:rPr>
      <w:rFonts w:ascii="Arial" w:hAnsi="Arial" w:eastAsia="Times New Roman" w:cs="Arial"/>
      <w:sz w:val="18"/>
      <w:szCs w:val="18"/>
    </w:rPr>
  </w:style>
  <w:style w:type="character" w:styleId="13" w:customStyle="1">
    <w:name w:val="Основной шрифт абзаца1"/>
    <w:qFormat/>
    <w:rPr/>
  </w:style>
  <w:style w:type="character" w:styleId="WW8Num9z8" w:customStyle="1">
    <w:name w:val="WW8Num9z8"/>
    <w:qFormat/>
    <w:rPr/>
  </w:style>
  <w:style w:type="character" w:styleId="WW8Num9z7" w:customStyle="1">
    <w:name w:val="WW8Num9z7"/>
    <w:qFormat/>
    <w:rPr/>
  </w:style>
  <w:style w:type="character" w:styleId="WW8Num9z6" w:customStyle="1">
    <w:name w:val="WW8Num9z6"/>
    <w:qFormat/>
    <w:rPr/>
  </w:style>
  <w:style w:type="character" w:styleId="WW8Num9z5" w:customStyle="1">
    <w:name w:val="WW8Num9z5"/>
    <w:qFormat/>
    <w:rPr/>
  </w:style>
  <w:style w:type="character" w:styleId="WW8Num9z4" w:customStyle="1">
    <w:name w:val="WW8Num9z4"/>
    <w:qFormat/>
    <w:rPr/>
  </w:style>
  <w:style w:type="character" w:styleId="WW8Num9z3" w:customStyle="1">
    <w:name w:val="WW8Num9z3"/>
    <w:qFormat/>
    <w:rPr/>
  </w:style>
  <w:style w:type="character" w:styleId="WW8Num9z2" w:customStyle="1">
    <w:name w:val="WW8Num9z2"/>
    <w:qFormat/>
    <w:rPr/>
  </w:style>
  <w:style w:type="character" w:styleId="WW8Num9z1" w:customStyle="1">
    <w:name w:val="WW8Num9z1"/>
    <w:qFormat/>
    <w:rPr/>
  </w:style>
  <w:style w:type="character" w:styleId="WW8Num9z0" w:customStyle="1">
    <w:name w:val="WW8Num9z0"/>
    <w:qFormat/>
    <w:rPr>
      <w:b/>
      <w:i w:val="false"/>
    </w:rPr>
  </w:style>
  <w:style w:type="character" w:styleId="WW8Num8z8" w:customStyle="1">
    <w:name w:val="WW8Num8z8"/>
    <w:qFormat/>
    <w:rPr/>
  </w:style>
  <w:style w:type="character" w:styleId="WW8Num8z7" w:customStyle="1">
    <w:name w:val="WW8Num8z7"/>
    <w:qFormat/>
    <w:rPr/>
  </w:style>
  <w:style w:type="character" w:styleId="WW8Num8z6" w:customStyle="1">
    <w:name w:val="WW8Num8z6"/>
    <w:qFormat/>
    <w:rPr/>
  </w:style>
  <w:style w:type="character" w:styleId="WW8Num8z5" w:customStyle="1">
    <w:name w:val="WW8Num8z5"/>
    <w:qFormat/>
    <w:rPr/>
  </w:style>
  <w:style w:type="character" w:styleId="WW8Num8z4" w:customStyle="1">
    <w:name w:val="WW8Num8z4"/>
    <w:qFormat/>
    <w:rPr/>
  </w:style>
  <w:style w:type="character" w:styleId="WW8Num8z3" w:customStyle="1">
    <w:name w:val="WW8Num8z3"/>
    <w:qFormat/>
    <w:rPr/>
  </w:style>
  <w:style w:type="character" w:styleId="WW8Num8z2" w:customStyle="1">
    <w:name w:val="WW8Num8z2"/>
    <w:qFormat/>
    <w:rPr/>
  </w:style>
  <w:style w:type="character" w:styleId="WW8Num8z1" w:customStyle="1">
    <w:name w:val="WW8Num8z1"/>
    <w:qFormat/>
    <w:rPr/>
  </w:style>
  <w:style w:type="character" w:styleId="WW8Num8z0" w:customStyle="1">
    <w:name w:val="WW8Num8z0"/>
    <w:qFormat/>
    <w:rPr/>
  </w:style>
  <w:style w:type="character" w:styleId="WW8Num7z8" w:customStyle="1">
    <w:name w:val="WW8Num7z8"/>
    <w:qFormat/>
    <w:rPr/>
  </w:style>
  <w:style w:type="character" w:styleId="WW8Num7z7" w:customStyle="1">
    <w:name w:val="WW8Num7z7"/>
    <w:qFormat/>
    <w:rPr/>
  </w:style>
  <w:style w:type="character" w:styleId="WW8Num7z6" w:customStyle="1">
    <w:name w:val="WW8Num7z6"/>
    <w:qFormat/>
    <w:rPr/>
  </w:style>
  <w:style w:type="character" w:styleId="WW8Num7z5" w:customStyle="1">
    <w:name w:val="WW8Num7z5"/>
    <w:qFormat/>
    <w:rPr/>
  </w:style>
  <w:style w:type="character" w:styleId="WW8Num7z4" w:customStyle="1">
    <w:name w:val="WW8Num7z4"/>
    <w:qFormat/>
    <w:rPr/>
  </w:style>
  <w:style w:type="character" w:styleId="WW8Num7z3" w:customStyle="1">
    <w:name w:val="WW8Num7z3"/>
    <w:qFormat/>
    <w:rPr/>
  </w:style>
  <w:style w:type="character" w:styleId="WW8Num7z2" w:customStyle="1">
    <w:name w:val="WW8Num7z2"/>
    <w:qFormat/>
    <w:rPr/>
  </w:style>
  <w:style w:type="character" w:styleId="WW8Num7z1" w:customStyle="1">
    <w:name w:val="WW8Num7z1"/>
    <w:qFormat/>
    <w:rPr/>
  </w:style>
  <w:style w:type="character" w:styleId="WW8Num7z0" w:customStyle="1">
    <w:name w:val="WW8Num7z0"/>
    <w:qFormat/>
    <w:rPr/>
  </w:style>
  <w:style w:type="character" w:styleId="WW8Num6z3" w:customStyle="1">
    <w:name w:val="WW8Num6z3"/>
    <w:qFormat/>
    <w:rPr>
      <w:rFonts w:ascii="Symbol" w:hAnsi="Symbol" w:cs="Symbol"/>
    </w:rPr>
  </w:style>
  <w:style w:type="character" w:styleId="WW8Num6z2" w:customStyle="1">
    <w:name w:val="WW8Num6z2"/>
    <w:qFormat/>
    <w:rPr>
      <w:rFonts w:ascii="Wingdings" w:hAnsi="Wingdings" w:cs="Wingdings"/>
    </w:rPr>
  </w:style>
  <w:style w:type="character" w:styleId="WW8Num6z1" w:customStyle="1">
    <w:name w:val="WW8Num6z1"/>
    <w:qFormat/>
    <w:rPr>
      <w:rFonts w:ascii="Courier New" w:hAnsi="Courier New" w:cs="Courier New"/>
    </w:rPr>
  </w:style>
  <w:style w:type="character" w:styleId="WW8Num6z0" w:customStyle="1">
    <w:name w:val="WW8Num6z0"/>
    <w:qFormat/>
    <w:rPr/>
  </w:style>
  <w:style w:type="character" w:styleId="WW8Num4z8" w:customStyle="1">
    <w:name w:val="WW8Num4z8"/>
    <w:qFormat/>
    <w:rPr/>
  </w:style>
  <w:style w:type="character" w:styleId="WW8Num4z7" w:customStyle="1">
    <w:name w:val="WW8Num4z7"/>
    <w:qFormat/>
    <w:rPr/>
  </w:style>
  <w:style w:type="character" w:styleId="WW8Num4z6" w:customStyle="1">
    <w:name w:val="WW8Num4z6"/>
    <w:qFormat/>
    <w:rPr/>
  </w:style>
  <w:style w:type="character" w:styleId="WW8Num4z5" w:customStyle="1">
    <w:name w:val="WW8Num4z5"/>
    <w:qFormat/>
    <w:rPr/>
  </w:style>
  <w:style w:type="character" w:styleId="WW8Num4z4" w:customStyle="1">
    <w:name w:val="WW8Num4z4"/>
    <w:qFormat/>
    <w:rPr/>
  </w:style>
  <w:style w:type="character" w:styleId="WW8Num4z3" w:customStyle="1">
    <w:name w:val="WW8Num4z3"/>
    <w:qFormat/>
    <w:rPr/>
  </w:style>
  <w:style w:type="character" w:styleId="WW8Num4z2" w:customStyle="1">
    <w:name w:val="WW8Num4z2"/>
    <w:qFormat/>
    <w:rPr/>
  </w:style>
  <w:style w:type="character" w:styleId="WW8Num4z1" w:customStyle="1">
    <w:name w:val="WW8Num4z1"/>
    <w:qFormat/>
    <w:rPr/>
  </w:style>
  <w:style w:type="character" w:styleId="23" w:customStyle="1">
    <w:name w:val="Основной шрифт абзаца2"/>
    <w:qFormat/>
    <w:rPr/>
  </w:style>
  <w:style w:type="character" w:styleId="31" w:customStyle="1">
    <w:name w:val="Основной шрифт абзаца3"/>
    <w:qFormat/>
    <w:rPr/>
  </w:style>
  <w:style w:type="character" w:styleId="WW8Num5z8" w:customStyle="1">
    <w:name w:val="WW8Num5z8"/>
    <w:qFormat/>
    <w:rPr/>
  </w:style>
  <w:style w:type="character" w:styleId="WW8Num5z7" w:customStyle="1">
    <w:name w:val="WW8Num5z7"/>
    <w:qFormat/>
    <w:rPr/>
  </w:style>
  <w:style w:type="character" w:styleId="WW8Num5z6" w:customStyle="1">
    <w:name w:val="WW8Num5z6"/>
    <w:qFormat/>
    <w:rPr/>
  </w:style>
  <w:style w:type="character" w:styleId="WW8Num5z5" w:customStyle="1">
    <w:name w:val="WW8Num5z5"/>
    <w:qFormat/>
    <w:rPr/>
  </w:style>
  <w:style w:type="character" w:styleId="WW8Num5z4" w:customStyle="1">
    <w:name w:val="WW8Num5z4"/>
    <w:qFormat/>
    <w:rPr/>
  </w:style>
  <w:style w:type="character" w:styleId="WW8Num5z3" w:customStyle="1">
    <w:name w:val="WW8Num5z3"/>
    <w:qFormat/>
    <w:rPr/>
  </w:style>
  <w:style w:type="character" w:styleId="WW8Num5z2" w:customStyle="1">
    <w:name w:val="WW8Num5z2"/>
    <w:qFormat/>
    <w:rPr/>
  </w:style>
  <w:style w:type="character" w:styleId="WW8Num5z1" w:customStyle="1">
    <w:name w:val="WW8Num5z1"/>
    <w:qFormat/>
    <w:rPr/>
  </w:style>
  <w:style w:type="character" w:styleId="4" w:customStyle="1">
    <w:name w:val="Основной шрифт абзаца4"/>
    <w:qFormat/>
    <w:rPr/>
  </w:style>
  <w:style w:type="character" w:styleId="WW8Num2z8" w:customStyle="1">
    <w:name w:val="WW8Num2z8"/>
    <w:qFormat/>
    <w:rPr/>
  </w:style>
  <w:style w:type="character" w:styleId="WW8Num2z7" w:customStyle="1">
    <w:name w:val="WW8Num2z7"/>
    <w:qFormat/>
    <w:rPr/>
  </w:style>
  <w:style w:type="character" w:styleId="WW8Num2z6" w:customStyle="1">
    <w:name w:val="WW8Num2z6"/>
    <w:qFormat/>
    <w:rPr/>
  </w:style>
  <w:style w:type="character" w:styleId="WW8Num2z5" w:customStyle="1">
    <w:name w:val="WW8Num2z5"/>
    <w:qFormat/>
    <w:rPr/>
  </w:style>
  <w:style w:type="character" w:styleId="WW8Num2z4" w:customStyle="1">
    <w:name w:val="WW8Num2z4"/>
    <w:qFormat/>
    <w:rPr/>
  </w:style>
  <w:style w:type="character" w:styleId="WW8Num2z3" w:customStyle="1">
    <w:name w:val="WW8Num2z3"/>
    <w:qFormat/>
    <w:rPr/>
  </w:style>
  <w:style w:type="character" w:styleId="WW8Num2z2" w:customStyle="1">
    <w:name w:val="WW8Num2z2"/>
    <w:qFormat/>
    <w:rPr/>
  </w:style>
  <w:style w:type="character" w:styleId="WW8Num2z1" w:customStyle="1">
    <w:name w:val="WW8Num2z1"/>
    <w:qFormat/>
    <w:rPr/>
  </w:style>
  <w:style w:type="character" w:styleId="WW8Num2z0" w:customStyle="1">
    <w:name w:val="WW8Num2z0"/>
    <w:qFormat/>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WW8Num1z3" w:customStyle="1">
    <w:name w:val="WW8Num1z3"/>
    <w:qFormat/>
    <w:rPr/>
  </w:style>
  <w:style w:type="character" w:styleId="WW8Num1z2" w:customStyle="1">
    <w:name w:val="WW8Num1z2"/>
    <w:qFormat/>
    <w:rPr/>
  </w:style>
  <w:style w:type="character" w:styleId="WW8Num1z1" w:customStyle="1">
    <w:name w:val="WW8Num1z1"/>
    <w:qFormat/>
    <w:rPr/>
  </w:style>
  <w:style w:type="character" w:styleId="WW8Num1z0" w:customStyle="1">
    <w:name w:val="WW8Num1z0"/>
    <w:qFormat/>
    <w:rPr/>
  </w:style>
  <w:style w:type="character" w:styleId="5" w:customStyle="1">
    <w:name w:val="Основной шрифт абзаца5"/>
    <w:qFormat/>
    <w:rPr/>
  </w:style>
  <w:style w:type="character" w:styleId="6" w:customStyle="1">
    <w:name w:val="Основной шрифт абзаца6"/>
    <w:qFormat/>
    <w:rPr/>
  </w:style>
  <w:style w:type="character" w:styleId="WW8Num5z0" w:customStyle="1">
    <w:name w:val="WW8Num5z0"/>
    <w:qFormat/>
    <w:rPr>
      <w:rFonts w:ascii="Symbol" w:hAnsi="Symbol" w:cs="OpenSymbol;Arial Unicode MS"/>
    </w:rPr>
  </w:style>
  <w:style w:type="character" w:styleId="WW8Num4z0" w:customStyle="1">
    <w:name w:val="WW8Num4z0"/>
    <w:qFormat/>
    <w:rPr>
      <w:b/>
    </w:rPr>
  </w:style>
  <w:style w:type="character" w:styleId="WW8Num3z0" w:customStyle="1">
    <w:name w:val="WW8Num3z0"/>
    <w:qFormat/>
    <w:rPr>
      <w:b/>
    </w:rPr>
  </w:style>
  <w:style w:type="character" w:styleId="Hyperlink">
    <w:name w:val="Hyperlink"/>
    <w:rPr>
      <w:color w:val="000080"/>
      <w:u w:val="single"/>
    </w:rPr>
  </w:style>
  <w:style w:type="paragraph" w:styleId="Style21"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2"/>
    <w:uiPriority w:val="99"/>
    <w:rsid w:val="003c5c21"/>
    <w:pPr>
      <w:spacing w:lineRule="auto" w:line="240" w:before="0" w:after="120"/>
    </w:pPr>
    <w:rPr>
      <w:rFonts w:ascii="Times New Roman" w:hAnsi="Times New Roman"/>
      <w:sz w:val="24"/>
      <w:szCs w:val="24"/>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Lohit Devanagari;Calibri"/>
      <w:i/>
      <w:iCs/>
      <w:sz w:val="24"/>
      <w:szCs w:val="24"/>
    </w:rPr>
  </w:style>
  <w:style w:type="paragraph" w:styleId="Style22" w:customStyle="1">
    <w:name w:val="Указатель"/>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IndexHeading">
    <w:name w:val="index heading"/>
    <w:basedOn w:val="Normal"/>
    <w:qFormat/>
    <w:pPr>
      <w:suppressLineNumbers/>
    </w:pPr>
    <w:rPr>
      <w:rFonts w:cs="Arial"/>
    </w:rPr>
  </w:style>
  <w:style w:type="paragraph" w:styleId="Preformat" w:customStyle="1">
    <w:name w:val="Preformat"/>
    <w:qFormat/>
    <w:rsid w:val="003c5c21"/>
    <w:pPr>
      <w:widowControl w:val="false"/>
      <w:suppressAutoHyphens w:val="true"/>
      <w:bidi w:val="0"/>
      <w:spacing w:before="0" w:after="0"/>
      <w:jc w:val="start"/>
    </w:pPr>
    <w:rPr>
      <w:rFonts w:ascii="Courier New" w:hAnsi="Courier New" w:eastAsia="Times New Roman" w:cs="Courier New"/>
      <w:color w:val="auto"/>
      <w:kern w:val="0"/>
      <w:sz w:val="20"/>
      <w:szCs w:val="20"/>
      <w:lang w:eastAsia="ru-RU" w:val="ru-RU" w:bidi="ar-SA"/>
    </w:rPr>
  </w:style>
  <w:style w:type="paragraph" w:styleId="14" w:customStyle="1">
    <w:name w:val="Абзац списка1"/>
    <w:basedOn w:val="Normal"/>
    <w:uiPriority w:val="34"/>
    <w:qFormat/>
    <w:rsid w:val="003c5c21"/>
    <w:pPr>
      <w:spacing w:lineRule="auto" w:line="240" w:before="0" w:after="0"/>
      <w:ind w:start="720"/>
      <w:contextualSpacing/>
    </w:pPr>
    <w:rPr>
      <w:rFonts w:ascii="Times New Roman" w:hAnsi="Times New Roman"/>
      <w:sz w:val="24"/>
      <w:szCs w:val="28"/>
    </w:rPr>
  </w:style>
  <w:style w:type="paragraph" w:styleId="FootnoteText">
    <w:name w:val="footnote text"/>
    <w:basedOn w:val="Normal"/>
    <w:link w:val="Style13"/>
    <w:uiPriority w:val="99"/>
    <w:qFormat/>
    <w:rsid w:val="003c5c21"/>
    <w:pPr>
      <w:spacing w:lineRule="auto" w:line="240" w:before="0" w:after="60"/>
      <w:jc w:val="both"/>
    </w:pPr>
    <w:rPr>
      <w:rFonts w:ascii="Times New Roman" w:hAnsi="Times New Roman"/>
      <w:sz w:val="20"/>
      <w:szCs w:val="20"/>
    </w:rPr>
  </w:style>
  <w:style w:type="paragraph" w:styleId="TableParagraph" w:customStyle="1">
    <w:name w:val="Table Paragraph"/>
    <w:basedOn w:val="Normal"/>
    <w:uiPriority w:val="1"/>
    <w:qFormat/>
    <w:rsid w:val="00fe004b"/>
    <w:pPr>
      <w:widowControl w:val="false"/>
      <w:spacing w:lineRule="auto" w:line="240" w:before="109" w:after="0"/>
      <w:ind w:start="110"/>
    </w:pPr>
    <w:rPr>
      <w:rFonts w:ascii="Times New Roman" w:hAnsi="Times New Roman"/>
      <w:lang w:bidi="ru-RU"/>
    </w:rPr>
  </w:style>
  <w:style w:type="paragraph" w:styleId="Style23" w:customStyle="1">
    <w:name w:val="Колонтитул"/>
    <w:basedOn w:val="Normal"/>
    <w:qFormat/>
    <w:pPr/>
    <w:rPr/>
  </w:style>
  <w:style w:type="paragraph" w:styleId="user1" w:customStyle="1">
    <w:name w:val="Колонтитулы (user)"/>
    <w:basedOn w:val="Normal"/>
    <w:qFormat/>
    <w:pPr>
      <w:suppressLineNumbers/>
      <w:tabs>
        <w:tab w:val="clear" w:pos="708"/>
        <w:tab w:val="center" w:pos="4819" w:leader="none"/>
        <w:tab w:val="right" w:pos="9638" w:leader="none"/>
      </w:tabs>
    </w:pPr>
    <w:rPr/>
  </w:style>
  <w:style w:type="paragraph" w:styleId="Style24" w:customStyle="1">
    <w:name w:val="Колонтитулы"/>
    <w:basedOn w:val="Normal"/>
    <w:qFormat/>
    <w:pPr/>
    <w:rPr/>
  </w:style>
  <w:style w:type="paragraph" w:styleId="Header">
    <w:name w:val="header"/>
    <w:basedOn w:val="Normal"/>
    <w:link w:val="Style15"/>
    <w:uiPriority w:val="99"/>
    <w:unhideWhenUsed/>
    <w:rsid w:val="00672484"/>
    <w:pPr>
      <w:tabs>
        <w:tab w:val="clear" w:pos="708"/>
        <w:tab w:val="center" w:pos="4677" w:leader="none"/>
        <w:tab w:val="right" w:pos="9355" w:leader="none"/>
      </w:tabs>
      <w:spacing w:lineRule="auto" w:line="240" w:before="0" w:after="0"/>
    </w:pPr>
    <w:rPr/>
  </w:style>
  <w:style w:type="paragraph" w:styleId="Footer">
    <w:name w:val="footer"/>
    <w:basedOn w:val="Normal"/>
    <w:link w:val="Style16"/>
    <w:uiPriority w:val="99"/>
    <w:semiHidden/>
    <w:unhideWhenUsed/>
    <w:rsid w:val="00672484"/>
    <w:pPr>
      <w:tabs>
        <w:tab w:val="clear" w:pos="708"/>
        <w:tab w:val="center" w:pos="4677" w:leader="none"/>
        <w:tab w:val="right" w:pos="9355" w:leader="none"/>
      </w:tabs>
      <w:spacing w:lineRule="auto" w:line="240" w:before="0" w:after="0"/>
    </w:pPr>
    <w:rPr/>
  </w:style>
  <w:style w:type="paragraph" w:styleId="BodyTextIndent">
    <w:name w:val="Body Text Indent"/>
    <w:basedOn w:val="Normal"/>
    <w:link w:val="Style17"/>
    <w:uiPriority w:val="99"/>
    <w:semiHidden/>
    <w:unhideWhenUsed/>
    <w:rsid w:val="00dc6b56"/>
    <w:pPr>
      <w:spacing w:before="0" w:after="120"/>
      <w:ind w:start="283"/>
    </w:pPr>
    <w:rPr/>
  </w:style>
  <w:style w:type="paragraph" w:styleId="BalloonText">
    <w:name w:val="Balloon Text"/>
    <w:basedOn w:val="Normal"/>
    <w:link w:val="Style18"/>
    <w:uiPriority w:val="99"/>
    <w:semiHidden/>
    <w:unhideWhenUsed/>
    <w:qFormat/>
    <w:rsid w:val="009c6a38"/>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2d0621"/>
    <w:pPr>
      <w:widowControl w:val="false"/>
      <w:spacing w:lineRule="auto" w:line="240" w:before="0" w:after="0"/>
      <w:ind w:start="720"/>
      <w:contextualSpacing/>
    </w:pPr>
    <w:rPr>
      <w:rFonts w:ascii="Courier New" w:hAnsi="Courier New" w:eastAsia="Courier New" w:cs="Courier New"/>
      <w:color w:val="000000"/>
      <w:sz w:val="24"/>
      <w:szCs w:val="24"/>
      <w:lang w:bidi="ru-RU"/>
    </w:rPr>
  </w:style>
  <w:style w:type="paragraph" w:styleId="ConsPlusNonformat" w:customStyle="1">
    <w:name w:val="ConsPlusNonformat"/>
    <w:uiPriority w:val="99"/>
    <w:qFormat/>
    <w:rsid w:val="002d0621"/>
    <w:pPr>
      <w:widowControl/>
      <w:suppressAutoHyphens w:val="true"/>
      <w:bidi w:val="0"/>
      <w:spacing w:before="0" w:after="0"/>
      <w:jc w:val="start"/>
    </w:pPr>
    <w:rPr>
      <w:rFonts w:ascii="Courier New" w:hAnsi="Courier New" w:eastAsia="Times New Roman" w:cs="Courier New"/>
      <w:color w:val="auto"/>
      <w:kern w:val="0"/>
      <w:sz w:val="20"/>
      <w:szCs w:val="20"/>
      <w:lang w:eastAsia="ru-RU" w:val="ru-RU" w:bidi="ar-SA"/>
    </w:rPr>
  </w:style>
  <w:style w:type="paragraph" w:styleId="NoSpacing">
    <w:name w:val="No Spacing"/>
    <w:uiPriority w:val="1"/>
    <w:qFormat/>
    <w:rsid w:val="000c20f1"/>
    <w:pPr>
      <w:widowControl/>
      <w:suppressAutoHyphens w:val="false"/>
      <w:bidi w:val="0"/>
      <w:spacing w:before="0" w:after="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western" w:customStyle="1">
    <w:name w:val="western"/>
    <w:basedOn w:val="Normal"/>
    <w:qFormat/>
    <w:pPr>
      <w:suppressAutoHyphens w:val="false"/>
      <w:spacing w:before="280" w:after="119"/>
    </w:pPr>
    <w:rPr>
      <w:color w:val="000000"/>
    </w:rPr>
  </w:style>
  <w:style w:type="paragraph" w:styleId="p4" w:customStyle="1">
    <w:name w:val="p4"/>
    <w:basedOn w:val="Normal"/>
    <w:qFormat/>
    <w:pPr>
      <w:suppressAutoHyphens w:val="false"/>
      <w:spacing w:before="280" w:after="280"/>
    </w:pPr>
    <w:rPr/>
  </w:style>
  <w:style w:type="paragraph" w:styleId="p3" w:customStyle="1">
    <w:name w:val="p3"/>
    <w:basedOn w:val="Normal"/>
    <w:qFormat/>
    <w:pPr>
      <w:suppressAutoHyphens w:val="false"/>
      <w:spacing w:before="280" w:after="280"/>
    </w:pPr>
    <w:rPr/>
  </w:style>
  <w:style w:type="paragraph" w:styleId="Style25" w:customStyle="1">
    <w:name w:val="Содержимое таблицы"/>
    <w:basedOn w:val="Normal"/>
    <w:qFormat/>
    <w:pPr>
      <w:widowControl w:val="false"/>
      <w:suppressLineNumbers/>
    </w:pPr>
    <w:rPr/>
  </w:style>
  <w:style w:type="paragraph" w:styleId="Style26" w:customStyle="1">
    <w:name w:val="Заголовок таблицы"/>
    <w:basedOn w:val="Style25"/>
    <w:qFormat/>
    <w:pPr>
      <w:jc w:val="center"/>
    </w:pPr>
    <w:rPr>
      <w:b/>
      <w:bCs/>
    </w:rPr>
  </w:style>
  <w:style w:type="paragraph" w:styleId="311" w:customStyle="1">
    <w:name w:val="Основной текст с отступом 31"/>
    <w:basedOn w:val="Normal"/>
    <w:qFormat/>
    <w:pPr>
      <w:spacing w:before="0" w:after="120"/>
      <w:ind w:start="283"/>
    </w:pPr>
    <w:rPr>
      <w:rFonts w:eastAsia="Calibri"/>
      <w:sz w:val="16"/>
      <w:szCs w:val="16"/>
    </w:rPr>
  </w:style>
  <w:style w:type="paragraph" w:styleId="24" w:customStyle="1">
    <w:name w:val="заголовок 2"/>
    <w:basedOn w:val="Normal"/>
    <w:next w:val="Normal"/>
    <w:qFormat/>
    <w:pPr>
      <w:spacing w:before="240" w:after="60"/>
      <w:jc w:val="center"/>
    </w:pPr>
    <w:rPr>
      <w:rFonts w:ascii="MS Outlook" w:hAnsi="MS Outlook" w:eastAsia="MS Outlook" w:cs="MS Outlook"/>
      <w:b/>
      <w:szCs w:val="20"/>
      <w:lang w:val="en-US"/>
    </w:rPr>
  </w:style>
  <w:style w:type="paragraph" w:styleId="Style27" w:customStyle="1">
    <w:name w:val="Обычный (веб)"/>
    <w:basedOn w:val="Normal"/>
    <w:qFormat/>
    <w:pPr>
      <w:keepNext w:val="true"/>
    </w:pPr>
    <w:rPr/>
  </w:style>
  <w:style w:type="paragraph" w:styleId="32" w:customStyle="1">
    <w:name w:val="Стиль3"/>
    <w:basedOn w:val="211"/>
    <w:qFormat/>
    <w:pPr>
      <w:widowControl w:val="false"/>
      <w:numPr>
        <w:ilvl w:val="0"/>
        <w:numId w:val="4"/>
      </w:numPr>
      <w:spacing w:lineRule="auto" w:line="240" w:before="0" w:after="0"/>
      <w:ind w:hanging="0" w:start="283"/>
      <w:jc w:val="both"/>
      <w:textAlignment w:val="baseline"/>
    </w:pPr>
    <w:rPr>
      <w:szCs w:val="20"/>
    </w:rPr>
  </w:style>
  <w:style w:type="paragraph" w:styleId="211" w:customStyle="1">
    <w:name w:val="Основной текст с отступом 21"/>
    <w:basedOn w:val="Normal"/>
    <w:qFormat/>
    <w:pPr>
      <w:spacing w:lineRule="auto" w:line="480" w:before="0" w:after="120"/>
      <w:ind w:start="283"/>
    </w:pPr>
    <w:rPr/>
  </w:style>
  <w:style w:type="paragraph" w:styleId="25" w:customStyle="1">
    <w:name w:val="Стиль2"/>
    <w:basedOn w:val="212"/>
    <w:qFormat/>
    <w:pPr>
      <w:keepNext w:val="true"/>
      <w:keepLines/>
      <w:suppressLineNumbers/>
      <w:tabs>
        <w:tab w:val="clear" w:pos="708"/>
        <w:tab w:val="left" w:pos="432" w:leader="none"/>
      </w:tabs>
      <w:spacing w:before="0" w:after="60"/>
      <w:ind w:hanging="432" w:start="432"/>
      <w:jc w:val="both"/>
    </w:pPr>
    <w:rPr>
      <w:rFonts w:ascii="Times New Roman" w:hAnsi="Times New Roman" w:cs="Times New Roman"/>
      <w:b/>
      <w:sz w:val="24"/>
      <w:szCs w:val="20"/>
    </w:rPr>
  </w:style>
  <w:style w:type="paragraph" w:styleId="212" w:customStyle="1">
    <w:name w:val="Нумерованный список 21"/>
    <w:basedOn w:val="Normal"/>
    <w:qFormat/>
    <w:pPr>
      <w:widowControl w:val="false"/>
      <w:ind w:hanging="360" w:start="-720"/>
    </w:pPr>
    <w:rPr>
      <w:rFonts w:ascii="Arial" w:hAnsi="Arial" w:cs="Arial"/>
      <w:sz w:val="18"/>
      <w:szCs w:val="18"/>
    </w:rPr>
  </w:style>
  <w:style w:type="paragraph" w:styleId="15" w:customStyle="1">
    <w:name w:val="Стиль1"/>
    <w:basedOn w:val="Normal"/>
    <w:qFormat/>
    <w:pPr>
      <w:keepNext w:val="true"/>
      <w:keepLines/>
      <w:widowControl w:val="false"/>
      <w:suppressLineNumbers/>
      <w:spacing w:before="0" w:after="60"/>
    </w:pPr>
    <w:rPr>
      <w:b/>
      <w:sz w:val="28"/>
    </w:rPr>
  </w:style>
  <w:style w:type="paragraph" w:styleId="ConsPlusNormal" w:customStyle="1">
    <w:name w:val="ConsPlusNormal"/>
    <w:qFormat/>
    <w:pPr>
      <w:widowControl/>
      <w:suppressAutoHyphens w:val="true"/>
      <w:bidi w:val="0"/>
      <w:spacing w:before="0" w:after="0"/>
      <w:ind w:firstLine="720"/>
      <w:jc w:val="start"/>
    </w:pPr>
    <w:rPr>
      <w:rFonts w:ascii="Arial" w:hAnsi="Arial" w:eastAsia="Times New Roman" w:cs="Arial"/>
      <w:color w:val="auto"/>
      <w:kern w:val="0"/>
      <w:sz w:val="20"/>
      <w:szCs w:val="20"/>
      <w:lang w:eastAsia="zh-CN" w:val="ru-RU" w:bidi="ar-SA"/>
    </w:rPr>
  </w:style>
  <w:style w:type="paragraph" w:styleId="213" w:customStyle="1">
    <w:name w:val="Основной текст 21"/>
    <w:basedOn w:val="Normal"/>
    <w:qFormat/>
    <w:pPr>
      <w:widowControl w:val="false"/>
      <w:spacing w:lineRule="auto" w:line="480" w:before="0" w:after="120"/>
    </w:pPr>
    <w:rPr>
      <w:rFonts w:ascii="Arial" w:hAnsi="Arial" w:cs="Arial"/>
      <w:sz w:val="18"/>
      <w:szCs w:val="18"/>
    </w:rPr>
  </w:style>
  <w:style w:type="paragraph" w:styleId="ConsNormal1" w:customStyle="1">
    <w:name w:val="ConsNormal"/>
    <w:qFormat/>
    <w:pPr>
      <w:widowControl w:val="false"/>
      <w:suppressAutoHyphens w:val="true"/>
      <w:bidi w:val="0"/>
      <w:spacing w:before="0" w:after="0"/>
      <w:ind w:firstLine="720" w:end="19772"/>
      <w:jc w:val="start"/>
    </w:pPr>
    <w:rPr>
      <w:rFonts w:ascii="Arial" w:hAnsi="Arial" w:eastAsia="Times New Roman" w:cs="Arial"/>
      <w:color w:val="auto"/>
      <w:kern w:val="0"/>
      <w:sz w:val="22"/>
      <w:szCs w:val="22"/>
      <w:lang w:eastAsia="zh-CN" w:val="ru-RU" w:bidi="ar-SA"/>
    </w:rPr>
  </w:style>
  <w:style w:type="paragraph" w:styleId="ConsNonformat" w:customStyle="1">
    <w:name w:val="ConsNonformat"/>
    <w:qFormat/>
    <w:pPr>
      <w:widowControl w:val="false"/>
      <w:suppressAutoHyphens w:val="true"/>
      <w:bidi w:val="0"/>
      <w:spacing w:before="0" w:after="0"/>
      <w:ind w:end="19772"/>
      <w:jc w:val="start"/>
    </w:pPr>
    <w:rPr>
      <w:rFonts w:ascii="Courier New" w:hAnsi="Courier New" w:eastAsia="Times New Roman" w:cs="Courier New"/>
      <w:color w:val="auto"/>
      <w:kern w:val="0"/>
      <w:sz w:val="20"/>
      <w:szCs w:val="20"/>
      <w:lang w:eastAsia="zh-CN" w:val="ru-RU" w:bidi="ar-SA"/>
    </w:rPr>
  </w:style>
  <w:style w:type="paragraph" w:styleId="16" w:customStyle="1">
    <w:name w:val="Указатель1"/>
    <w:basedOn w:val="Normal"/>
    <w:qFormat/>
    <w:pPr>
      <w:suppressLineNumbers/>
    </w:pPr>
    <w:rPr>
      <w:rFonts w:cs="FreeSans;Arial Unicode MS"/>
    </w:rPr>
  </w:style>
  <w:style w:type="paragraph" w:styleId="17" w:customStyle="1">
    <w:name w:val="Название объекта1"/>
    <w:basedOn w:val="Normal"/>
    <w:qFormat/>
    <w:pPr>
      <w:suppressLineNumbers/>
      <w:spacing w:before="120" w:after="120"/>
    </w:pPr>
    <w:rPr>
      <w:rFonts w:cs="FreeSans;Arial Unicode MS"/>
      <w:i/>
      <w:iCs/>
      <w:sz w:val="24"/>
      <w:szCs w:val="24"/>
    </w:rPr>
  </w:style>
  <w:style w:type="paragraph" w:styleId="26" w:customStyle="1">
    <w:name w:val="Указатель2"/>
    <w:basedOn w:val="Normal"/>
    <w:qFormat/>
    <w:pPr>
      <w:suppressLineNumbers/>
    </w:pPr>
    <w:rPr>
      <w:rFonts w:cs="Mangal"/>
    </w:rPr>
  </w:style>
  <w:style w:type="paragraph" w:styleId="27" w:customStyle="1">
    <w:name w:val="Название объекта2"/>
    <w:basedOn w:val="Normal"/>
    <w:qFormat/>
    <w:pPr>
      <w:widowControl w:val="false"/>
      <w:suppressAutoHyphens w:val="false"/>
      <w:ind w:firstLine="420"/>
      <w:jc w:val="center"/>
    </w:pPr>
    <w:rPr>
      <w:rFonts w:eastAsia="Calibri"/>
      <w:b/>
      <w:szCs w:val="20"/>
    </w:rPr>
  </w:style>
  <w:style w:type="paragraph" w:styleId="33" w:customStyle="1">
    <w:name w:val="Указатель3"/>
    <w:basedOn w:val="Normal"/>
    <w:qFormat/>
    <w:pPr>
      <w:suppressLineNumbers/>
    </w:pPr>
    <w:rPr>
      <w:rFonts w:cs="FreeSans;Arial Unicode MS"/>
    </w:rPr>
  </w:style>
  <w:style w:type="paragraph" w:styleId="34" w:customStyle="1">
    <w:name w:val="Название объекта3"/>
    <w:basedOn w:val="Normal"/>
    <w:qFormat/>
    <w:pPr>
      <w:suppressLineNumbers/>
      <w:spacing w:before="120" w:after="120"/>
    </w:pPr>
    <w:rPr>
      <w:rFonts w:cs="FreeSans;Arial Unicode MS"/>
      <w:i/>
      <w:iCs/>
      <w:sz w:val="24"/>
      <w:szCs w:val="24"/>
    </w:rPr>
  </w:style>
  <w:style w:type="paragraph" w:styleId="41" w:customStyle="1">
    <w:name w:val="Указатель4"/>
    <w:basedOn w:val="Normal"/>
    <w:qFormat/>
    <w:pPr>
      <w:suppressLineNumbers/>
    </w:pPr>
    <w:rPr>
      <w:rFonts w:cs="Lohit Devanagari;Calibri"/>
    </w:rPr>
  </w:style>
  <w:style w:type="paragraph" w:styleId="42" w:customStyle="1">
    <w:name w:val="Название объекта4"/>
    <w:basedOn w:val="Normal"/>
    <w:qFormat/>
    <w:pPr>
      <w:suppressLineNumbers/>
      <w:spacing w:before="120" w:after="120"/>
    </w:pPr>
    <w:rPr>
      <w:rFonts w:cs="Lohit Devanagari;Calibri"/>
      <w:i/>
      <w:iCs/>
      <w:sz w:val="24"/>
      <w:szCs w:val="24"/>
    </w:rPr>
  </w:style>
  <w:style w:type="paragraph" w:styleId="18" w:customStyle="1">
    <w:name w:val="Заголовок1"/>
    <w:basedOn w:val="Normal"/>
    <w:next w:val="BodyText"/>
    <w:qFormat/>
    <w:pPr>
      <w:widowControl w:val="false"/>
      <w:ind w:firstLine="420"/>
      <w:jc w:val="center"/>
    </w:pPr>
    <w:rPr>
      <w:b/>
      <w:szCs w:val="20"/>
    </w:rPr>
  </w:style>
  <w:style w:type="paragraph" w:styleId="51" w:customStyle="1">
    <w:name w:val="Указатель5"/>
    <w:basedOn w:val="Normal"/>
    <w:qFormat/>
    <w:pPr>
      <w:suppressLineNumbers/>
    </w:pPr>
    <w:rPr>
      <w:rFonts w:cs="Lohit Devanagari;Calibri"/>
    </w:rPr>
  </w:style>
  <w:style w:type="paragraph" w:styleId="52" w:customStyle="1">
    <w:name w:val="Название объекта5"/>
    <w:basedOn w:val="Normal"/>
    <w:qFormat/>
    <w:pPr>
      <w:suppressLineNumbers/>
      <w:spacing w:before="120" w:after="120"/>
    </w:pPr>
    <w:rPr>
      <w:rFonts w:cs="Lohit Devanagari;Calibri"/>
      <w:i/>
      <w:iCs/>
      <w:sz w:val="24"/>
      <w:szCs w:val="24"/>
    </w:rPr>
  </w:style>
  <w:style w:type="paragraph" w:styleId="Caption11111111111" w:customStyle="1">
    <w:name w:val="Caption11111111111"/>
    <w:basedOn w:val="Normal"/>
    <w:qFormat/>
    <w:pPr>
      <w:suppressLineNumbers/>
      <w:spacing w:before="120" w:after="120"/>
    </w:pPr>
    <w:rPr>
      <w:rFonts w:cs="Lohit Devanagari;Calibri"/>
      <w:i/>
      <w:iCs/>
      <w:sz w:val="24"/>
      <w:szCs w:val="24"/>
    </w:rPr>
  </w:style>
  <w:style w:type="paragraph" w:styleId="Caption1111111111" w:customStyle="1">
    <w:name w:val="Caption1111111111"/>
    <w:basedOn w:val="Normal"/>
    <w:qFormat/>
    <w:pPr>
      <w:suppressLineNumbers/>
      <w:spacing w:before="120" w:after="120"/>
    </w:pPr>
    <w:rPr>
      <w:rFonts w:cs="Lohit Devanagari;Calibri"/>
      <w:i/>
      <w:iCs/>
      <w:sz w:val="24"/>
      <w:szCs w:val="24"/>
    </w:rPr>
  </w:style>
  <w:style w:type="paragraph" w:styleId="61" w:customStyle="1">
    <w:name w:val="Указатель6"/>
    <w:basedOn w:val="Normal"/>
    <w:qFormat/>
    <w:pPr>
      <w:suppressLineNumbers/>
    </w:pPr>
    <w:rPr>
      <w:rFonts w:cs="Lohit Devanagari;Calibri"/>
    </w:rPr>
  </w:style>
  <w:style w:type="paragraph" w:styleId="caption111111111" w:customStyle="1">
    <w:name w:val="caption111111111"/>
    <w:basedOn w:val="Normal"/>
    <w:qFormat/>
    <w:pPr>
      <w:suppressLineNumbers/>
      <w:spacing w:before="120" w:after="120"/>
    </w:pPr>
    <w:rPr>
      <w:rFonts w:cs="Arial"/>
      <w:i/>
      <w:iCs/>
      <w:sz w:val="24"/>
      <w:szCs w:val="24"/>
    </w:rPr>
  </w:style>
  <w:style w:type="paragraph" w:styleId="caption11111111" w:customStyle="1">
    <w:name w:val="caption11111111"/>
    <w:basedOn w:val="Normal"/>
    <w:qFormat/>
    <w:pPr>
      <w:suppressLineNumbers/>
      <w:spacing w:before="120" w:after="120"/>
    </w:pPr>
    <w:rPr>
      <w:rFonts w:cs="Arial"/>
      <w:i/>
      <w:iCs/>
      <w:sz w:val="24"/>
      <w:szCs w:val="24"/>
    </w:rPr>
  </w:style>
  <w:style w:type="paragraph" w:styleId="caption1111111" w:customStyle="1">
    <w:name w:val="caption1111111"/>
    <w:basedOn w:val="Normal"/>
    <w:qFormat/>
    <w:pPr>
      <w:suppressLineNumbers/>
      <w:spacing w:before="120" w:after="120"/>
    </w:pPr>
    <w:rPr>
      <w:rFonts w:cs="Arial"/>
      <w:i/>
      <w:iCs/>
      <w:sz w:val="24"/>
      <w:szCs w:val="24"/>
    </w:rPr>
  </w:style>
  <w:style w:type="paragraph" w:styleId="caption111111" w:customStyle="1">
    <w:name w:val="caption111111"/>
    <w:basedOn w:val="Normal"/>
    <w:qFormat/>
    <w:pPr>
      <w:suppressLineNumbers/>
      <w:spacing w:before="120" w:after="120"/>
    </w:pPr>
    <w:rPr>
      <w:rFonts w:cs="Arial"/>
      <w:i/>
      <w:iCs/>
      <w:sz w:val="24"/>
      <w:szCs w:val="24"/>
    </w:rPr>
  </w:style>
  <w:style w:type="paragraph" w:styleId="caption11111" w:customStyle="1">
    <w:name w:val="caption11111"/>
    <w:basedOn w:val="Normal"/>
    <w:qFormat/>
    <w:pPr>
      <w:suppressLineNumbers/>
      <w:spacing w:before="120" w:after="120"/>
    </w:pPr>
    <w:rPr>
      <w:rFonts w:cs="Arial"/>
      <w:i/>
      <w:iCs/>
      <w:sz w:val="24"/>
      <w:szCs w:val="24"/>
    </w:rPr>
  </w:style>
  <w:style w:type="paragraph" w:styleId="caption1111" w:customStyle="1">
    <w:name w:val="caption1111"/>
    <w:basedOn w:val="Normal"/>
    <w:qFormat/>
    <w:pPr>
      <w:suppressLineNumbers/>
      <w:spacing w:before="120" w:after="120"/>
    </w:pPr>
    <w:rPr>
      <w:rFonts w:cs="Arial"/>
      <w:i/>
      <w:iCs/>
      <w:sz w:val="24"/>
      <w:szCs w:val="24"/>
    </w:rPr>
  </w:style>
  <w:style w:type="paragraph" w:styleId="caption111" w:customStyle="1">
    <w:name w:val="caption111"/>
    <w:basedOn w:val="Normal"/>
    <w:qFormat/>
    <w:pPr>
      <w:suppressLineNumbers/>
      <w:spacing w:before="120" w:after="120"/>
    </w:pPr>
    <w:rPr>
      <w:rFonts w:cs="Arial"/>
      <w:i/>
      <w:iCs/>
      <w:sz w:val="24"/>
      <w:szCs w:val="24"/>
    </w:rPr>
  </w:style>
  <w:style w:type="paragraph" w:styleId="caption11" w:customStyle="1">
    <w:name w:val="caption11"/>
    <w:basedOn w:val="Normal"/>
    <w:qFormat/>
    <w:pPr>
      <w:suppressLineNumbers/>
      <w:spacing w:before="120" w:after="120"/>
    </w:pPr>
    <w:rPr>
      <w:rFonts w:cs="Arial"/>
      <w:i/>
      <w:iCs/>
      <w:sz w:val="24"/>
      <w:szCs w:val="24"/>
    </w:rPr>
  </w:style>
  <w:style w:type="paragraph" w:styleId="caption1" w:customStyle="1">
    <w:name w:val="caption1"/>
    <w:basedOn w:val="Normal"/>
    <w:qFormat/>
    <w:pPr>
      <w:suppressLineNumbers/>
      <w:spacing w:before="120" w:after="120"/>
    </w:pPr>
    <w:rPr>
      <w:rFonts w:cs="Arial"/>
      <w:i/>
      <w:iCs/>
      <w:sz w:val="24"/>
      <w:szCs w:val="24"/>
    </w:rPr>
  </w:style>
  <w:style w:type="paragraph" w:styleId="caption2" w:customStyle="1">
    <w:name w:val="caption2"/>
    <w:basedOn w:val="Normal"/>
    <w:qFormat/>
    <w:pPr>
      <w:suppressLineNumbers/>
      <w:spacing w:before="120" w:after="120"/>
    </w:pPr>
    <w:rPr>
      <w:rFonts w:cs="Arial"/>
      <w:i/>
      <w:iCs/>
      <w:sz w:val="24"/>
      <w:szCs w:val="24"/>
    </w:rPr>
  </w:style>
  <w:style w:type="paragraph" w:styleId="Standard" w:customStyle="1">
    <w:name w:val="Standard"/>
    <w:qFormat/>
    <w:rsid w:val="007e4589"/>
    <w:pPr>
      <w:widowControl/>
      <w:suppressAutoHyphens w:val="true"/>
      <w:bidi w:val="0"/>
      <w:spacing w:before="0" w:after="0"/>
      <w:jc w:val="start"/>
      <w:textAlignment w:val="baseline"/>
    </w:pPr>
    <w:rPr>
      <w:rFonts w:ascii="Liberation Serif" w:hAnsi="Liberation Serif" w:eastAsia="NSimSun" w:cs="Arial"/>
      <w:color w:val="auto"/>
      <w:kern w:val="2"/>
      <w:sz w:val="24"/>
      <w:szCs w:val="24"/>
      <w:lang w:eastAsia="zh-CN" w:bidi="hi-IN" w:val="ru-RU"/>
    </w:rPr>
  </w:style>
  <w:style w:type="numbering" w:styleId="Style28" w:customStyle="1">
    <w:name w:val="Без списка"/>
    <w:uiPriority w:val="99"/>
    <w:semiHidden/>
    <w:unhideWhenUsed/>
    <w:qFormat/>
  </w:style>
  <w:style w:type="numbering" w:styleId="user2" w:customStyle="1">
    <w:name w:val="Без списка (user)"/>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qFormat/>
    <w:rsid w:val="000c20f1"/>
    <w:rPr>
      <w:lang w:val="en-US"/>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01671-87A3-4048-BCF9-D4AA7A733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Application>LibreOffice/26.2.5.2$Windows_X86_64 LibreOffice_project/cd7284b4cbbfeb507e630c1aac019f4157393acb</Application>
  <AppVersion>15.0000</AppVersion>
  <Pages>9</Pages>
  <Words>4073</Words>
  <Characters>30410</Characters>
  <CharactersWithSpaces>34431</CharactersWithSpaces>
  <Paragraphs>257</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2026-08-28T06:32:00Z</dcterms:created>
  <dc:creator>dgp_103</dc:creator>
  <dc:description/>
  <dc:language>ru-RU</dc:language>
  <cp:lastModifiedBy/>
  <cp:lastPrinted>2026-09-01T11:31:10Z</cp:lastPrinted>
  <dcterms:modified xsi:type="dcterms:W3CDTF">2026-09-01T11:42:21Z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