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 w:firstLine="709" w:left="0"/>
        <w:rPr>
          <w:b w:val="1"/>
          <w:sz w:val="18"/>
        </w:rPr>
      </w:pPr>
      <w:r>
        <w:rPr>
          <w:b w:val="1"/>
          <w:sz w:val="18"/>
        </w:rPr>
        <w:t xml:space="preserve">  </w:t>
      </w:r>
    </w:p>
    <w:p w14:paraId="02000000">
      <w:pPr>
        <w:pStyle w:val="Style_2"/>
        <w:spacing w:line="216" w:lineRule="auto"/>
        <w:ind/>
        <w:rPr>
          <w:color w:val="FF0000"/>
          <w:sz w:val="18"/>
        </w:rPr>
      </w:pPr>
      <w:r>
        <w:rPr>
          <w:sz w:val="18"/>
        </w:rPr>
        <w:t xml:space="preserve">ДОГОВОР № </w:t>
      </w:r>
      <w:r>
        <w:rPr>
          <w:sz w:val="18"/>
        </w:rPr>
        <w:t>(</w:t>
      </w:r>
      <w:r>
        <w:rPr>
          <w:sz w:val="18"/>
          <w:highlight w:val="yellow"/>
        </w:rPr>
        <w:t>как номер счета</w:t>
      </w:r>
      <w:r>
        <w:rPr>
          <w:sz w:val="18"/>
        </w:rPr>
        <w:t>)</w:t>
      </w:r>
    </w:p>
    <w:p w14:paraId="03000000">
      <w:pPr>
        <w:pStyle w:val="Style_2"/>
        <w:spacing w:line="216" w:lineRule="auto"/>
        <w:ind/>
        <w:rPr>
          <w:sz w:val="18"/>
        </w:rPr>
      </w:pPr>
      <w:r>
        <w:rPr>
          <w:sz w:val="18"/>
        </w:rPr>
        <w:t>Н</w:t>
      </w:r>
      <w:r>
        <w:rPr>
          <w:sz w:val="18"/>
        </w:rPr>
        <w:t>а</w:t>
      </w:r>
      <w:r>
        <w:rPr>
          <w:sz w:val="18"/>
        </w:rPr>
        <w:t xml:space="preserve"> оказание образовательных услуг</w:t>
      </w:r>
      <w:r>
        <w:rPr>
          <w:sz w:val="18"/>
        </w:rPr>
        <w:t xml:space="preserve"> </w:t>
      </w:r>
      <w:r>
        <w:rPr>
          <w:sz w:val="18"/>
        </w:rPr>
        <w:t>-</w:t>
      </w:r>
      <w:r>
        <w:rPr>
          <w:sz w:val="18"/>
        </w:rPr>
        <w:t xml:space="preserve"> повышение квалификации</w:t>
      </w:r>
    </w:p>
    <w:p w14:paraId="04000000">
      <w:pPr>
        <w:pStyle w:val="Style_2"/>
        <w:spacing w:line="216" w:lineRule="auto"/>
        <w:ind/>
        <w:rPr>
          <w:sz w:val="18"/>
        </w:rPr>
      </w:pPr>
    </w:p>
    <w:p w14:paraId="05000000">
      <w:pPr>
        <w:spacing w:line="216" w:lineRule="auto"/>
        <w:ind/>
        <w:jc w:val="both"/>
        <w:rPr>
          <w:sz w:val="18"/>
        </w:rPr>
      </w:pPr>
      <w:r>
        <w:rPr>
          <w:sz w:val="18"/>
          <w:highlight w:val="yellow"/>
        </w:rPr>
        <w:t>«__» ____________ 202</w:t>
      </w:r>
      <w:r>
        <w:rPr>
          <w:sz w:val="18"/>
          <w:highlight w:val="yellow"/>
        </w:rPr>
        <w:t>6</w:t>
      </w:r>
      <w:r>
        <w:rPr>
          <w:sz w:val="18"/>
          <w:highlight w:val="yellow"/>
        </w:rPr>
        <w:t xml:space="preserve"> г.</w:t>
      </w:r>
      <w:r>
        <w:rPr>
          <w:sz w:val="18"/>
        </w:rPr>
        <w:t xml:space="preserve">                                                                               </w:t>
      </w:r>
      <w:r>
        <w:rPr>
          <w:sz w:val="18"/>
        </w:rPr>
        <w:t xml:space="preserve">                                                                              </w:t>
      </w:r>
      <w:r>
        <w:rPr>
          <w:sz w:val="18"/>
        </w:rPr>
        <w:t xml:space="preserve">  г. Ярославль</w:t>
      </w:r>
    </w:p>
    <w:p w14:paraId="06000000">
      <w:pPr>
        <w:spacing w:line="216" w:lineRule="auto"/>
        <w:ind/>
        <w:jc w:val="both"/>
        <w:rPr>
          <w:sz w:val="18"/>
        </w:rPr>
      </w:pPr>
    </w:p>
    <w:p w14:paraId="07000000">
      <w:pPr>
        <w:spacing w:line="216" w:lineRule="auto"/>
        <w:ind w:firstLine="709" w:left="0"/>
        <w:jc w:val="both"/>
        <w:rPr>
          <w:sz w:val="18"/>
        </w:rPr>
      </w:pPr>
      <w:r>
        <w:rPr>
          <w:rFonts w:ascii="Times New Roman" w:hAnsi="Times New Roman"/>
          <w:sz w:val="18"/>
        </w:rPr>
        <w:t xml:space="preserve">Ленинградское областное государственное стационарное бюджетное учреждение социального обслуживания «Сясьстройский </w:t>
      </w:r>
      <w:r>
        <w:rPr>
          <w:rFonts w:ascii="Times New Roman" w:hAnsi="Times New Roman"/>
          <w:sz w:val="18"/>
        </w:rPr>
        <w:t>дом социального проживания</w:t>
      </w:r>
      <w:r>
        <w:rPr>
          <w:rFonts w:ascii="Times New Roman" w:hAnsi="Times New Roman"/>
          <w:sz w:val="18"/>
        </w:rPr>
        <w:t xml:space="preserve">» (далее - ЛОГБУ «Сясьстройский </w:t>
      </w:r>
      <w:r>
        <w:rPr>
          <w:rFonts w:ascii="Times New Roman" w:hAnsi="Times New Roman"/>
          <w:sz w:val="18"/>
        </w:rPr>
        <w:t>ДСП</w:t>
      </w:r>
      <w:r>
        <w:rPr>
          <w:rFonts w:ascii="Times New Roman" w:hAnsi="Times New Roman"/>
          <w:sz w:val="18"/>
        </w:rPr>
        <w:t>), именуемое в дальнейшем «Заказчик», в лице директора Журавель Марии Борисовны, действующего на основании Устава</w:t>
      </w:r>
      <w:r>
        <w:rPr>
          <w:sz w:val="18"/>
        </w:rPr>
        <w:t xml:space="preserve"> с одной стороны, </w:t>
      </w:r>
    </w:p>
    <w:p w14:paraId="08000000">
      <w:pPr>
        <w:spacing w:line="216" w:lineRule="auto"/>
        <w:ind w:firstLine="709" w:left="0"/>
        <w:jc w:val="both"/>
        <w:rPr>
          <w:sz w:val="18"/>
        </w:rPr>
      </w:pPr>
      <w:r>
        <w:rPr>
          <w:sz w:val="18"/>
        </w:rPr>
        <w:t>и ______________________________</w:t>
      </w:r>
      <w:r>
        <w:rPr>
          <w:b w:val="1"/>
          <w:sz w:val="18"/>
        </w:rPr>
        <w:t xml:space="preserve">, </w:t>
      </w:r>
      <w:r>
        <w:rPr>
          <w:sz w:val="18"/>
        </w:rPr>
        <w:t xml:space="preserve">Лицензия на право осуществления образовательной деятельности № _____, серия ___ № ___ от _________ на основании приказа Департамента образования ____________ № ________, именуемое в дальнейшем </w:t>
      </w:r>
      <w:r>
        <w:rPr>
          <w:b w:val="1"/>
          <w:sz w:val="18"/>
        </w:rPr>
        <w:t>«Исполнитель»</w:t>
      </w:r>
      <w:r>
        <w:rPr>
          <w:sz w:val="18"/>
        </w:rPr>
        <w:t>, в лице   _______________________</w:t>
      </w:r>
      <w:r>
        <w:rPr>
          <w:sz w:val="18"/>
        </w:rPr>
        <w:t>, действующего на основании ________, именуемые далее Стороны, заключили настоящий Договор о нижеследующем:</w:t>
      </w:r>
    </w:p>
    <w:p w14:paraId="09000000">
      <w:pPr>
        <w:ind w:firstLine="709" w:left="0"/>
        <w:jc w:val="both"/>
        <w:rPr>
          <w:sz w:val="18"/>
        </w:rPr>
      </w:pPr>
    </w:p>
    <w:p w14:paraId="0A000000">
      <w:pPr>
        <w:pStyle w:val="Style_3"/>
        <w:numPr>
          <w:ilvl w:val="0"/>
          <w:numId w:val="1"/>
        </w:numPr>
        <w:spacing w:after="0" w:before="0"/>
        <w:ind/>
        <w:jc w:val="center"/>
        <w:rPr>
          <w:b w:val="1"/>
          <w:color w:val="000000"/>
          <w:sz w:val="18"/>
        </w:rPr>
      </w:pPr>
      <w:r>
        <w:rPr>
          <w:b w:val="1"/>
          <w:color w:val="000000"/>
          <w:sz w:val="18"/>
        </w:rPr>
        <w:t>Предмет договора</w:t>
      </w:r>
    </w:p>
    <w:p w14:paraId="0B000000">
      <w:pPr>
        <w:pStyle w:val="Style_4"/>
        <w:numPr>
          <w:ilvl w:val="0"/>
          <w:numId w:val="2"/>
        </w:numPr>
        <w:ind w:firstLine="0" w:left="360"/>
        <w:rPr>
          <w:b w:val="1"/>
          <w:sz w:val="18"/>
        </w:rPr>
      </w:pPr>
      <w:r>
        <w:rPr>
          <w:sz w:val="18"/>
        </w:rPr>
        <w:t>Исполнитель обязуется предоставить, а Заказчик обязуется оплатить образовательные услуги для слушате</w:t>
      </w:r>
      <w:r>
        <w:rPr>
          <w:sz w:val="18"/>
        </w:rPr>
        <w:t>лей Заказчика (далее Слушатели)</w:t>
      </w:r>
      <w:r>
        <w:rPr>
          <w:b w:val="1"/>
          <w:sz w:val="18"/>
        </w:rPr>
        <w:t xml:space="preserve"> </w:t>
      </w:r>
      <w:r>
        <w:rPr>
          <w:sz w:val="18"/>
        </w:rPr>
        <w:t>по теме</w:t>
      </w:r>
      <w:r>
        <w:rPr>
          <w:b w:val="1"/>
          <w:sz w:val="18"/>
        </w:rPr>
        <w:t xml:space="preserve">: </w:t>
      </w:r>
      <w:r>
        <w:rPr>
          <w:b w:val="1"/>
          <w:sz w:val="18"/>
        </w:rPr>
        <w:t>«</w:t>
      </w:r>
      <w:r>
        <w:rPr>
          <w:b w:val="1"/>
          <w:sz w:val="18"/>
        </w:rPr>
        <w:t xml:space="preserve">Изменения </w:t>
      </w:r>
      <w:r>
        <w:rPr>
          <w:b w:val="1"/>
          <w:sz w:val="18"/>
        </w:rPr>
        <w:t>в трудовом законод</w:t>
      </w:r>
      <w:r>
        <w:rPr>
          <w:b w:val="1"/>
          <w:sz w:val="18"/>
        </w:rPr>
        <w:t xml:space="preserve">ательстве в сентябре 2026-марте </w:t>
      </w:r>
      <w:r>
        <w:rPr>
          <w:b w:val="1"/>
          <w:sz w:val="18"/>
        </w:rPr>
        <w:t>2027 года: возможнос</w:t>
      </w:r>
      <w:r>
        <w:rPr>
          <w:b w:val="1"/>
          <w:sz w:val="18"/>
        </w:rPr>
        <w:t>ти работодателя увеличиваются!</w:t>
      </w:r>
      <w:r>
        <w:rPr>
          <w:b w:val="1"/>
          <w:sz w:val="18"/>
        </w:rPr>
        <w:t>».</w:t>
      </w:r>
    </w:p>
    <w:p w14:paraId="0C000000">
      <w:pPr>
        <w:pStyle w:val="Style_4"/>
        <w:numPr>
          <w:ilvl w:val="1"/>
          <w:numId w:val="2"/>
        </w:numPr>
        <w:ind w:firstLine="0" w:left="360"/>
        <w:jc w:val="both"/>
        <w:rPr>
          <w:sz w:val="18"/>
        </w:rPr>
      </w:pPr>
      <w:r>
        <w:rPr>
          <w:sz w:val="18"/>
        </w:rPr>
        <w:t xml:space="preserve">Объем программы </w:t>
      </w:r>
      <w:r>
        <w:rPr>
          <w:b w:val="1"/>
          <w:sz w:val="18"/>
        </w:rPr>
        <w:t>24</w:t>
      </w:r>
      <w:r>
        <w:rPr>
          <w:sz w:val="18"/>
        </w:rPr>
        <w:t xml:space="preserve"> академических час</w:t>
      </w:r>
      <w:r>
        <w:rPr>
          <w:sz w:val="18"/>
        </w:rPr>
        <w:t>а</w:t>
      </w:r>
      <w:r>
        <w:rPr>
          <w:sz w:val="18"/>
        </w:rPr>
        <w:t xml:space="preserve">. Форма </w:t>
      </w:r>
      <w:r>
        <w:rPr>
          <w:b w:val="1"/>
          <w:sz w:val="18"/>
        </w:rPr>
        <w:t>дистанционная</w:t>
      </w:r>
      <w:r>
        <w:rPr>
          <w:sz w:val="18"/>
        </w:rPr>
        <w:t xml:space="preserve">. </w:t>
      </w:r>
    </w:p>
    <w:p w14:paraId="0D000000">
      <w:pPr>
        <w:pStyle w:val="Style_4"/>
        <w:numPr>
          <w:ilvl w:val="1"/>
          <w:numId w:val="2"/>
        </w:numPr>
        <w:ind w:firstLine="0" w:left="360"/>
        <w:jc w:val="both"/>
        <w:rPr>
          <w:b w:val="1"/>
          <w:sz w:val="18"/>
        </w:rPr>
      </w:pPr>
      <w:r>
        <w:rPr>
          <w:sz w:val="18"/>
        </w:rPr>
        <w:t xml:space="preserve">Дата проведения: </w:t>
      </w:r>
      <w:bookmarkStart w:id="1" w:name="_GoBack"/>
      <w:r>
        <w:rPr>
          <w:b w:val="1"/>
          <w:sz w:val="18"/>
        </w:rPr>
        <w:t>с «</w:t>
      </w:r>
      <w:r>
        <w:rPr>
          <w:b w:val="1"/>
          <w:sz w:val="18"/>
        </w:rPr>
        <w:t>09</w:t>
      </w:r>
      <w:r>
        <w:rPr>
          <w:b w:val="1"/>
          <w:sz w:val="18"/>
        </w:rPr>
        <w:t xml:space="preserve">» </w:t>
      </w:r>
      <w:r>
        <w:rPr>
          <w:b w:val="1"/>
          <w:sz w:val="18"/>
        </w:rPr>
        <w:t>октября</w:t>
      </w:r>
      <w:r>
        <w:rPr>
          <w:b w:val="1"/>
          <w:sz w:val="18"/>
        </w:rPr>
        <w:t xml:space="preserve"> 2026</w:t>
      </w:r>
      <w:r>
        <w:rPr>
          <w:b w:val="1"/>
          <w:sz w:val="18"/>
        </w:rPr>
        <w:t xml:space="preserve"> года по «</w:t>
      </w:r>
      <w:r>
        <w:rPr>
          <w:b w:val="1"/>
          <w:sz w:val="18"/>
        </w:rPr>
        <w:t>13</w:t>
      </w:r>
      <w:r>
        <w:rPr>
          <w:b w:val="1"/>
          <w:sz w:val="18"/>
        </w:rPr>
        <w:t xml:space="preserve">» </w:t>
      </w:r>
      <w:r>
        <w:rPr>
          <w:b w:val="1"/>
          <w:sz w:val="18"/>
        </w:rPr>
        <w:t>октября</w:t>
      </w:r>
      <w:r>
        <w:rPr>
          <w:b w:val="1"/>
          <w:sz w:val="18"/>
        </w:rPr>
        <w:t xml:space="preserve"> 2026</w:t>
      </w:r>
      <w:r>
        <w:rPr>
          <w:b w:val="1"/>
          <w:sz w:val="18"/>
        </w:rPr>
        <w:t xml:space="preserve"> года</w:t>
      </w:r>
      <w:bookmarkEnd w:id="1"/>
      <w:r>
        <w:rPr>
          <w:b w:val="1"/>
          <w:sz w:val="18"/>
        </w:rPr>
        <w:t>.</w:t>
      </w:r>
    </w:p>
    <w:p w14:paraId="0E000000">
      <w:pPr>
        <w:tabs>
          <w:tab w:leader="none" w:pos="900" w:val="left"/>
        </w:tabs>
        <w:ind/>
        <w:jc w:val="center"/>
        <w:rPr>
          <w:b w:val="1"/>
          <w:sz w:val="18"/>
        </w:rPr>
      </w:pPr>
    </w:p>
    <w:p w14:paraId="0F000000">
      <w:pPr>
        <w:tabs>
          <w:tab w:leader="none" w:pos="900" w:val="left"/>
        </w:tabs>
        <w:ind/>
        <w:jc w:val="center"/>
        <w:rPr>
          <w:b w:val="1"/>
          <w:sz w:val="18"/>
        </w:rPr>
      </w:pPr>
      <w:r>
        <w:rPr>
          <w:b w:val="1"/>
          <w:sz w:val="18"/>
        </w:rPr>
        <w:t>2. Обязанности сторон</w:t>
      </w:r>
    </w:p>
    <w:p w14:paraId="10000000">
      <w:pPr>
        <w:tabs>
          <w:tab w:leader="none" w:pos="900" w:val="left"/>
        </w:tabs>
        <w:ind/>
        <w:jc w:val="both"/>
        <w:rPr>
          <w:b w:val="1"/>
          <w:sz w:val="18"/>
        </w:rPr>
      </w:pPr>
      <w:r>
        <w:rPr>
          <w:b w:val="1"/>
          <w:sz w:val="18"/>
        </w:rPr>
        <w:t>Исполнитель о</w:t>
      </w:r>
      <w:r>
        <w:rPr>
          <w:b w:val="1"/>
          <w:sz w:val="18"/>
        </w:rPr>
        <w:t>бязуется</w:t>
      </w:r>
      <w:r>
        <w:rPr>
          <w:b w:val="1"/>
          <w:sz w:val="18"/>
        </w:rPr>
        <w:t>:</w:t>
      </w:r>
    </w:p>
    <w:p w14:paraId="11000000">
      <w:pPr>
        <w:pStyle w:val="Style_5"/>
        <w:ind w:firstLine="0" w:left="0"/>
        <w:rPr>
          <w:sz w:val="18"/>
        </w:rPr>
      </w:pPr>
      <w:r>
        <w:rPr>
          <w:sz w:val="18"/>
        </w:rPr>
        <w:t>2.1</w:t>
      </w:r>
      <w:r>
        <w:rPr>
          <w:sz w:val="18"/>
        </w:rPr>
        <w:t>.</w:t>
      </w:r>
      <w:r>
        <w:rPr>
          <w:sz w:val="18"/>
        </w:rPr>
        <w:t xml:space="preserve"> </w:t>
      </w:r>
      <w:r>
        <w:rPr>
          <w:sz w:val="18"/>
        </w:rPr>
        <w:t>Оказать р</w:t>
      </w:r>
      <w:r>
        <w:rPr>
          <w:sz w:val="18"/>
        </w:rPr>
        <w:t xml:space="preserve">азработку программы </w:t>
      </w:r>
      <w:r>
        <w:rPr>
          <w:sz w:val="18"/>
        </w:rPr>
        <w:t xml:space="preserve">повышения квалификации </w:t>
      </w:r>
      <w:r>
        <w:rPr>
          <w:sz w:val="18"/>
        </w:rPr>
        <w:t>по заданной тем</w:t>
      </w:r>
      <w:r>
        <w:rPr>
          <w:sz w:val="18"/>
        </w:rPr>
        <w:t>е</w:t>
      </w:r>
      <w:r>
        <w:rPr>
          <w:sz w:val="18"/>
        </w:rPr>
        <w:t>.</w:t>
      </w:r>
    </w:p>
    <w:p w14:paraId="12000000">
      <w:pPr>
        <w:tabs>
          <w:tab w:leader="none" w:pos="540" w:val="left"/>
        </w:tabs>
        <w:ind/>
        <w:jc w:val="both"/>
        <w:rPr>
          <w:sz w:val="18"/>
        </w:rPr>
      </w:pPr>
      <w:r>
        <w:rPr>
          <w:sz w:val="18"/>
        </w:rPr>
        <w:t>2.2</w:t>
      </w:r>
      <w:r>
        <w:rPr>
          <w:sz w:val="18"/>
        </w:rPr>
        <w:t>.</w:t>
      </w:r>
      <w:r>
        <w:rPr>
          <w:sz w:val="18"/>
        </w:rPr>
        <w:t xml:space="preserve"> </w:t>
      </w:r>
      <w:r>
        <w:rPr>
          <w:sz w:val="18"/>
        </w:rPr>
        <w:t>Предостав</w:t>
      </w:r>
      <w:r>
        <w:rPr>
          <w:sz w:val="18"/>
        </w:rPr>
        <w:t>ить</w:t>
      </w:r>
      <w:r>
        <w:rPr>
          <w:sz w:val="18"/>
        </w:rPr>
        <w:t xml:space="preserve"> Заказчику </w:t>
      </w:r>
      <w:r>
        <w:rPr>
          <w:sz w:val="18"/>
        </w:rPr>
        <w:t xml:space="preserve">договор на оказание образовательных услуг, </w:t>
      </w:r>
      <w:r>
        <w:rPr>
          <w:sz w:val="18"/>
        </w:rPr>
        <w:t>счет и акт оказанных услуг</w:t>
      </w:r>
      <w:r>
        <w:rPr>
          <w:sz w:val="18"/>
        </w:rPr>
        <w:t>,</w:t>
      </w:r>
      <w:r>
        <w:rPr>
          <w:sz w:val="18"/>
        </w:rPr>
        <w:t xml:space="preserve"> </w:t>
      </w:r>
      <w:r>
        <w:rPr>
          <w:sz w:val="18"/>
        </w:rPr>
        <w:t xml:space="preserve">по запросу </w:t>
      </w:r>
      <w:r>
        <w:rPr>
          <w:sz w:val="18"/>
        </w:rPr>
        <w:t xml:space="preserve">копию лицензии на право </w:t>
      </w:r>
      <w:r>
        <w:rPr>
          <w:sz w:val="18"/>
        </w:rPr>
        <w:t xml:space="preserve">осуществления </w:t>
      </w:r>
      <w:r>
        <w:rPr>
          <w:sz w:val="18"/>
        </w:rPr>
        <w:t>образовательной деятельности</w:t>
      </w:r>
      <w:r>
        <w:rPr>
          <w:sz w:val="18"/>
        </w:rPr>
        <w:t>.</w:t>
      </w:r>
    </w:p>
    <w:p w14:paraId="13000000">
      <w:pPr>
        <w:ind/>
        <w:jc w:val="both"/>
        <w:rPr>
          <w:sz w:val="18"/>
        </w:rPr>
      </w:pPr>
      <w:r>
        <w:rPr>
          <w:sz w:val="18"/>
        </w:rPr>
        <w:t>2.3</w:t>
      </w:r>
      <w:r>
        <w:rPr>
          <w:sz w:val="18"/>
        </w:rPr>
        <w:t>.</w:t>
      </w:r>
      <w:r>
        <w:rPr>
          <w:sz w:val="18"/>
        </w:rPr>
        <w:t xml:space="preserve"> </w:t>
      </w:r>
      <w:r>
        <w:rPr>
          <w:sz w:val="18"/>
        </w:rPr>
        <w:t>Выда</w:t>
      </w:r>
      <w:r>
        <w:rPr>
          <w:sz w:val="18"/>
        </w:rPr>
        <w:t>ть</w:t>
      </w:r>
      <w:r>
        <w:rPr>
          <w:sz w:val="18"/>
        </w:rPr>
        <w:t xml:space="preserve"> слушател</w:t>
      </w:r>
      <w:r>
        <w:rPr>
          <w:sz w:val="18"/>
        </w:rPr>
        <w:t>ю</w:t>
      </w:r>
      <w:r>
        <w:rPr>
          <w:sz w:val="18"/>
        </w:rPr>
        <w:t xml:space="preserve"> учебн</w:t>
      </w:r>
      <w:r>
        <w:rPr>
          <w:sz w:val="18"/>
        </w:rPr>
        <w:t>ые</w:t>
      </w:r>
      <w:r>
        <w:rPr>
          <w:sz w:val="18"/>
        </w:rPr>
        <w:t xml:space="preserve"> материал</w:t>
      </w:r>
      <w:r>
        <w:rPr>
          <w:sz w:val="18"/>
        </w:rPr>
        <w:t>ы</w:t>
      </w:r>
      <w:r>
        <w:rPr>
          <w:sz w:val="18"/>
        </w:rPr>
        <w:t>, канцелярски</w:t>
      </w:r>
      <w:r>
        <w:rPr>
          <w:sz w:val="18"/>
        </w:rPr>
        <w:t>е</w:t>
      </w:r>
      <w:r>
        <w:rPr>
          <w:sz w:val="18"/>
        </w:rPr>
        <w:t xml:space="preserve"> принадлежност</w:t>
      </w:r>
      <w:r>
        <w:rPr>
          <w:sz w:val="18"/>
        </w:rPr>
        <w:t>и</w:t>
      </w:r>
      <w:r>
        <w:rPr>
          <w:sz w:val="18"/>
        </w:rPr>
        <w:t xml:space="preserve">, </w:t>
      </w:r>
      <w:r>
        <w:rPr>
          <w:sz w:val="18"/>
        </w:rPr>
        <w:t>Удостоверени</w:t>
      </w:r>
      <w:r>
        <w:rPr>
          <w:sz w:val="18"/>
        </w:rPr>
        <w:t xml:space="preserve">е о </w:t>
      </w:r>
      <w:r>
        <w:rPr>
          <w:sz w:val="18"/>
        </w:rPr>
        <w:t>повышени</w:t>
      </w:r>
      <w:r>
        <w:rPr>
          <w:sz w:val="18"/>
        </w:rPr>
        <w:t>е</w:t>
      </w:r>
      <w:r>
        <w:rPr>
          <w:sz w:val="18"/>
        </w:rPr>
        <w:t xml:space="preserve"> квалификации</w:t>
      </w:r>
      <w:r>
        <w:rPr>
          <w:sz w:val="18"/>
        </w:rPr>
        <w:t>.</w:t>
      </w:r>
      <w:r>
        <w:rPr>
          <w:sz w:val="18"/>
        </w:rPr>
        <w:t xml:space="preserve"> </w:t>
      </w:r>
      <w:r>
        <w:rPr>
          <w:sz w:val="18"/>
        </w:rPr>
        <w:t>Удостоверение о повышении квалификации</w:t>
      </w:r>
      <w:r>
        <w:rPr>
          <w:sz w:val="18"/>
        </w:rPr>
        <w:t xml:space="preserve"> выдается слушателям заказчика </w:t>
      </w:r>
      <w:r>
        <w:rPr>
          <w:sz w:val="18"/>
        </w:rPr>
        <w:t>после завершения итоговой аттестаци</w:t>
      </w:r>
      <w:r>
        <w:rPr>
          <w:sz w:val="18"/>
        </w:rPr>
        <w:t>и</w:t>
      </w:r>
      <w:r>
        <w:rPr>
          <w:sz w:val="18"/>
        </w:rPr>
        <w:t xml:space="preserve"> в форме, определяемой Исполнителем.</w:t>
      </w:r>
      <w:r>
        <w:rPr>
          <w:sz w:val="18"/>
        </w:rPr>
        <w:t xml:space="preserve"> Слушателям</w:t>
      </w:r>
      <w:r>
        <w:rPr>
          <w:sz w:val="18"/>
        </w:rPr>
        <w:t>,</w:t>
      </w:r>
      <w:r>
        <w:rPr>
          <w:sz w:val="18"/>
        </w:rPr>
        <w:t xml:space="preserve"> не прошедшим </w:t>
      </w:r>
      <w:r>
        <w:rPr>
          <w:sz w:val="18"/>
        </w:rPr>
        <w:t>итоговую аттестацию</w:t>
      </w:r>
      <w:r>
        <w:rPr>
          <w:sz w:val="18"/>
        </w:rPr>
        <w:t xml:space="preserve">, </w:t>
      </w:r>
      <w:r>
        <w:rPr>
          <w:sz w:val="18"/>
        </w:rPr>
        <w:t xml:space="preserve">выдается справка об обучении или о периоде обучения по образцу, самостоятельно установленному </w:t>
      </w:r>
      <w:r>
        <w:rPr>
          <w:sz w:val="18"/>
        </w:rPr>
        <w:t>Исполнителем</w:t>
      </w:r>
      <w:r>
        <w:rPr>
          <w:sz w:val="18"/>
        </w:rPr>
        <w:t>.</w:t>
      </w:r>
    </w:p>
    <w:p w14:paraId="14000000">
      <w:pPr>
        <w:ind/>
        <w:jc w:val="both"/>
        <w:rPr>
          <w:sz w:val="18"/>
        </w:rPr>
      </w:pPr>
      <w:r>
        <w:rPr>
          <w:sz w:val="18"/>
        </w:rPr>
        <w:t>2.</w:t>
      </w:r>
      <w:r>
        <w:rPr>
          <w:sz w:val="18"/>
        </w:rPr>
        <w:t>4.</w:t>
      </w:r>
      <w:r>
        <w:rPr>
          <w:sz w:val="18"/>
        </w:rPr>
        <w:t xml:space="preserve"> Слушателям,</w:t>
      </w:r>
      <w:r>
        <w:rPr>
          <w:sz w:val="18"/>
        </w:rPr>
        <w:t xml:space="preserve"> не имеющим </w:t>
      </w:r>
      <w:r>
        <w:rPr>
          <w:sz w:val="18"/>
        </w:rPr>
        <w:t>среднего профессионального образования и (или) высшего</w:t>
      </w:r>
      <w:r>
        <w:rPr>
          <w:sz w:val="18"/>
        </w:rPr>
        <w:t xml:space="preserve"> образования</w:t>
      </w:r>
      <w:r>
        <w:rPr>
          <w:sz w:val="18"/>
        </w:rPr>
        <w:t xml:space="preserve">, выдается </w:t>
      </w:r>
      <w:r>
        <w:rPr>
          <w:sz w:val="18"/>
        </w:rPr>
        <w:t>справка об обучении или о периоде обучения по образцу.</w:t>
      </w:r>
    </w:p>
    <w:p w14:paraId="15000000">
      <w:pPr>
        <w:ind/>
        <w:jc w:val="both"/>
        <w:rPr>
          <w:sz w:val="18"/>
        </w:rPr>
      </w:pPr>
      <w:r>
        <w:rPr>
          <w:sz w:val="18"/>
        </w:rPr>
        <w:t>2.</w:t>
      </w:r>
      <w:r>
        <w:rPr>
          <w:sz w:val="18"/>
        </w:rPr>
        <w:t>5</w:t>
      </w:r>
      <w:r>
        <w:rPr>
          <w:sz w:val="18"/>
        </w:rPr>
        <w:t>.</w:t>
      </w:r>
      <w:r>
        <w:rPr>
          <w:sz w:val="18"/>
        </w:rPr>
        <w:t xml:space="preserve"> </w:t>
      </w:r>
      <w:r>
        <w:rPr>
          <w:sz w:val="18"/>
        </w:rPr>
        <w:t>При освоении дополнительной профессиональной программы параллельно с получением среднего профессионального образования и (или) высшего образования</w:t>
      </w:r>
      <w:r>
        <w:rPr>
          <w:sz w:val="18"/>
        </w:rPr>
        <w:t>,</w:t>
      </w:r>
      <w:r>
        <w:rPr>
          <w:sz w:val="18"/>
        </w:rPr>
        <w:t xml:space="preserve"> удостоверение о повышении квалификации выдаются одновременно с получением соответствующего документа об образовании и о квалификации.</w:t>
      </w:r>
    </w:p>
    <w:p w14:paraId="16000000">
      <w:pPr>
        <w:ind/>
        <w:jc w:val="both"/>
        <w:rPr>
          <w:b w:val="1"/>
          <w:sz w:val="18"/>
        </w:rPr>
      </w:pPr>
    </w:p>
    <w:p w14:paraId="17000000">
      <w:pPr>
        <w:ind/>
        <w:jc w:val="both"/>
        <w:rPr>
          <w:b w:val="1"/>
          <w:sz w:val="18"/>
        </w:rPr>
      </w:pPr>
      <w:r>
        <w:rPr>
          <w:b w:val="1"/>
          <w:sz w:val="18"/>
        </w:rPr>
        <w:t>Заказчик обязуется:</w:t>
      </w:r>
    </w:p>
    <w:p w14:paraId="18000000">
      <w:pPr>
        <w:ind/>
        <w:jc w:val="both"/>
        <w:rPr>
          <w:sz w:val="18"/>
        </w:rPr>
      </w:pPr>
      <w:r>
        <w:rPr>
          <w:sz w:val="18"/>
        </w:rPr>
        <w:t>2.</w:t>
      </w:r>
      <w:r>
        <w:rPr>
          <w:sz w:val="18"/>
        </w:rPr>
        <w:t>6</w:t>
      </w:r>
      <w:r>
        <w:rPr>
          <w:sz w:val="18"/>
        </w:rPr>
        <w:t>. Направить</w:t>
      </w:r>
      <w:r>
        <w:rPr>
          <w:sz w:val="18"/>
        </w:rPr>
        <w:t xml:space="preserve"> </w:t>
      </w:r>
      <w:r>
        <w:rPr>
          <w:sz w:val="18"/>
        </w:rPr>
        <w:t xml:space="preserve">на </w:t>
      </w:r>
      <w:r>
        <w:rPr>
          <w:sz w:val="18"/>
        </w:rPr>
        <w:t xml:space="preserve">обучение по программе </w:t>
      </w:r>
      <w:r>
        <w:rPr>
          <w:sz w:val="18"/>
        </w:rPr>
        <w:t xml:space="preserve">повышения квалификации </w:t>
      </w:r>
      <w:r>
        <w:rPr>
          <w:sz w:val="18"/>
        </w:rPr>
        <w:t>следующих слушателей</w:t>
      </w:r>
      <w:r>
        <w:rPr>
          <w:sz w:val="18"/>
        </w:rPr>
        <w:t>:</w:t>
      </w:r>
      <w:r>
        <w:rPr>
          <w:sz w:val="18"/>
        </w:rPr>
        <w:t xml:space="preserve"> </w:t>
      </w:r>
      <w:r>
        <w:rPr>
          <w:sz w:val="18"/>
          <w:highlight w:val="yellow"/>
        </w:rPr>
        <w:t>______________________________</w:t>
      </w:r>
      <w:r>
        <w:rPr>
          <w:sz w:val="18"/>
        </w:rPr>
        <w:t>.</w:t>
      </w:r>
    </w:p>
    <w:p w14:paraId="19000000">
      <w:pPr>
        <w:pStyle w:val="Style_6"/>
        <w:ind w:firstLine="0" w:left="0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2.</w:t>
      </w:r>
      <w:r>
        <w:rPr>
          <w:rFonts w:ascii="Times New Roman" w:hAnsi="Times New Roman"/>
          <w:sz w:val="18"/>
        </w:rPr>
        <w:t>7</w:t>
      </w:r>
      <w:r>
        <w:rPr>
          <w:rFonts w:ascii="Times New Roman" w:hAnsi="Times New Roman"/>
          <w:sz w:val="18"/>
        </w:rPr>
        <w:t>. Оплатить стоимость услуг Исполнителя в соответствии с разделом 3. данного Договора.</w:t>
      </w:r>
    </w:p>
    <w:p w14:paraId="1A000000">
      <w:pPr>
        <w:pStyle w:val="Style_6"/>
        <w:ind w:firstLine="0" w:left="0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2.</w:t>
      </w:r>
      <w:r>
        <w:rPr>
          <w:rFonts w:ascii="Times New Roman" w:hAnsi="Times New Roman"/>
          <w:sz w:val="18"/>
        </w:rPr>
        <w:t>8</w:t>
      </w:r>
      <w:r>
        <w:rPr>
          <w:rFonts w:ascii="Times New Roman" w:hAnsi="Times New Roman"/>
          <w:sz w:val="18"/>
        </w:rPr>
        <w:t xml:space="preserve">. В случае отказа от </w:t>
      </w:r>
      <w:r>
        <w:rPr>
          <w:rFonts w:ascii="Times New Roman" w:hAnsi="Times New Roman"/>
          <w:sz w:val="18"/>
        </w:rPr>
        <w:t>обучения,</w:t>
      </w:r>
      <w:r>
        <w:rPr>
          <w:rFonts w:ascii="Times New Roman" w:hAnsi="Times New Roman"/>
          <w:sz w:val="18"/>
        </w:rPr>
        <w:t xml:space="preserve"> письменно уведомить об этом Исполнителя</w:t>
      </w:r>
      <w:r>
        <w:rPr>
          <w:rFonts w:ascii="Times New Roman" w:hAnsi="Times New Roman"/>
          <w:sz w:val="18"/>
        </w:rPr>
        <w:t>, не позднее, чем за 5 рабочий дней.</w:t>
      </w:r>
    </w:p>
    <w:p w14:paraId="1B000000">
      <w:pPr>
        <w:pStyle w:val="Style_5"/>
        <w:ind w:firstLine="0" w:left="0"/>
        <w:rPr>
          <w:sz w:val="18"/>
        </w:rPr>
      </w:pPr>
      <w:r>
        <w:rPr>
          <w:sz w:val="18"/>
        </w:rPr>
        <w:t>2.9</w:t>
      </w:r>
      <w:r>
        <w:rPr>
          <w:sz w:val="18"/>
        </w:rPr>
        <w:t xml:space="preserve">. Заказчик в течение </w:t>
      </w:r>
      <w:r>
        <w:rPr>
          <w:sz w:val="18"/>
        </w:rPr>
        <w:t xml:space="preserve">5 дней со дня получения Акта </w:t>
      </w:r>
      <w:r>
        <w:rPr>
          <w:sz w:val="18"/>
        </w:rPr>
        <w:t>оказанных услуг</w:t>
      </w:r>
      <w:r>
        <w:rPr>
          <w:sz w:val="18"/>
        </w:rPr>
        <w:t xml:space="preserve"> обязан передать (вручить,</w:t>
      </w:r>
      <w:r>
        <w:rPr>
          <w:sz w:val="18"/>
        </w:rPr>
        <w:t xml:space="preserve"> направить) Исполнителю Акт </w:t>
      </w:r>
      <w:r>
        <w:rPr>
          <w:sz w:val="18"/>
        </w:rPr>
        <w:t>оказанных услуг,</w:t>
      </w:r>
      <w:r>
        <w:rPr>
          <w:sz w:val="18"/>
        </w:rPr>
        <w:t xml:space="preserve"> подпис</w:t>
      </w:r>
      <w:r>
        <w:rPr>
          <w:sz w:val="18"/>
        </w:rPr>
        <w:t>анный уполномоченным представителем Заказчика.</w:t>
      </w:r>
    </w:p>
    <w:p w14:paraId="1C000000">
      <w:pPr>
        <w:pStyle w:val="Style_6"/>
        <w:ind w:firstLine="0" w:left="0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2</w:t>
      </w:r>
      <w:r>
        <w:rPr>
          <w:rFonts w:ascii="Times New Roman" w:hAnsi="Times New Roman"/>
          <w:sz w:val="18"/>
        </w:rPr>
        <w:t>.1</w:t>
      </w:r>
      <w:r>
        <w:rPr>
          <w:rFonts w:ascii="Times New Roman" w:hAnsi="Times New Roman"/>
          <w:sz w:val="18"/>
        </w:rPr>
        <w:t>0</w:t>
      </w:r>
      <w:r>
        <w:rPr>
          <w:rFonts w:ascii="Times New Roman" w:hAnsi="Times New Roman"/>
          <w:sz w:val="18"/>
        </w:rPr>
        <w:t xml:space="preserve">. </w:t>
      </w:r>
      <w:r>
        <w:rPr>
          <w:rFonts w:ascii="Times New Roman" w:hAnsi="Times New Roman"/>
          <w:sz w:val="18"/>
        </w:rPr>
        <w:t xml:space="preserve">Предоставить информацию для зачисления в группу слушателей: копию паспорта, копию диплома </w:t>
      </w:r>
      <w:r>
        <w:rPr>
          <w:rFonts w:ascii="Times New Roman" w:hAnsi="Times New Roman"/>
          <w:sz w:val="18"/>
        </w:rPr>
        <w:t xml:space="preserve">о наличии у слушателя(ей) </w:t>
      </w:r>
      <w:r>
        <w:rPr>
          <w:rFonts w:ascii="Times New Roman" w:hAnsi="Times New Roman"/>
          <w:sz w:val="18"/>
        </w:rPr>
        <w:t>среднего профессионального образования и (или) высшего</w:t>
      </w:r>
      <w:r>
        <w:rPr>
          <w:rFonts w:ascii="Times New Roman" w:hAnsi="Times New Roman"/>
          <w:sz w:val="18"/>
        </w:rPr>
        <w:t xml:space="preserve"> образования, копию свидетельства о </w:t>
      </w:r>
      <w:r>
        <w:rPr>
          <w:rFonts w:ascii="Times New Roman" w:hAnsi="Times New Roman"/>
          <w:sz w:val="18"/>
        </w:rPr>
        <w:t>смене фамилии/имени/отчества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>(</w:t>
      </w:r>
      <w:r>
        <w:rPr>
          <w:rFonts w:ascii="Times New Roman" w:hAnsi="Times New Roman"/>
          <w:sz w:val="18"/>
        </w:rPr>
        <w:t xml:space="preserve">в случае </w:t>
      </w:r>
      <w:r>
        <w:rPr>
          <w:rFonts w:ascii="Times New Roman" w:hAnsi="Times New Roman"/>
          <w:sz w:val="18"/>
        </w:rPr>
        <w:t>расхождения фамилии/имени/отчества в присланных документах)</w:t>
      </w:r>
      <w:r>
        <w:rPr>
          <w:rFonts w:ascii="Times New Roman" w:hAnsi="Times New Roman"/>
          <w:sz w:val="18"/>
        </w:rPr>
        <w:t xml:space="preserve">, </w:t>
      </w:r>
      <w:r>
        <w:rPr>
          <w:rFonts w:ascii="Times New Roman" w:hAnsi="Times New Roman"/>
          <w:sz w:val="18"/>
        </w:rPr>
        <w:t>скан-копии заполненных и подписанных Слушателем: регистрационной карточки слушателя, согласия</w:t>
      </w:r>
      <w:r>
        <w:rPr>
          <w:rFonts w:ascii="Times New Roman" w:hAnsi="Times New Roman"/>
          <w:sz w:val="18"/>
        </w:rPr>
        <w:t xml:space="preserve"> на обработку персональных данных</w:t>
      </w:r>
      <w:r>
        <w:rPr>
          <w:rFonts w:ascii="Times New Roman" w:hAnsi="Times New Roman"/>
          <w:sz w:val="18"/>
        </w:rPr>
        <w:t>, ведомости закрывающих документов</w:t>
      </w:r>
      <w:r>
        <w:rPr>
          <w:rFonts w:ascii="Times New Roman" w:hAnsi="Times New Roman"/>
          <w:sz w:val="18"/>
        </w:rPr>
        <w:t xml:space="preserve"> на электронную почту Исполнителя до начала обучения. Предоставленные таким способом документы являются действительными и имеют юридическую силу до получения оригинала в соответствии с п. 5.3 настоящего договора</w:t>
      </w:r>
      <w:r>
        <w:rPr>
          <w:rFonts w:ascii="Times New Roman" w:hAnsi="Times New Roman"/>
          <w:sz w:val="18"/>
        </w:rPr>
        <w:t>.</w:t>
      </w:r>
      <w:r>
        <w:rPr>
          <w:rFonts w:ascii="Times New Roman" w:hAnsi="Times New Roman"/>
          <w:sz w:val="18"/>
        </w:rPr>
        <w:t xml:space="preserve"> В случае не предоставления копи</w:t>
      </w:r>
      <w:r>
        <w:rPr>
          <w:rFonts w:ascii="Times New Roman" w:hAnsi="Times New Roman"/>
          <w:sz w:val="18"/>
        </w:rPr>
        <w:t>й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>указанных</w:t>
      </w:r>
      <w:r>
        <w:rPr>
          <w:rFonts w:ascii="Times New Roman" w:hAnsi="Times New Roman"/>
          <w:sz w:val="18"/>
        </w:rPr>
        <w:t xml:space="preserve"> документов по завершению курса</w:t>
      </w:r>
      <w:r>
        <w:rPr>
          <w:rFonts w:ascii="Times New Roman" w:hAnsi="Times New Roman"/>
          <w:sz w:val="18"/>
        </w:rPr>
        <w:t xml:space="preserve"> выдается справка об обучении.</w:t>
      </w:r>
    </w:p>
    <w:p w14:paraId="1D000000">
      <w:pPr>
        <w:ind/>
        <w:jc w:val="both"/>
        <w:rPr>
          <w:b w:val="1"/>
          <w:sz w:val="18"/>
        </w:rPr>
      </w:pPr>
    </w:p>
    <w:p w14:paraId="1E000000">
      <w:pPr>
        <w:ind w:firstLine="3" w:left="0"/>
        <w:jc w:val="center"/>
        <w:rPr>
          <w:b w:val="1"/>
          <w:sz w:val="18"/>
        </w:rPr>
      </w:pPr>
      <w:r>
        <w:rPr>
          <w:b w:val="1"/>
          <w:sz w:val="18"/>
        </w:rPr>
        <w:t>3. Стоимость услуг и порядок расчётов</w:t>
      </w:r>
    </w:p>
    <w:p w14:paraId="1F000000">
      <w:pPr>
        <w:tabs>
          <w:tab w:leader="none" w:pos="900" w:val="left"/>
        </w:tabs>
        <w:ind/>
        <w:jc w:val="both"/>
        <w:rPr>
          <w:sz w:val="18"/>
        </w:rPr>
      </w:pPr>
      <w:r>
        <w:rPr>
          <w:sz w:val="18"/>
        </w:rPr>
        <w:t xml:space="preserve">3.1. Стоимость </w:t>
      </w:r>
      <w:r>
        <w:rPr>
          <w:sz w:val="18"/>
        </w:rPr>
        <w:t>обучения</w:t>
      </w:r>
      <w:r>
        <w:rPr>
          <w:sz w:val="18"/>
        </w:rPr>
        <w:t xml:space="preserve"> </w:t>
      </w:r>
      <w:r>
        <w:rPr>
          <w:sz w:val="18"/>
        </w:rPr>
        <w:t xml:space="preserve">по программе </w:t>
      </w:r>
      <w:r>
        <w:rPr>
          <w:sz w:val="18"/>
        </w:rPr>
        <w:t xml:space="preserve">повышения квалификации </w:t>
      </w:r>
      <w:r>
        <w:rPr>
          <w:sz w:val="18"/>
        </w:rPr>
        <w:t>составляет</w:t>
      </w:r>
      <w:r>
        <w:rPr>
          <w:sz w:val="18"/>
        </w:rPr>
        <w:t xml:space="preserve"> </w:t>
      </w:r>
      <w:r>
        <w:rPr>
          <w:sz w:val="18"/>
          <w:highlight w:val="yellow"/>
        </w:rPr>
        <w:t>_______</w:t>
      </w:r>
      <w:r>
        <w:rPr>
          <w:sz w:val="18"/>
          <w:highlight w:val="yellow"/>
        </w:rPr>
        <w:t xml:space="preserve"> </w:t>
      </w:r>
      <w:r>
        <w:rPr>
          <w:sz w:val="18"/>
          <w:highlight w:val="yellow"/>
        </w:rPr>
        <w:t>(</w:t>
      </w:r>
      <w:r>
        <w:rPr>
          <w:sz w:val="18"/>
          <w:highlight w:val="yellow"/>
        </w:rPr>
        <w:t>________________</w:t>
      </w:r>
      <w:r>
        <w:rPr>
          <w:sz w:val="18"/>
          <w:highlight w:val="yellow"/>
        </w:rPr>
        <w:t>)</w:t>
      </w:r>
      <w:r>
        <w:rPr>
          <w:sz w:val="18"/>
        </w:rPr>
        <w:t xml:space="preserve"> </w:t>
      </w:r>
      <w:r>
        <w:rPr>
          <w:sz w:val="18"/>
        </w:rPr>
        <w:t>рублей 00 копеек.</w:t>
      </w:r>
      <w:r>
        <w:rPr>
          <w:sz w:val="18"/>
        </w:rPr>
        <w:t xml:space="preserve"> НДС _%/ не облагаются </w:t>
      </w:r>
      <w:r>
        <w:rPr>
          <w:sz w:val="18"/>
        </w:rPr>
        <w:t>на основании ст.346.13 гл. 26.2 НК РФ.</w:t>
      </w:r>
    </w:p>
    <w:p w14:paraId="20000000">
      <w:pPr>
        <w:tabs>
          <w:tab w:leader="none" w:pos="900" w:val="left"/>
        </w:tabs>
        <w:ind/>
        <w:jc w:val="both"/>
        <w:rPr>
          <w:color w:val="FF0000"/>
          <w:sz w:val="18"/>
        </w:rPr>
      </w:pPr>
      <w:r>
        <w:rPr>
          <w:sz w:val="18"/>
        </w:rPr>
        <w:t>3.2</w:t>
      </w:r>
      <w:r>
        <w:rPr>
          <w:sz w:val="18"/>
        </w:rPr>
        <w:t xml:space="preserve">. </w:t>
      </w:r>
      <w:r>
        <w:rPr>
          <w:color w:val="FF0000"/>
          <w:sz w:val="18"/>
        </w:rPr>
        <w:t>Оплата производится по реквизитам Исполнителя на условиях 100%-ной предоплаты не позднее 3 (трех) рабочих дней с даты подписания настоящего договора, на основании выставленного счета.</w:t>
      </w:r>
    </w:p>
    <w:p w14:paraId="21000000">
      <w:pPr>
        <w:pStyle w:val="Style_7"/>
        <w:ind/>
        <w:jc w:val="both"/>
        <w:outlineLvl w:val="0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3.</w:t>
      </w:r>
      <w:r>
        <w:rPr>
          <w:rFonts w:ascii="Times New Roman" w:hAnsi="Times New Roman"/>
          <w:color w:val="000000"/>
          <w:sz w:val="18"/>
        </w:rPr>
        <w:t>3. При</w:t>
      </w:r>
      <w:r>
        <w:rPr>
          <w:rFonts w:ascii="Times New Roman" w:hAnsi="Times New Roman"/>
          <w:color w:val="000000"/>
          <w:sz w:val="18"/>
        </w:rPr>
        <w:t xml:space="preserve"> невозможности произведения оплаты образовательных услуг по настоящему Договору в срок, установленный п.3.2. Договора, </w:t>
      </w:r>
      <w:r>
        <w:rPr>
          <w:rFonts w:ascii="Times New Roman" w:hAnsi="Times New Roman"/>
          <w:color w:val="000000"/>
          <w:sz w:val="18"/>
        </w:rPr>
        <w:t>Заказчик</w:t>
      </w:r>
      <w:r>
        <w:rPr>
          <w:rFonts w:ascii="Times New Roman" w:hAnsi="Times New Roman"/>
          <w:color w:val="000000"/>
          <w:sz w:val="18"/>
        </w:rPr>
        <w:t xml:space="preserve"> обязуется предоставить гарантийное</w:t>
      </w:r>
      <w:r>
        <w:rPr>
          <w:rFonts w:ascii="Times New Roman" w:hAnsi="Times New Roman"/>
          <w:color w:val="000000"/>
          <w:sz w:val="18"/>
        </w:rPr>
        <w:t xml:space="preserve"> письмо на осуществление оплаты. Срок оплаты должен быть согласован с Исполнителем</w:t>
      </w:r>
      <w:r>
        <w:rPr>
          <w:rFonts w:ascii="Times New Roman" w:hAnsi="Times New Roman"/>
          <w:color w:val="000000"/>
          <w:sz w:val="18"/>
        </w:rPr>
        <w:t>. Без указания срока оплаты гарантийное письмо юридической силы для Сторон не имеет.</w:t>
      </w:r>
    </w:p>
    <w:p w14:paraId="22000000">
      <w:pPr>
        <w:tabs>
          <w:tab w:leader="none" w:pos="540" w:val="left"/>
        </w:tabs>
        <w:ind/>
        <w:jc w:val="both"/>
        <w:rPr>
          <w:b w:val="1"/>
          <w:sz w:val="18"/>
        </w:rPr>
      </w:pPr>
    </w:p>
    <w:p w14:paraId="23000000">
      <w:pPr>
        <w:tabs>
          <w:tab w:leader="none" w:pos="540" w:val="left"/>
          <w:tab w:leader="none" w:pos="3240" w:val="left"/>
          <w:tab w:leader="none" w:pos="3420" w:val="left"/>
        </w:tabs>
        <w:ind/>
        <w:jc w:val="center"/>
        <w:rPr>
          <w:b w:val="1"/>
          <w:sz w:val="18"/>
        </w:rPr>
      </w:pPr>
      <w:r>
        <w:rPr>
          <w:b w:val="1"/>
          <w:sz w:val="18"/>
        </w:rPr>
        <w:t xml:space="preserve">4. </w:t>
      </w:r>
      <w:r>
        <w:rPr>
          <w:b w:val="1"/>
          <w:sz w:val="18"/>
        </w:rPr>
        <w:t xml:space="preserve">Права сторон. </w:t>
      </w:r>
      <w:r>
        <w:rPr>
          <w:b w:val="1"/>
          <w:sz w:val="18"/>
        </w:rPr>
        <w:t>Ответственность сторон</w:t>
      </w:r>
    </w:p>
    <w:p w14:paraId="24000000">
      <w:pPr>
        <w:pStyle w:val="Style_5"/>
        <w:ind w:firstLine="0" w:left="0"/>
        <w:rPr>
          <w:sz w:val="18"/>
        </w:rPr>
      </w:pPr>
      <w:r>
        <w:rPr>
          <w:sz w:val="18"/>
        </w:rPr>
        <w:t>4.1. Исполнитель, в случае невыполнения своих обязанн</w:t>
      </w:r>
      <w:r>
        <w:rPr>
          <w:sz w:val="18"/>
        </w:rPr>
        <w:t xml:space="preserve">остей, указанных в </w:t>
      </w:r>
      <w:r>
        <w:rPr>
          <w:sz w:val="18"/>
        </w:rPr>
        <w:t>п.п</w:t>
      </w:r>
      <w:r>
        <w:rPr>
          <w:sz w:val="18"/>
        </w:rPr>
        <w:t>. 2.</w:t>
      </w:r>
      <w:r>
        <w:rPr>
          <w:sz w:val="18"/>
        </w:rPr>
        <w:t>1.-</w:t>
      </w:r>
      <w:r>
        <w:rPr>
          <w:sz w:val="18"/>
        </w:rPr>
        <w:t>2.3</w:t>
      </w:r>
      <w:r>
        <w:rPr>
          <w:sz w:val="18"/>
        </w:rPr>
        <w:t xml:space="preserve">. настоящего Договора, возвращает Заказчику денежные средства в рублях в объёме стоимости </w:t>
      </w:r>
      <w:r>
        <w:rPr>
          <w:sz w:val="18"/>
        </w:rPr>
        <w:t>неоказанных</w:t>
      </w:r>
      <w:r>
        <w:rPr>
          <w:sz w:val="18"/>
        </w:rPr>
        <w:t xml:space="preserve"> услуг в течение пяти банковских дней после письменного запроса Заказчика.</w:t>
      </w:r>
    </w:p>
    <w:p w14:paraId="25000000">
      <w:pPr>
        <w:pStyle w:val="Style_5"/>
        <w:ind w:firstLine="0" w:left="0"/>
        <w:rPr>
          <w:sz w:val="18"/>
        </w:rPr>
      </w:pPr>
      <w:r>
        <w:rPr>
          <w:sz w:val="18"/>
        </w:rPr>
        <w:t>4.2. Исполнитель вправе в рамках общей стоимости Договора заключать Договоры с третьими сторонами в целях выполнения настоящего Договора.</w:t>
      </w:r>
    </w:p>
    <w:p w14:paraId="26000000">
      <w:pPr>
        <w:pStyle w:val="Style_7"/>
        <w:ind/>
        <w:jc w:val="both"/>
        <w:outlineLvl w:val="0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4.3.</w:t>
      </w:r>
      <w:r>
        <w:rPr>
          <w:rFonts w:ascii="Times New Roman" w:hAnsi="Times New Roman"/>
          <w:color w:val="000000"/>
          <w:sz w:val="18"/>
        </w:rPr>
        <w:t xml:space="preserve"> При отказе </w:t>
      </w:r>
      <w:r>
        <w:rPr>
          <w:rFonts w:ascii="Times New Roman" w:hAnsi="Times New Roman"/>
          <w:color w:val="000000"/>
          <w:sz w:val="18"/>
        </w:rPr>
        <w:t>Заказчика</w:t>
      </w:r>
      <w:r>
        <w:rPr>
          <w:rFonts w:ascii="Times New Roman" w:hAnsi="Times New Roman"/>
          <w:color w:val="000000"/>
          <w:sz w:val="18"/>
        </w:rPr>
        <w:t xml:space="preserve"> </w:t>
      </w:r>
      <w:r>
        <w:rPr>
          <w:rFonts w:ascii="Times New Roman" w:hAnsi="Times New Roman"/>
          <w:color w:val="000000"/>
          <w:sz w:val="18"/>
        </w:rPr>
        <w:t>от услуг Исполнителя менее, чем за 5 (пять) рабочих дней до даты начала оказания услуг оплата услуг Исполнителя происходит в 50% объеме,</w:t>
      </w:r>
      <w:r>
        <w:rPr>
          <w:rFonts w:ascii="Times New Roman" w:hAnsi="Times New Roman"/>
          <w:sz w:val="18"/>
        </w:rPr>
        <w:t xml:space="preserve"> от общей стоимости договора</w:t>
      </w:r>
    </w:p>
    <w:p w14:paraId="27000000">
      <w:pPr>
        <w:pStyle w:val="Style_8"/>
        <w:ind w:firstLine="0" w:left="0"/>
        <w:rPr>
          <w:sz w:val="18"/>
        </w:rPr>
      </w:pPr>
      <w:r>
        <w:rPr>
          <w:sz w:val="18"/>
        </w:rPr>
        <w:t xml:space="preserve">4.4. При переносе сроков обучения по </w:t>
      </w:r>
      <w:r>
        <w:rPr>
          <w:sz w:val="18"/>
        </w:rPr>
        <w:t>непредвиденным</w:t>
      </w:r>
      <w:r>
        <w:rPr>
          <w:sz w:val="18"/>
        </w:rPr>
        <w:t xml:space="preserve"> обстоятельствам Исполнитель ответственности не несёт.</w:t>
      </w:r>
    </w:p>
    <w:p w14:paraId="28000000">
      <w:pPr>
        <w:pStyle w:val="Style_8"/>
        <w:ind w:firstLine="0" w:left="0"/>
        <w:rPr>
          <w:sz w:val="18"/>
        </w:rPr>
      </w:pPr>
      <w:r>
        <w:rPr>
          <w:sz w:val="18"/>
        </w:rPr>
        <w:t>4.5.</w:t>
      </w:r>
      <w:r>
        <w:rPr>
          <w:sz w:val="18"/>
        </w:rPr>
        <w:t xml:space="preserve"> </w:t>
      </w:r>
      <w:r>
        <w:rPr>
          <w:sz w:val="18"/>
        </w:rPr>
        <w:t xml:space="preserve">В случае неполучения Исполнителем возражений (в письменной форме на бланке организации за подписью руководителя) по акту оказанных услуг в течение </w:t>
      </w:r>
      <w:r>
        <w:rPr>
          <w:sz w:val="18"/>
        </w:rPr>
        <w:t>5</w:t>
      </w:r>
      <w:r>
        <w:rPr>
          <w:sz w:val="18"/>
        </w:rPr>
        <w:t>-</w:t>
      </w:r>
      <w:r>
        <w:rPr>
          <w:sz w:val="18"/>
        </w:rPr>
        <w:t>ти</w:t>
      </w:r>
      <w:r>
        <w:rPr>
          <w:sz w:val="18"/>
        </w:rPr>
        <w:t xml:space="preserve"> рабочих дней с даты окончания оказания образовательных услуг, услуги считаются оказанными.</w:t>
      </w:r>
    </w:p>
    <w:p w14:paraId="29000000">
      <w:pPr>
        <w:pStyle w:val="Style_8"/>
        <w:tabs>
          <w:tab w:leader="none" w:pos="900" w:val="left"/>
        </w:tabs>
        <w:ind w:firstLine="0" w:left="0"/>
        <w:rPr>
          <w:sz w:val="18"/>
        </w:rPr>
      </w:pPr>
      <w:r>
        <w:rPr>
          <w:sz w:val="18"/>
        </w:rPr>
        <w:t>4.6. В случае нарушения Заказчиком сроков оплаты Договора сумма, указанная в п.3.2. настоящего Договора, подлежит корректировке. В данном случае Исполнитель выставляет Заказчику дополнительный счёт. Исполнитель вправе потребовать от Заказчика уплаты неустойки в размере 1% от стоимости услуг за каждый день просрочки</w:t>
      </w:r>
      <w:r>
        <w:rPr>
          <w:sz w:val="18"/>
        </w:rPr>
        <w:t xml:space="preserve"> оплаты Договора</w:t>
      </w:r>
      <w:r>
        <w:rPr>
          <w:sz w:val="18"/>
        </w:rPr>
        <w:t>.</w:t>
      </w:r>
    </w:p>
    <w:p w14:paraId="2A000000">
      <w:pPr>
        <w:pStyle w:val="Style_8"/>
        <w:tabs>
          <w:tab w:leader="none" w:pos="900" w:val="left"/>
        </w:tabs>
        <w:ind w:firstLine="0" w:left="0"/>
        <w:rPr>
          <w:sz w:val="18"/>
        </w:rPr>
      </w:pPr>
      <w:bookmarkStart w:id="2" w:name="_Hlk510781960"/>
      <w:r>
        <w:rPr>
          <w:sz w:val="18"/>
        </w:rPr>
        <w:t xml:space="preserve">4.7. </w:t>
      </w:r>
      <w:bookmarkStart w:id="3" w:name="_Hlk527377023"/>
      <w:r>
        <w:rPr>
          <w:sz w:val="18"/>
        </w:rPr>
        <w:t>Исполнитель оставляет за собой право внесения изменений</w:t>
      </w:r>
      <w:r>
        <w:rPr>
          <w:sz w:val="18"/>
        </w:rPr>
        <w:t xml:space="preserve"> в </w:t>
      </w:r>
      <w:r>
        <w:rPr>
          <w:sz w:val="18"/>
        </w:rPr>
        <w:t>программу</w:t>
      </w:r>
      <w:r>
        <w:rPr>
          <w:sz w:val="18"/>
        </w:rPr>
        <w:t xml:space="preserve"> повышения квалификации</w:t>
      </w:r>
      <w:r>
        <w:rPr>
          <w:sz w:val="18"/>
        </w:rPr>
        <w:t>, корректировки состава преподавателей</w:t>
      </w:r>
      <w:r>
        <w:rPr>
          <w:sz w:val="18"/>
        </w:rPr>
        <w:t>,</w:t>
      </w:r>
      <w:r>
        <w:rPr>
          <w:sz w:val="18"/>
        </w:rPr>
        <w:t xml:space="preserve"> в соответствии с изменениями текущего законодательства</w:t>
      </w:r>
      <w:r>
        <w:rPr>
          <w:sz w:val="18"/>
        </w:rPr>
        <w:t>, менять сроки проведения обучения.</w:t>
      </w:r>
      <w:bookmarkEnd w:id="3"/>
    </w:p>
    <w:p w14:paraId="2B000000">
      <w:pPr>
        <w:pStyle w:val="Style_8"/>
        <w:tabs>
          <w:tab w:leader="none" w:pos="900" w:val="left"/>
        </w:tabs>
        <w:ind w:firstLine="0" w:left="0"/>
        <w:rPr>
          <w:color w:val="000000"/>
          <w:sz w:val="18"/>
        </w:rPr>
      </w:pPr>
      <w:r>
        <w:rPr>
          <w:sz w:val="18"/>
        </w:rPr>
        <w:t>4.</w:t>
      </w:r>
      <w:r>
        <w:rPr>
          <w:sz w:val="18"/>
        </w:rPr>
        <w:t>8. При</w:t>
      </w:r>
      <w:r>
        <w:rPr>
          <w:color w:val="000000"/>
          <w:sz w:val="18"/>
        </w:rPr>
        <w:t xml:space="preserve"> отмене занятий по вине Исполнителя происходит согласованный с </w:t>
      </w:r>
      <w:r>
        <w:rPr>
          <w:color w:val="000000"/>
          <w:sz w:val="18"/>
        </w:rPr>
        <w:t>Заказчиком</w:t>
      </w:r>
      <w:r>
        <w:rPr>
          <w:color w:val="000000"/>
          <w:sz w:val="18"/>
        </w:rPr>
        <w:t xml:space="preserve"> перенос занятий на другое время и/или в другой день, о чем Слушатель своевременно информируется.</w:t>
      </w:r>
    </w:p>
    <w:p w14:paraId="2C000000">
      <w:pPr>
        <w:pStyle w:val="Style_7"/>
        <w:numPr>
          <w:ilvl w:val="1"/>
          <w:numId w:val="3"/>
        </w:numPr>
        <w:ind/>
        <w:jc w:val="both"/>
        <w:outlineLvl w:val="0"/>
        <w:rPr>
          <w:rFonts w:ascii="Times New Roman" w:hAnsi="Times New Roman"/>
          <w:b w:val="1"/>
          <w:sz w:val="18"/>
        </w:rPr>
      </w:pPr>
      <w:r>
        <w:rPr>
          <w:rFonts w:ascii="Times New Roman" w:hAnsi="Times New Roman"/>
          <w:color w:val="000000"/>
          <w:sz w:val="18"/>
        </w:rPr>
        <w:t xml:space="preserve">Оплата за пропущенные </w:t>
      </w:r>
      <w:r>
        <w:rPr>
          <w:rFonts w:ascii="Times New Roman" w:hAnsi="Times New Roman"/>
          <w:color w:val="000000"/>
          <w:sz w:val="18"/>
        </w:rPr>
        <w:t>Заказчиком</w:t>
      </w:r>
      <w:r>
        <w:rPr>
          <w:rFonts w:ascii="Times New Roman" w:hAnsi="Times New Roman"/>
          <w:color w:val="000000"/>
          <w:sz w:val="18"/>
        </w:rPr>
        <w:t xml:space="preserve"> заняти</w:t>
      </w:r>
      <w:r>
        <w:rPr>
          <w:rFonts w:ascii="Times New Roman" w:hAnsi="Times New Roman"/>
          <w:color w:val="000000"/>
          <w:sz w:val="18"/>
        </w:rPr>
        <w:t>е(я)</w:t>
      </w:r>
      <w:r>
        <w:rPr>
          <w:rFonts w:ascii="Times New Roman" w:hAnsi="Times New Roman"/>
          <w:color w:val="000000"/>
          <w:sz w:val="18"/>
        </w:rPr>
        <w:t xml:space="preserve"> не возвращается. </w:t>
      </w:r>
      <w:bookmarkEnd w:id="2"/>
    </w:p>
    <w:p w14:paraId="2D000000">
      <w:pPr>
        <w:pStyle w:val="Style_7"/>
        <w:numPr>
          <w:ilvl w:val="1"/>
          <w:numId w:val="3"/>
        </w:numPr>
        <w:ind w:firstLine="0" w:left="0"/>
        <w:jc w:val="both"/>
        <w:outlineLvl w:val="0"/>
        <w:rPr>
          <w:rFonts w:ascii="Times New Roman" w:hAnsi="Times New Roman"/>
          <w:b w:val="1"/>
          <w:sz w:val="18"/>
        </w:rPr>
      </w:pPr>
      <w:r>
        <w:rPr>
          <w:rFonts w:ascii="Times New Roman" w:hAnsi="Times New Roman"/>
          <w:sz w:val="18"/>
        </w:rPr>
        <w:t xml:space="preserve">Ни одна из Сторон настоящего Договора не несет ответственности перед другой Стороной за невыполнение обязательств, обусловленное обстоятельствами, возникшими помимо воли и желания Сторон и которые нельзя предвидеть или избежать, </w:t>
      </w:r>
      <w:r>
        <w:rPr>
          <w:rFonts w:ascii="Times New Roman" w:hAnsi="Times New Roman"/>
          <w:sz w:val="18"/>
        </w:rPr>
        <w:t>включая, в частности, объявленную или фактическую войну, террористический акт, гражданские волнения, эпидемии, блокаду, землетрясения, наводнения, пожары и другие стихийные бедствия, аварии, акты органов государственной власти (включая объявление органами государственной власти нерабочих дней в связи с пандемией) и иные обстоятельства непреодолимой силы, если эти обстоятельства препятствуют или в значительной степени затрудняют исполнение обязательств по настоящему Договору.</w:t>
      </w:r>
    </w:p>
    <w:p w14:paraId="2E000000">
      <w:pPr>
        <w:pStyle w:val="Style_4"/>
        <w:numPr>
          <w:ilvl w:val="1"/>
          <w:numId w:val="3"/>
        </w:numPr>
        <w:ind w:firstLine="0" w:left="0"/>
        <w:jc w:val="both"/>
        <w:rPr>
          <w:sz w:val="18"/>
        </w:rPr>
      </w:pPr>
      <w:r>
        <w:rPr>
          <w:sz w:val="18"/>
        </w:rPr>
        <w:t>Раздаточные материалы, справочно-информационная литература, выдаваемая представителям Заказчика, является предметом интеллектуальной собственности Исполнителя и привлекаемых для оказания услуги преподавателей, и не подлежит коммерческому использованию, передаче третьим лицам, а также размещению в открытых источниках информации, в том числе сети «Интернет», без письменного согласия Исполнителя.</w:t>
      </w:r>
    </w:p>
    <w:p w14:paraId="2F000000">
      <w:pPr>
        <w:pStyle w:val="Style_4"/>
        <w:numPr>
          <w:ilvl w:val="1"/>
          <w:numId w:val="3"/>
        </w:numPr>
        <w:ind/>
        <w:jc w:val="both"/>
        <w:rPr>
          <w:sz w:val="18"/>
        </w:rPr>
      </w:pPr>
      <w:r>
        <w:rPr>
          <w:sz w:val="18"/>
        </w:rPr>
        <w:t xml:space="preserve">        </w:t>
      </w:r>
      <w:r>
        <w:rPr>
          <w:sz w:val="18"/>
        </w:rPr>
        <w:t>Осуществление аудио и видеозаписи на обучении запрещено.</w:t>
      </w:r>
    </w:p>
    <w:p w14:paraId="30000000">
      <w:pPr>
        <w:ind/>
        <w:jc w:val="center"/>
        <w:rPr>
          <w:b w:val="1"/>
          <w:sz w:val="18"/>
        </w:rPr>
      </w:pPr>
    </w:p>
    <w:p w14:paraId="31000000">
      <w:pPr>
        <w:ind/>
        <w:jc w:val="center"/>
        <w:rPr>
          <w:b w:val="1"/>
          <w:sz w:val="18"/>
        </w:rPr>
      </w:pPr>
      <w:r>
        <w:rPr>
          <w:b w:val="1"/>
          <w:sz w:val="18"/>
        </w:rPr>
        <w:t>5</w:t>
      </w:r>
      <w:r>
        <w:rPr>
          <w:b w:val="1"/>
          <w:sz w:val="18"/>
        </w:rPr>
        <w:t>. Порядок разрешения споров и срок действия Договора</w:t>
      </w:r>
      <w:r>
        <w:rPr>
          <w:b w:val="1"/>
          <w:sz w:val="18"/>
        </w:rPr>
        <w:t>. Иные условия</w:t>
      </w:r>
    </w:p>
    <w:p w14:paraId="32000000">
      <w:pPr>
        <w:ind/>
        <w:jc w:val="center"/>
        <w:rPr>
          <w:b w:val="1"/>
          <w:sz w:val="18"/>
        </w:rPr>
      </w:pPr>
    </w:p>
    <w:p w14:paraId="33000000">
      <w:pPr>
        <w:pStyle w:val="Style_5"/>
        <w:ind w:firstLine="0" w:left="0"/>
        <w:rPr>
          <w:sz w:val="18"/>
        </w:rPr>
      </w:pPr>
      <w:r>
        <w:rPr>
          <w:sz w:val="18"/>
        </w:rPr>
        <w:t>5</w:t>
      </w:r>
      <w:r>
        <w:rPr>
          <w:sz w:val="18"/>
        </w:rPr>
        <w:t>.1. Все разногласия по данному Договору разрешаются путём переговоров. В случае невозможности прийти к соглашению, споры сторон подлежат рассмотрению согласно законодательству РФ.</w:t>
      </w:r>
    </w:p>
    <w:p w14:paraId="34000000">
      <w:pPr>
        <w:pStyle w:val="Style_5"/>
        <w:tabs>
          <w:tab w:leader="none" w:pos="540" w:val="left"/>
        </w:tabs>
        <w:ind w:firstLine="0" w:left="0"/>
        <w:rPr>
          <w:sz w:val="18"/>
        </w:rPr>
      </w:pPr>
      <w:r>
        <w:rPr>
          <w:sz w:val="18"/>
        </w:rPr>
        <w:t>5</w:t>
      </w:r>
      <w:r>
        <w:rPr>
          <w:sz w:val="18"/>
        </w:rPr>
        <w:t>.2. Договор вступает в силу с момента подписания и действует до полного выполнения сторонами своих обязанностей.</w:t>
      </w:r>
    </w:p>
    <w:p w14:paraId="35000000">
      <w:pPr>
        <w:pStyle w:val="Style_4"/>
        <w:ind w:firstLine="0" w:left="0"/>
        <w:jc w:val="both"/>
        <w:rPr>
          <w:sz w:val="18"/>
        </w:rPr>
      </w:pPr>
      <w:r>
        <w:rPr>
          <w:sz w:val="18"/>
        </w:rPr>
        <w:t xml:space="preserve">5.3. </w:t>
      </w:r>
      <w:r>
        <w:rPr>
          <w:sz w:val="18"/>
        </w:rPr>
        <w:t>Допускается обмен документами по настоящему Договору, включая подписанные экземпляры настоящего Договора, с использованием факсимильной, электронной связи, в том числе с использованием информационно-телекоммуникационной сети «Интернет», с обязательным вручением под роспись оригиналов документов представителю Стороны-адресата.</w:t>
      </w:r>
      <w:r>
        <w:rPr>
          <w:sz w:val="18"/>
        </w:rPr>
        <w:t xml:space="preserve"> </w:t>
      </w:r>
      <w:r>
        <w:rPr>
          <w:sz w:val="18"/>
        </w:rPr>
        <w:t>Документы, полученные с использованием факсимильной, электронной связи, до получения Стороной-адресатом их оригиналов имеют юридическую силу.</w:t>
      </w:r>
    </w:p>
    <w:p w14:paraId="36000000">
      <w:pPr>
        <w:ind/>
        <w:jc w:val="both"/>
        <w:outlineLvl w:val="0"/>
        <w:rPr>
          <w:sz w:val="18"/>
        </w:rPr>
      </w:pPr>
      <w:r>
        <w:rPr>
          <w:sz w:val="18"/>
        </w:rPr>
        <w:t>5.</w:t>
      </w:r>
      <w:r>
        <w:rPr>
          <w:sz w:val="18"/>
        </w:rPr>
        <w:t>4</w:t>
      </w:r>
      <w:r>
        <w:rPr>
          <w:sz w:val="18"/>
        </w:rPr>
        <w:t>. Стороны ознакомлены и соблюдают условия Федерального закона от 27 июля 2006 г. № 152-ФЗ «О персональных данных». Слушатель дает согласие на использование, обработку и хранение своих персональных данных в целях соблюдения норм данного федерального закона Исполнителем.</w:t>
      </w:r>
    </w:p>
    <w:p w14:paraId="37000000">
      <w:pPr>
        <w:ind/>
        <w:jc w:val="both"/>
        <w:outlineLvl w:val="0"/>
        <w:rPr>
          <w:sz w:val="18"/>
        </w:rPr>
      </w:pPr>
      <w:r>
        <w:rPr>
          <w:sz w:val="18"/>
        </w:rPr>
        <w:t>5.</w:t>
      </w:r>
      <w:r>
        <w:rPr>
          <w:sz w:val="18"/>
        </w:rPr>
        <w:t>5</w:t>
      </w:r>
      <w:r>
        <w:rPr>
          <w:sz w:val="18"/>
        </w:rPr>
        <w:t>. Положения, не урегулированные настоящим Договором, регулируются положениями действующего законодательства Российской Федерации.</w:t>
      </w:r>
    </w:p>
    <w:p w14:paraId="38000000">
      <w:pPr>
        <w:pStyle w:val="Style_4"/>
        <w:ind w:firstLine="0" w:left="0"/>
        <w:jc w:val="both"/>
        <w:rPr>
          <w:sz w:val="18"/>
        </w:rPr>
      </w:pPr>
      <w:r>
        <w:rPr>
          <w:sz w:val="18"/>
        </w:rPr>
        <w:t xml:space="preserve">5.6. </w:t>
      </w:r>
      <w:r>
        <w:rPr>
          <w:sz w:val="18"/>
        </w:rPr>
        <w:t>Настоящий Договор в соответствии с п. 2 ст. 160 Гражданского Кодекса РФ может быть заключен с помощью средств факсимильного воспроизведения подписи.</w:t>
      </w:r>
    </w:p>
    <w:p w14:paraId="39000000">
      <w:pPr>
        <w:pStyle w:val="Style_9"/>
        <w:ind/>
        <w:jc w:val="both"/>
        <w:outlineLvl w:val="0"/>
        <w:rPr>
          <w:sz w:val="18"/>
        </w:rPr>
      </w:pPr>
    </w:p>
    <w:p w14:paraId="3A000000">
      <w:pPr>
        <w:pStyle w:val="Style_9"/>
        <w:ind/>
        <w:jc w:val="both"/>
        <w:outlineLvl w:val="0"/>
        <w:rPr>
          <w:sz w:val="18"/>
        </w:rPr>
      </w:pPr>
      <w:r>
        <w:rPr>
          <w:rStyle w:val="Style_4_ch"/>
          <w:sz w:val="18"/>
        </w:rPr>
        <w:t>ПРИЛОЖЕНИЕ:</w:t>
      </w:r>
    </w:p>
    <w:p w14:paraId="3B000000">
      <w:pPr>
        <w:pStyle w:val="Style_9"/>
        <w:ind/>
        <w:jc w:val="both"/>
        <w:outlineLvl w:val="0"/>
        <w:rPr>
          <w:sz w:val="18"/>
        </w:rPr>
      </w:pPr>
      <w:r>
        <w:rPr>
          <w:rStyle w:val="Style_4_ch"/>
          <w:sz w:val="18"/>
        </w:rPr>
        <w:t>Приложение № 1 – Описание объекта закупки</w:t>
      </w:r>
      <w:r>
        <w:rPr>
          <w:rStyle w:val="Style_4_ch"/>
          <w:sz w:val="18"/>
        </w:rPr>
        <w:t>;</w:t>
      </w:r>
    </w:p>
    <w:p w14:paraId="3C000000">
      <w:pPr>
        <w:pStyle w:val="Style_9"/>
        <w:ind/>
        <w:jc w:val="both"/>
        <w:outlineLvl w:val="0"/>
        <w:rPr>
          <w:sz w:val="18"/>
        </w:rPr>
      </w:pPr>
      <w:r>
        <w:rPr>
          <w:rStyle w:val="Style_4_ch"/>
          <w:sz w:val="18"/>
        </w:rPr>
        <w:t>Приложение № 2 – Спецификация.</w:t>
      </w:r>
    </w:p>
    <w:p w14:paraId="3D000000">
      <w:pPr>
        <w:ind/>
        <w:jc w:val="both"/>
        <w:outlineLvl w:val="0"/>
        <w:rPr>
          <w:sz w:val="18"/>
        </w:rPr>
      </w:pPr>
    </w:p>
    <w:p w14:paraId="3E000000">
      <w:pPr>
        <w:pStyle w:val="Style_5"/>
        <w:tabs>
          <w:tab w:leader="none" w:pos="540" w:val="left"/>
          <w:tab w:leader="none" w:pos="900" w:val="left"/>
        </w:tabs>
        <w:ind/>
        <w:rPr>
          <w:sz w:val="18"/>
        </w:rPr>
      </w:pPr>
    </w:p>
    <w:p w14:paraId="3F000000">
      <w:pPr>
        <w:pStyle w:val="Style_5"/>
        <w:tabs>
          <w:tab w:leader="none" w:pos="540" w:val="left"/>
          <w:tab w:leader="none" w:pos="900" w:val="left"/>
        </w:tabs>
        <w:ind/>
        <w:rPr>
          <w:sz w:val="18"/>
        </w:rPr>
      </w:pPr>
    </w:p>
    <w:p w14:paraId="40000000">
      <w:pPr>
        <w:pStyle w:val="Style_4"/>
        <w:numPr>
          <w:ilvl w:val="0"/>
          <w:numId w:val="4"/>
        </w:numPr>
        <w:ind/>
        <w:jc w:val="center"/>
        <w:rPr>
          <w:b w:val="1"/>
          <w:sz w:val="18"/>
        </w:rPr>
      </w:pPr>
      <w:r>
        <w:rPr>
          <w:b w:val="1"/>
          <w:sz w:val="18"/>
        </w:rPr>
        <w:t>Адреса и банковские реквизиты</w:t>
      </w:r>
      <w:r>
        <w:rPr>
          <w:b w:val="1"/>
          <w:sz w:val="18"/>
        </w:rPr>
        <w:t>, подписи</w:t>
      </w:r>
      <w:r>
        <w:rPr>
          <w:b w:val="1"/>
          <w:sz w:val="18"/>
        </w:rPr>
        <w:t xml:space="preserve"> сторон</w:t>
      </w:r>
    </w:p>
    <w:p w14:paraId="41000000">
      <w:pPr>
        <w:pStyle w:val="Style_4"/>
        <w:ind/>
        <w:jc w:val="center"/>
        <w:rPr>
          <w:b w:val="1"/>
          <w:sz w:val="18"/>
        </w:rPr>
      </w:pPr>
    </w:p>
    <w:p w14:paraId="42000000">
      <w:pPr>
        <w:pStyle w:val="Style_4"/>
        <w:ind/>
        <w:jc w:val="center"/>
        <w:rPr>
          <w:b w:val="1"/>
          <w:sz w:val="18"/>
        </w:rPr>
      </w:pPr>
    </w:p>
    <w:tbl>
      <w:tblPr>
        <w:tblInd w:type="dxa" w:w="159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5180"/>
        <w:gridCol w:w="5093"/>
      </w:tblGrid>
      <w:tr>
        <w:trPr>
          <w:trHeight w:hRule="atLeast" w:val="2631"/>
        </w:trPr>
        <w:tc>
          <w:tcPr>
            <w:tcW w:type="dxa" w:w="5180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3000000">
            <w:pPr>
              <w:pStyle w:val="Style_9"/>
              <w:ind/>
              <w:jc w:val="both"/>
              <w:outlineLvl w:val="0"/>
              <w:rPr>
                <w:sz w:val="18"/>
              </w:rPr>
            </w:pPr>
            <w:r>
              <w:rPr>
                <w:sz w:val="18"/>
              </w:rPr>
              <w:t>Заказчик:</w:t>
            </w:r>
          </w:p>
          <w:p w14:paraId="44000000">
            <w:pPr>
              <w:pStyle w:val="Style_9"/>
              <w:ind/>
              <w:jc w:val="both"/>
              <w:outlineLvl w:val="0"/>
              <w:rPr>
                <w:sz w:val="18"/>
              </w:rPr>
            </w:pPr>
            <w:r>
              <w:rPr>
                <w:sz w:val="18"/>
              </w:rPr>
              <w:t>ЛОГБУ «Сясьстройский ДСП»</w:t>
            </w:r>
          </w:p>
          <w:p w14:paraId="45000000">
            <w:pPr>
              <w:pStyle w:val="Style_9"/>
              <w:ind/>
              <w:jc w:val="both"/>
              <w:outlineLvl w:val="0"/>
              <w:rPr>
                <w:sz w:val="18"/>
              </w:rPr>
            </w:pPr>
            <w:r>
              <w:rPr>
                <w:sz w:val="18"/>
              </w:rPr>
              <w:t xml:space="preserve">ИНН 4718004094 КПП 470201001 </w:t>
            </w:r>
          </w:p>
          <w:p w14:paraId="46000000">
            <w:pPr>
              <w:pStyle w:val="Style_9"/>
              <w:ind/>
              <w:jc w:val="both"/>
              <w:outlineLvl w:val="0"/>
              <w:rPr>
                <w:sz w:val="18"/>
              </w:rPr>
            </w:pPr>
            <w:r>
              <w:rPr>
                <w:sz w:val="18"/>
              </w:rPr>
              <w:t xml:space="preserve">Местонахождение и почтовый адрес: </w:t>
            </w:r>
          </w:p>
          <w:p w14:paraId="47000000">
            <w:pPr>
              <w:pStyle w:val="Style_9"/>
              <w:ind/>
              <w:jc w:val="both"/>
              <w:outlineLvl w:val="0"/>
              <w:rPr>
                <w:sz w:val="18"/>
              </w:rPr>
            </w:pPr>
            <w:r>
              <w:rPr>
                <w:sz w:val="18"/>
              </w:rPr>
              <w:t xml:space="preserve">187420, Ленинградская обл., Волховский район, </w:t>
            </w:r>
          </w:p>
          <w:p w14:paraId="48000000">
            <w:pPr>
              <w:pStyle w:val="Style_9"/>
              <w:ind/>
              <w:jc w:val="both"/>
              <w:outlineLvl w:val="0"/>
              <w:rPr>
                <w:sz w:val="18"/>
              </w:rPr>
            </w:pPr>
            <w:r>
              <w:rPr>
                <w:sz w:val="18"/>
              </w:rPr>
              <w:t xml:space="preserve">г. Сясьстрой, ул. Бумажников, д.38. </w:t>
            </w:r>
          </w:p>
          <w:p w14:paraId="49000000">
            <w:pPr>
              <w:pStyle w:val="Style_9"/>
              <w:ind/>
              <w:jc w:val="both"/>
              <w:outlineLvl w:val="0"/>
              <w:rPr>
                <w:sz w:val="18"/>
              </w:rPr>
            </w:pPr>
            <w:r>
              <w:rPr>
                <w:sz w:val="18"/>
              </w:rPr>
              <w:t xml:space="preserve">Комитет финансов Ленинградской области </w:t>
            </w:r>
          </w:p>
          <w:p w14:paraId="4A000000">
            <w:pPr>
              <w:pStyle w:val="Style_9"/>
              <w:ind/>
              <w:jc w:val="both"/>
              <w:outlineLvl w:val="0"/>
              <w:rPr>
                <w:sz w:val="18"/>
              </w:rPr>
            </w:pPr>
            <w:r>
              <w:rPr>
                <w:sz w:val="18"/>
              </w:rPr>
              <w:t xml:space="preserve">(ЛОГБУ «Сясьстройский ДСП» л/с </w:t>
            </w:r>
          </w:p>
          <w:p w14:paraId="4B000000">
            <w:pPr>
              <w:pStyle w:val="Style_9"/>
              <w:ind/>
              <w:jc w:val="both"/>
              <w:outlineLvl w:val="0"/>
              <w:rPr>
                <w:sz w:val="18"/>
              </w:rPr>
            </w:pPr>
            <w:r>
              <w:rPr>
                <w:sz w:val="18"/>
              </w:rPr>
              <w:t>20182987026) ОКЦ №1 Северо-Западное ГУ Банка России/</w:t>
            </w:r>
          </w:p>
          <w:p w14:paraId="4C000000">
            <w:pPr>
              <w:pStyle w:val="Style_9"/>
              <w:ind/>
              <w:jc w:val="both"/>
              <w:outlineLvl w:val="0"/>
              <w:rPr>
                <w:sz w:val="18"/>
              </w:rPr>
            </w:pPr>
            <w:r>
              <w:rPr>
                <w:sz w:val="18"/>
              </w:rPr>
              <w:t>/УФК по Ленинградской области</w:t>
            </w:r>
          </w:p>
          <w:p w14:paraId="4D000000">
            <w:pPr>
              <w:pStyle w:val="Style_9"/>
              <w:ind/>
              <w:jc w:val="both"/>
              <w:outlineLvl w:val="0"/>
              <w:rPr>
                <w:sz w:val="18"/>
              </w:rPr>
            </w:pPr>
            <w:r>
              <w:rPr>
                <w:sz w:val="18"/>
              </w:rPr>
              <w:t>г. Санкт-Петербург</w:t>
            </w:r>
          </w:p>
          <w:p w14:paraId="4E000000">
            <w:pPr>
              <w:pStyle w:val="Style_9"/>
              <w:ind/>
              <w:jc w:val="both"/>
              <w:outlineLvl w:val="0"/>
              <w:rPr>
                <w:sz w:val="18"/>
              </w:rPr>
            </w:pPr>
            <w:r>
              <w:rPr>
                <w:sz w:val="18"/>
              </w:rPr>
              <w:t>р/</w:t>
            </w:r>
            <w:r>
              <w:rPr>
                <w:sz w:val="18"/>
              </w:rPr>
              <w:t>сч</w:t>
            </w:r>
            <w:r>
              <w:rPr>
                <w:sz w:val="18"/>
              </w:rPr>
              <w:t xml:space="preserve"> 032 246 434 100 000 045 00</w:t>
            </w:r>
          </w:p>
          <w:p w14:paraId="4F000000">
            <w:pPr>
              <w:pStyle w:val="Style_9"/>
              <w:ind/>
              <w:jc w:val="both"/>
              <w:outlineLvl w:val="0"/>
              <w:rPr>
                <w:sz w:val="18"/>
              </w:rPr>
            </w:pPr>
            <w:r>
              <w:rPr>
                <w:sz w:val="18"/>
              </w:rPr>
              <w:t>к/</w:t>
            </w:r>
            <w:r>
              <w:rPr>
                <w:sz w:val="18"/>
              </w:rPr>
              <w:t>сч</w:t>
            </w:r>
            <w:r>
              <w:rPr>
                <w:sz w:val="18"/>
              </w:rPr>
              <w:t xml:space="preserve"> 401 028 107 453 700 000 98</w:t>
            </w:r>
          </w:p>
          <w:p w14:paraId="50000000">
            <w:pPr>
              <w:pStyle w:val="Style_9"/>
              <w:ind/>
              <w:jc w:val="both"/>
              <w:outlineLvl w:val="0"/>
              <w:rPr>
                <w:sz w:val="18"/>
              </w:rPr>
            </w:pPr>
            <w:r>
              <w:rPr>
                <w:sz w:val="18"/>
              </w:rPr>
              <w:t xml:space="preserve">БИК 044030098        ОКПО 05163824         </w:t>
            </w:r>
          </w:p>
          <w:p w14:paraId="51000000">
            <w:pPr>
              <w:pStyle w:val="Style_9"/>
              <w:ind/>
              <w:jc w:val="both"/>
              <w:outlineLvl w:val="0"/>
              <w:rPr>
                <w:sz w:val="18"/>
              </w:rPr>
            </w:pPr>
            <w:r>
              <w:rPr>
                <w:sz w:val="18"/>
              </w:rPr>
              <w:t xml:space="preserve">ОКТМО 41609108001     ОГРН 1024702051340    </w:t>
            </w:r>
          </w:p>
          <w:p w14:paraId="52000000">
            <w:pPr>
              <w:pStyle w:val="Style_9"/>
              <w:ind/>
              <w:jc w:val="both"/>
              <w:outlineLvl w:val="0"/>
              <w:rPr>
                <w:sz w:val="18"/>
              </w:rPr>
            </w:pPr>
            <w:r>
              <w:rPr>
                <w:sz w:val="18"/>
              </w:rPr>
              <w:t>Адрес электронной почты: syas_pni@mail.ru</w:t>
            </w:r>
          </w:p>
          <w:p w14:paraId="53000000">
            <w:pPr>
              <w:pStyle w:val="Style_9"/>
              <w:ind/>
              <w:jc w:val="both"/>
              <w:outlineLvl w:val="0"/>
              <w:rPr>
                <w:sz w:val="18"/>
              </w:rPr>
            </w:pPr>
            <w:r>
              <w:rPr>
                <w:sz w:val="18"/>
              </w:rPr>
              <w:t xml:space="preserve">Тел. Договорной службы 8(81363)61081 </w:t>
            </w:r>
          </w:p>
        </w:tc>
        <w:tc>
          <w:tcPr>
            <w:tcW w:type="dxa" w:w="5093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4000000">
            <w:pPr>
              <w:pStyle w:val="Style_9"/>
              <w:ind/>
              <w:jc w:val="both"/>
              <w:outlineLvl w:val="0"/>
              <w:rPr>
                <w:sz w:val="18"/>
              </w:rPr>
            </w:pPr>
            <w:r>
              <w:rPr>
                <w:sz w:val="18"/>
              </w:rPr>
              <w:t>Исполнитель:</w:t>
            </w:r>
          </w:p>
        </w:tc>
      </w:tr>
    </w:tbl>
    <w:p w14:paraId="55000000">
      <w:pPr>
        <w:pStyle w:val="Style_4"/>
        <w:ind w:firstLine="0" w:left="360"/>
        <w:rPr>
          <w:b w:val="1"/>
          <w:sz w:val="18"/>
        </w:rPr>
      </w:pPr>
    </w:p>
    <w:tbl>
      <w:tblPr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5329"/>
        <w:gridCol w:w="4680"/>
      </w:tblGrid>
      <w:tr>
        <w:tc>
          <w:tcPr>
            <w:tcW w:type="dxa" w:w="5329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6000000">
            <w:pPr>
              <w:tabs>
                <w:tab w:leader="none" w:pos="0" w:val="left"/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18"/>
              </w:rPr>
            </w:pPr>
            <w:r>
              <w:rPr>
                <w:sz w:val="18"/>
              </w:rPr>
              <w:t>Заказчик</w:t>
            </w:r>
          </w:p>
        </w:tc>
        <w:tc>
          <w:tcPr>
            <w:tcW w:type="dxa" w:w="4680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7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18"/>
              </w:rPr>
            </w:pPr>
            <w:r>
              <w:rPr>
                <w:sz w:val="18"/>
              </w:rPr>
              <w:t>Исполнитель</w:t>
            </w:r>
          </w:p>
        </w:tc>
      </w:tr>
      <w:tr>
        <w:tc>
          <w:tcPr>
            <w:tcW w:type="dxa" w:w="5329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8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18"/>
              </w:rPr>
            </w:pPr>
            <w:r>
              <w:rPr>
                <w:sz w:val="18"/>
              </w:rPr>
              <w:t>Директор ЛОГБУ «Сясьстройский ДСП»</w:t>
            </w:r>
          </w:p>
          <w:p w14:paraId="59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18"/>
              </w:rPr>
            </w:pPr>
          </w:p>
          <w:p w14:paraId="5A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18"/>
              </w:rPr>
            </w:pPr>
            <w:r>
              <w:rPr>
                <w:sz w:val="18"/>
              </w:rPr>
              <w:t>________________ Журавель М.Б.</w:t>
            </w:r>
          </w:p>
        </w:tc>
        <w:tc>
          <w:tcPr>
            <w:tcW w:type="dxa" w:w="4680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B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18"/>
              </w:rPr>
            </w:pPr>
          </w:p>
          <w:p w14:paraId="5C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18"/>
              </w:rPr>
            </w:pPr>
          </w:p>
          <w:p w14:paraId="5D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18"/>
              </w:rPr>
            </w:pPr>
            <w:r>
              <w:rPr>
                <w:sz w:val="18"/>
              </w:rPr>
              <w:t xml:space="preserve">_____________ </w:t>
            </w:r>
          </w:p>
        </w:tc>
      </w:tr>
    </w:tbl>
    <w:p w14:paraId="5E000000">
      <w:r>
        <w:t xml:space="preserve"> </w:t>
      </w:r>
    </w:p>
    <w:p w14:paraId="5F000000"/>
    <w:p w14:paraId="60000000"/>
    <w:p w14:paraId="61000000"/>
    <w:p w14:paraId="62000000"/>
    <w:p w14:paraId="63000000"/>
    <w:p w14:paraId="64000000"/>
    <w:p w14:paraId="65000000"/>
    <w:p w14:paraId="66000000"/>
    <w:p w14:paraId="67000000"/>
    <w:p w14:paraId="68000000">
      <w:pPr>
        <w:pStyle w:val="Style_10"/>
        <w:tabs>
          <w:tab w:leader="none" w:pos="1800" w:val="clear"/>
        </w:tabs>
        <w:spacing w:line="240" w:lineRule="auto"/>
        <w:ind w:hanging="241" w:left="2041"/>
        <w:jc w:val="right"/>
        <w:rPr>
          <w:b w:val="0"/>
          <w:sz w:val="18"/>
        </w:rPr>
      </w:pPr>
      <w:r>
        <w:rPr>
          <w:b w:val="0"/>
          <w:sz w:val="18"/>
        </w:rPr>
        <w:t>Приложение № 1</w:t>
      </w:r>
    </w:p>
    <w:p w14:paraId="69000000">
      <w:pPr>
        <w:pStyle w:val="Style_10"/>
        <w:tabs>
          <w:tab w:leader="none" w:pos="1800" w:val="clear"/>
        </w:tabs>
        <w:spacing w:line="240" w:lineRule="auto"/>
        <w:ind w:hanging="241" w:left="2041"/>
        <w:jc w:val="right"/>
        <w:rPr>
          <w:b w:val="0"/>
          <w:sz w:val="18"/>
        </w:rPr>
      </w:pPr>
      <w:r>
        <w:rPr>
          <w:b w:val="0"/>
          <w:sz w:val="18"/>
        </w:rPr>
        <w:t xml:space="preserve">к Договору № </w:t>
      </w:r>
    </w:p>
    <w:p w14:paraId="6A000000">
      <w:pPr>
        <w:pStyle w:val="Style_10"/>
        <w:tabs>
          <w:tab w:leader="none" w:pos="1800" w:val="clear"/>
        </w:tabs>
        <w:spacing w:line="240" w:lineRule="auto"/>
        <w:ind w:hanging="241" w:left="2041"/>
        <w:jc w:val="right"/>
        <w:rPr>
          <w:b w:val="0"/>
          <w:sz w:val="18"/>
        </w:rPr>
      </w:pPr>
      <w:r>
        <w:rPr>
          <w:b w:val="0"/>
          <w:sz w:val="18"/>
        </w:rPr>
        <w:t xml:space="preserve">от </w:t>
      </w:r>
      <w:r>
        <w:rPr>
          <w:b w:val="0"/>
          <w:sz w:val="18"/>
        </w:rPr>
        <w:t xml:space="preserve">«  </w:t>
      </w:r>
      <w:r>
        <w:rPr>
          <w:b w:val="0"/>
          <w:sz w:val="18"/>
        </w:rPr>
        <w:t xml:space="preserve"> » сентября 2026 г.</w:t>
      </w:r>
    </w:p>
    <w:p w14:paraId="6B000000">
      <w:pPr>
        <w:tabs>
          <w:tab w:leader="none" w:pos="1800" w:val="clear"/>
        </w:tabs>
        <w:ind w:firstLine="0" w:left="424"/>
        <w:jc w:val="right"/>
        <w:rPr>
          <w:sz w:val="22"/>
        </w:rPr>
      </w:pPr>
    </w:p>
    <w:p w14:paraId="6C000000">
      <w:pPr>
        <w:tabs>
          <w:tab w:leader="none" w:pos="1800" w:val="clear"/>
        </w:tabs>
        <w:ind w:firstLine="0" w:left="424"/>
        <w:jc w:val="center"/>
        <w:rPr>
          <w:sz w:val="22"/>
        </w:rPr>
      </w:pPr>
    </w:p>
    <w:p w14:paraId="6D000000">
      <w:pPr>
        <w:tabs>
          <w:tab w:leader="none" w:pos="1800" w:val="clear"/>
        </w:tabs>
        <w:ind/>
        <w:jc w:val="center"/>
        <w:rPr>
          <w:b w:val="1"/>
          <w:sz w:val="22"/>
        </w:rPr>
      </w:pPr>
      <w:r>
        <w:rPr>
          <w:b w:val="1"/>
          <w:sz w:val="22"/>
        </w:rPr>
        <w:t>Описание объекта закупки</w:t>
      </w:r>
    </w:p>
    <w:p w14:paraId="6E000000">
      <w:pPr>
        <w:ind/>
        <w:jc w:val="center"/>
        <w:rPr>
          <w:rFonts w:ascii="Arial Black" w:hAnsi="Arial Black"/>
          <w:caps w:val="1"/>
          <w:sz w:val="20"/>
        </w:rPr>
      </w:pPr>
    </w:p>
    <w:p w14:paraId="6F000000">
      <w:pPr>
        <w:rPr>
          <w:rFonts w:ascii="Arial Black" w:hAnsi="Arial Black"/>
          <w:caps w:val="1"/>
          <w:sz w:val="20"/>
        </w:rPr>
      </w:pPr>
    </w:p>
    <w:p w14:paraId="70000000">
      <w:pPr>
        <w:numPr>
          <w:ilvl w:val="0"/>
          <w:numId w:val="5"/>
        </w:numPr>
        <w:ind/>
        <w:jc w:val="both"/>
        <w:rPr>
          <w:sz w:val="18"/>
        </w:rPr>
      </w:pPr>
      <w:r>
        <w:rPr>
          <w:rFonts w:ascii="inherit" w:hAnsi="inherit"/>
          <w:b w:val="1"/>
          <w:sz w:val="18"/>
        </w:rPr>
        <w:t xml:space="preserve">Изменения </w:t>
      </w:r>
      <w:r>
        <w:rPr>
          <w:rFonts w:ascii="inherit" w:hAnsi="inherit"/>
          <w:b w:val="1"/>
          <w:sz w:val="18"/>
        </w:rPr>
        <w:t>в трудовом законодательстве 2026</w:t>
      </w:r>
      <w:r>
        <w:rPr>
          <w:rFonts w:ascii="inherit" w:hAnsi="inherit"/>
          <w:b w:val="1"/>
          <w:sz w:val="18"/>
        </w:rPr>
        <w:t> г.</w:t>
      </w:r>
      <w:r>
        <w:rPr>
          <w:sz w:val="18"/>
        </w:rPr>
        <w:t> ФЗ № 247-ФЗ «Об обязательных требованиях в РФ»: последствия «регуляторной гильотины». Отчетность в СФР, новая форма ЕФС-1.</w:t>
      </w:r>
    </w:p>
    <w:p w14:paraId="71000000">
      <w:pPr>
        <w:numPr>
          <w:ilvl w:val="0"/>
          <w:numId w:val="5"/>
        </w:numPr>
        <w:ind/>
        <w:jc w:val="both"/>
        <w:rPr>
          <w:sz w:val="18"/>
        </w:rPr>
      </w:pPr>
      <w:r>
        <w:rPr>
          <w:rFonts w:ascii="inherit" w:hAnsi="inherit"/>
          <w:b w:val="1"/>
          <w:sz w:val="18"/>
        </w:rPr>
        <w:t>Изменения ТК и ФЗ «О занятости населения в РФ».</w:t>
      </w:r>
      <w:r>
        <w:rPr>
          <w:sz w:val="18"/>
        </w:rPr>
        <w:t> ФЗ от 12.12.2023 № 565-ФЗ. Цифровая платформа «Работа в России». Информация о наличии свободных рабочих мест и вакантных должностей, специальных рабочих мест для инвалидов. Правила расчета квоты. Субсидии при трудоустройстве безработных граждан. МРОТ и прожиточный минимум.</w:t>
      </w:r>
    </w:p>
    <w:p w14:paraId="72000000">
      <w:pPr>
        <w:numPr>
          <w:ilvl w:val="0"/>
          <w:numId w:val="5"/>
        </w:numPr>
        <w:ind/>
        <w:jc w:val="both"/>
        <w:rPr>
          <w:sz w:val="18"/>
        </w:rPr>
      </w:pPr>
      <w:r>
        <w:rPr>
          <w:rFonts w:ascii="inherit" w:hAnsi="inherit"/>
          <w:b w:val="1"/>
          <w:sz w:val="18"/>
        </w:rPr>
        <w:t>Электронный документооборот в сфере трудовых отношений.</w:t>
      </w:r>
      <w:r>
        <w:rPr>
          <w:sz w:val="18"/>
        </w:rPr>
        <w:t xml:space="preserve"> Федеральный закон от 22.11.2021 № 377-ФЗ. Информационные системы ЭДО. Использование и применение </w:t>
      </w:r>
      <w:r>
        <w:rPr>
          <w:sz w:val="18"/>
        </w:rPr>
        <w:t>интернет-ресурсов</w:t>
      </w:r>
      <w:r>
        <w:rPr>
          <w:sz w:val="18"/>
        </w:rPr>
        <w:t>. Особенности сочетания бумажного и электронного документооборота. Электронные трудовые книжки. Требования к оформлению на бумажном носителе. Особенности ЭДО в условиях частичного или полного перехода на дистанционный/удаленный режим работы. Правила хранения электронных документов. ЭДО в бюджетных организациях.</w:t>
      </w:r>
    </w:p>
    <w:p w14:paraId="73000000">
      <w:pPr>
        <w:numPr>
          <w:ilvl w:val="0"/>
          <w:numId w:val="5"/>
        </w:numPr>
        <w:ind/>
        <w:jc w:val="both"/>
        <w:rPr>
          <w:sz w:val="18"/>
        </w:rPr>
      </w:pPr>
      <w:r>
        <w:rPr>
          <w:rFonts w:ascii="inherit" w:hAnsi="inherit"/>
          <w:b w:val="1"/>
          <w:sz w:val="18"/>
        </w:rPr>
        <w:t>Дистанционная работа.</w:t>
      </w:r>
      <w:r>
        <w:rPr>
          <w:sz w:val="18"/>
        </w:rPr>
        <w:t xml:space="preserve"> Обзор изменений, комментарии </w:t>
      </w:r>
      <w:r>
        <w:rPr>
          <w:sz w:val="18"/>
        </w:rPr>
        <w:t>Роструд</w:t>
      </w:r>
      <w:r>
        <w:rPr>
          <w:sz w:val="18"/>
        </w:rPr>
        <w:t xml:space="preserve"> и Минтруд. Порядок возмещения расходов в связи с изменениями НК РФ. Особенности регулирования труда на удаленной работе, виды дистанционной работы, определение места работы, порядок взаимодействия с дистанционным работником. Прием дистанционного сотрудника. Условия изменения, расторжения трудового договора. Договор ГПХ и «</w:t>
      </w:r>
      <w:r>
        <w:rPr>
          <w:sz w:val="18"/>
        </w:rPr>
        <w:t>самозанятые</w:t>
      </w:r>
      <w:r>
        <w:rPr>
          <w:sz w:val="18"/>
        </w:rPr>
        <w:t>»: правовое регулирование. Дистанционная работа за пределами РФ. Обзор судебной практики.</w:t>
      </w:r>
    </w:p>
    <w:p w14:paraId="74000000">
      <w:pPr>
        <w:numPr>
          <w:ilvl w:val="0"/>
          <w:numId w:val="5"/>
        </w:numPr>
        <w:ind/>
        <w:jc w:val="both"/>
        <w:rPr>
          <w:sz w:val="18"/>
        </w:rPr>
      </w:pPr>
      <w:r>
        <w:rPr>
          <w:rFonts w:ascii="inherit" w:hAnsi="inherit"/>
          <w:b w:val="1"/>
          <w:sz w:val="18"/>
        </w:rPr>
        <w:t>Регулирование трудовых отношений и кадрового делопроизводства.</w:t>
      </w:r>
      <w:r>
        <w:rPr>
          <w:sz w:val="18"/>
        </w:rPr>
        <w:t> Государственное регулирование делопроизводства. Составление и оформление документов в соответствии с ГОСТ. Придание документам юридической силы. Локальное регулирование документооборота в соответствии с изменениями в ТК РФ. Общие вопросы организации хранения кадровых документов.</w:t>
      </w:r>
    </w:p>
    <w:p w14:paraId="75000000">
      <w:pPr>
        <w:numPr>
          <w:ilvl w:val="0"/>
          <w:numId w:val="5"/>
        </w:numPr>
        <w:ind/>
        <w:jc w:val="both"/>
        <w:rPr>
          <w:sz w:val="18"/>
        </w:rPr>
      </w:pPr>
      <w:r>
        <w:rPr>
          <w:rFonts w:ascii="inherit" w:hAnsi="inherit"/>
          <w:b w:val="1"/>
          <w:sz w:val="18"/>
        </w:rPr>
        <w:t>Локальные нормативные акты организации.</w:t>
      </w:r>
      <w:r>
        <w:rPr>
          <w:sz w:val="18"/>
        </w:rPr>
        <w:t> Оформление, утверждение, введение в действие, внесение изменений. Правила внутреннего трудового распорядка (ПВТР). Штатное расписание. Штатный список. Организационная структура. Положения о структурных подразделениях.</w:t>
      </w:r>
    </w:p>
    <w:p w14:paraId="76000000">
      <w:pPr>
        <w:numPr>
          <w:ilvl w:val="0"/>
          <w:numId w:val="5"/>
        </w:numPr>
        <w:ind/>
        <w:jc w:val="both"/>
        <w:rPr>
          <w:sz w:val="18"/>
        </w:rPr>
      </w:pPr>
      <w:r>
        <w:rPr>
          <w:rFonts w:ascii="inherit" w:hAnsi="inherit"/>
          <w:b w:val="1"/>
          <w:sz w:val="18"/>
        </w:rPr>
        <w:t>Локальное регулирование делопроизводства.</w:t>
      </w:r>
      <w:r>
        <w:rPr>
          <w:sz w:val="18"/>
        </w:rPr>
        <w:t> Инструкция по делопроизводству, альбом форм документов, табель форм документов. Номенклатура дел: значение, составление и ведение. Унифицированные формы кадровой документации. Обращение с информацией ограниченного распространения.</w:t>
      </w:r>
    </w:p>
    <w:p w14:paraId="77000000">
      <w:pPr>
        <w:numPr>
          <w:ilvl w:val="0"/>
          <w:numId w:val="5"/>
        </w:numPr>
        <w:ind/>
        <w:jc w:val="both"/>
        <w:rPr>
          <w:sz w:val="18"/>
        </w:rPr>
      </w:pPr>
      <w:r>
        <w:rPr>
          <w:rFonts w:ascii="inherit" w:hAnsi="inherit"/>
          <w:b w:val="1"/>
          <w:sz w:val="18"/>
        </w:rPr>
        <w:t xml:space="preserve">Особенности применения работодателями </w:t>
      </w:r>
      <w:r>
        <w:rPr>
          <w:rFonts w:ascii="inherit" w:hAnsi="inherit"/>
          <w:b w:val="1"/>
          <w:sz w:val="18"/>
        </w:rPr>
        <w:t>профстандартов</w:t>
      </w:r>
      <w:r>
        <w:rPr>
          <w:rFonts w:ascii="inherit" w:hAnsi="inherit"/>
          <w:b w:val="1"/>
          <w:sz w:val="18"/>
        </w:rPr>
        <w:t>.</w:t>
      </w:r>
      <w:r>
        <w:rPr>
          <w:sz w:val="18"/>
        </w:rPr>
        <w:t> </w:t>
      </w:r>
      <w:r>
        <w:rPr>
          <w:sz w:val="18"/>
        </w:rPr>
        <w:t>Профстандарт</w:t>
      </w:r>
      <w:r>
        <w:rPr>
          <w:sz w:val="18"/>
        </w:rPr>
        <w:t xml:space="preserve"> как основа для разработки должностных инструкций и иных локальных нормативных актов (ЛНА), определяющих требования к квалификации работника. Итоги внедрения </w:t>
      </w:r>
      <w:r>
        <w:rPr>
          <w:sz w:val="18"/>
        </w:rPr>
        <w:t>профстандартов</w:t>
      </w:r>
      <w:r>
        <w:rPr>
          <w:sz w:val="18"/>
        </w:rPr>
        <w:t xml:space="preserve"> (примеры из практики). Приведение ЛНА в соответствие с профстандартами. Независимая оценка квалификации (НОК): обязательность НОК для отдельных видов деятельности.</w:t>
      </w:r>
    </w:p>
    <w:p w14:paraId="78000000">
      <w:pPr>
        <w:numPr>
          <w:ilvl w:val="0"/>
          <w:numId w:val="5"/>
        </w:numPr>
        <w:ind/>
        <w:jc w:val="both"/>
        <w:rPr>
          <w:sz w:val="18"/>
        </w:rPr>
      </w:pPr>
      <w:r>
        <w:rPr>
          <w:rFonts w:ascii="inherit" w:hAnsi="inherit"/>
          <w:b w:val="1"/>
          <w:sz w:val="18"/>
        </w:rPr>
        <w:t>Документирование трудовых отношений.</w:t>
      </w:r>
    </w:p>
    <w:p w14:paraId="79000000">
      <w:pPr>
        <w:numPr>
          <w:ilvl w:val="1"/>
          <w:numId w:val="5"/>
        </w:numPr>
        <w:spacing w:beforeAutospacing="on"/>
        <w:ind/>
        <w:jc w:val="both"/>
        <w:rPr>
          <w:sz w:val="18"/>
        </w:rPr>
      </w:pPr>
      <w:r>
        <w:rPr>
          <w:sz w:val="18"/>
        </w:rPr>
        <w:t>Порядок приема на работу. Документирование процедур, предшествующих заключению трудового договора. Оформление приема на работу. Ознакомление с ЛНА, составление приказа о приеме, личная карточка работника, формирование и ведение «личных дел». Особенности оформления трудовых отношений с бывшими госслужащими, женщинами, имеющими детей и иными категориями работников.</w:t>
      </w:r>
    </w:p>
    <w:p w14:paraId="7A000000">
      <w:pPr>
        <w:numPr>
          <w:ilvl w:val="1"/>
          <w:numId w:val="5"/>
        </w:numPr>
        <w:spacing w:beforeAutospacing="on"/>
        <w:ind/>
        <w:jc w:val="both"/>
        <w:rPr>
          <w:sz w:val="18"/>
        </w:rPr>
      </w:pPr>
      <w:r>
        <w:rPr>
          <w:sz w:val="18"/>
        </w:rPr>
        <w:t>Иностранные работники. Заключение и расторжение трудового договора. Миграционный учет и порядок работы с МВД. Документы, подтверждающие статус иностранных граждан в РФ. Ограничения на привлечение иностранцев к работе.</w:t>
      </w:r>
    </w:p>
    <w:p w14:paraId="7B000000">
      <w:pPr>
        <w:numPr>
          <w:ilvl w:val="1"/>
          <w:numId w:val="5"/>
        </w:numPr>
        <w:spacing w:beforeAutospacing="on"/>
        <w:ind/>
        <w:jc w:val="both"/>
        <w:rPr>
          <w:sz w:val="18"/>
        </w:rPr>
      </w:pPr>
      <w:r>
        <w:rPr>
          <w:sz w:val="18"/>
        </w:rPr>
        <w:t>Учет рабочего времени. Оформление привлечения к работе в выходные и праздничные дни. Сверхурочная работа и неполный рабочий день. Ненормированный рабочий день. Виды отпусков и новые требования по их оформлению. Особенности предоставления отпусков отдельным категориям. Правила проведения диспансеризации для различных категорий работников. Служебные командировки.</w:t>
      </w:r>
    </w:p>
    <w:p w14:paraId="7C000000">
      <w:pPr>
        <w:numPr>
          <w:ilvl w:val="1"/>
          <w:numId w:val="5"/>
        </w:numPr>
        <w:spacing w:beforeAutospacing="on"/>
        <w:ind/>
        <w:jc w:val="both"/>
        <w:rPr>
          <w:sz w:val="18"/>
        </w:rPr>
      </w:pPr>
      <w:r>
        <w:rPr>
          <w:sz w:val="18"/>
        </w:rPr>
        <w:t xml:space="preserve">Процедуры движения персонала. Перевод на другую работу, виды переводов. Особенности оформления временных переводов. Отличие перевода и перемещения. Совмещение и совместительство: основные </w:t>
      </w:r>
      <w:r>
        <w:rPr>
          <w:sz w:val="18"/>
        </w:rPr>
        <w:t>отличия, порядок оформления, установление оплаты труда при совмещении, заработная плата при совместительстве.</w:t>
      </w:r>
    </w:p>
    <w:p w14:paraId="7D000000">
      <w:pPr>
        <w:numPr>
          <w:ilvl w:val="1"/>
          <w:numId w:val="5"/>
        </w:numPr>
        <w:spacing w:beforeAutospacing="on"/>
        <w:ind/>
        <w:jc w:val="both"/>
        <w:rPr>
          <w:sz w:val="18"/>
        </w:rPr>
      </w:pPr>
      <w:r>
        <w:rPr>
          <w:sz w:val="18"/>
        </w:rPr>
        <w:t>Поощрение и наложение дисциплинарных взысканий. Представление на поощрение. Порядок применения взысканий. Оформление документов — оснований для издания приказа. Приказ о наложении дисциплинарного взыскания. Обзор судебной практики.</w:t>
      </w:r>
    </w:p>
    <w:p w14:paraId="7E000000">
      <w:pPr>
        <w:numPr>
          <w:ilvl w:val="1"/>
          <w:numId w:val="5"/>
        </w:numPr>
        <w:spacing w:beforeAutospacing="on"/>
        <w:ind/>
        <w:jc w:val="both"/>
        <w:rPr>
          <w:sz w:val="18"/>
        </w:rPr>
      </w:pPr>
      <w:r>
        <w:rPr>
          <w:sz w:val="18"/>
        </w:rPr>
        <w:t>Расторжение трудового договора. Требования к оформлению увольнения работников. Форма и порядок уведомления работника. Расчет компенсации за отпуск. Учет общего трудового и страхового стажа. Разбор типичных ошибок.</w:t>
      </w:r>
    </w:p>
    <w:p w14:paraId="7F000000">
      <w:pPr>
        <w:numPr>
          <w:ilvl w:val="1"/>
          <w:numId w:val="5"/>
        </w:numPr>
        <w:spacing w:beforeAutospacing="on"/>
        <w:ind/>
        <w:jc w:val="both"/>
        <w:rPr>
          <w:sz w:val="18"/>
        </w:rPr>
      </w:pPr>
      <w:r>
        <w:rPr>
          <w:sz w:val="18"/>
        </w:rPr>
        <w:t xml:space="preserve">Воинский учет: </w:t>
      </w:r>
      <w:r>
        <w:rPr>
          <w:sz w:val="18"/>
        </w:rPr>
        <w:t>цифровизация</w:t>
      </w:r>
      <w:r>
        <w:rPr>
          <w:sz w:val="18"/>
        </w:rPr>
        <w:t xml:space="preserve"> и обязанности работодателя. Указ Президента № 854, поправки в законодательство, электронная база военнообязанных и реестр повесток. Особенности обеспечения трудовых прав работников, призванных на военную службу по мобилизации.</w:t>
      </w:r>
    </w:p>
    <w:p w14:paraId="80000000">
      <w:pPr>
        <w:numPr>
          <w:ilvl w:val="0"/>
          <w:numId w:val="5"/>
        </w:numPr>
        <w:ind/>
        <w:jc w:val="both"/>
        <w:rPr>
          <w:sz w:val="18"/>
        </w:rPr>
      </w:pPr>
      <w:r>
        <w:rPr>
          <w:rFonts w:ascii="inherit" w:hAnsi="inherit"/>
          <w:b w:val="1"/>
          <w:sz w:val="18"/>
        </w:rPr>
        <w:t>Правовые аспекты ведения КДП.</w:t>
      </w:r>
    </w:p>
    <w:p w14:paraId="81000000">
      <w:pPr>
        <w:numPr>
          <w:ilvl w:val="1"/>
          <w:numId w:val="5"/>
        </w:numPr>
        <w:spacing w:beforeAutospacing="on"/>
        <w:ind/>
        <w:jc w:val="both"/>
        <w:rPr>
          <w:sz w:val="18"/>
        </w:rPr>
      </w:pPr>
      <w:r>
        <w:rPr>
          <w:sz w:val="18"/>
        </w:rPr>
        <w:t>Правовая ответственность за нарушение норм трудового законодательства. Дисциплинарная, административная и иные виды ответственности юридических и физических лиц (работодателей, должностных лиц и работников). Дисквалификация руководителя. Увеличение штрафов за нарушения трудового законодательства. Обзор судебной практики.</w:t>
      </w:r>
    </w:p>
    <w:p w14:paraId="82000000">
      <w:pPr>
        <w:numPr>
          <w:ilvl w:val="1"/>
          <w:numId w:val="5"/>
        </w:numPr>
        <w:spacing w:beforeAutospacing="on"/>
        <w:ind/>
        <w:jc w:val="both"/>
        <w:rPr>
          <w:sz w:val="18"/>
        </w:rPr>
      </w:pPr>
      <w:r>
        <w:rPr>
          <w:sz w:val="18"/>
        </w:rPr>
        <w:t>Конфиденциальное делопроизводство. Нормативные акты, регулирующие работу с персональными данными. Обязанности по уничтожению персональных данных.</w:t>
      </w:r>
    </w:p>
    <w:p w14:paraId="83000000">
      <w:pPr>
        <w:numPr>
          <w:ilvl w:val="1"/>
          <w:numId w:val="5"/>
        </w:numPr>
        <w:spacing w:beforeAutospacing="on"/>
        <w:ind/>
        <w:jc w:val="both"/>
        <w:rPr>
          <w:sz w:val="18"/>
        </w:rPr>
      </w:pPr>
      <w:r>
        <w:rPr>
          <w:sz w:val="18"/>
        </w:rPr>
        <w:t>Новое о проверках. ФЗ «О государственном контроле (надзоре) и муниципальном контроле в РФ». Новые виды контрольно-надзорных мероприятий. Взаимодействие с ГИТ. Подготовка к проверке: проверочные листы. Формы и порядок проведения. Анализ типичных ошибок. Досудебное обжалование.</w:t>
      </w:r>
    </w:p>
    <w:p w14:paraId="84000000">
      <w:pPr>
        <w:pStyle w:val="Style_10"/>
        <w:tabs>
          <w:tab w:leader="none" w:pos="1800" w:val="clear"/>
        </w:tabs>
        <w:spacing w:line="240" w:lineRule="auto"/>
        <w:ind w:firstLine="0" w:left="1800"/>
        <w:jc w:val="right"/>
        <w:rPr>
          <w:b w:val="0"/>
          <w:sz w:val="22"/>
        </w:rPr>
      </w:pPr>
    </w:p>
    <w:p w14:paraId="85000000">
      <w:pPr>
        <w:pStyle w:val="Style_10"/>
        <w:tabs>
          <w:tab w:leader="none" w:pos="1800" w:val="clear"/>
        </w:tabs>
        <w:spacing w:line="240" w:lineRule="auto"/>
        <w:ind w:firstLine="0" w:left="1800"/>
        <w:jc w:val="right"/>
        <w:rPr>
          <w:b w:val="0"/>
          <w:sz w:val="18"/>
        </w:rPr>
      </w:pPr>
      <w:r>
        <w:rPr>
          <w:b w:val="0"/>
          <w:sz w:val="18"/>
        </w:rPr>
        <w:t>Приложение № 2</w:t>
      </w:r>
    </w:p>
    <w:p w14:paraId="86000000">
      <w:pPr>
        <w:pStyle w:val="Style_10"/>
        <w:tabs>
          <w:tab w:leader="none" w:pos="1800" w:val="clear"/>
        </w:tabs>
        <w:spacing w:line="240" w:lineRule="auto"/>
        <w:ind w:firstLine="0" w:left="1800"/>
        <w:jc w:val="right"/>
        <w:rPr>
          <w:b w:val="0"/>
          <w:sz w:val="18"/>
        </w:rPr>
      </w:pPr>
      <w:r>
        <w:rPr>
          <w:b w:val="0"/>
          <w:sz w:val="18"/>
        </w:rPr>
        <w:t xml:space="preserve">к Договору №  </w:t>
      </w:r>
    </w:p>
    <w:p w14:paraId="87000000">
      <w:pPr>
        <w:pStyle w:val="Style_10"/>
        <w:tabs>
          <w:tab w:leader="none" w:pos="1800" w:val="clear"/>
        </w:tabs>
        <w:spacing w:line="240" w:lineRule="auto"/>
        <w:ind w:firstLine="0" w:left="1800"/>
        <w:jc w:val="right"/>
        <w:rPr>
          <w:b w:val="0"/>
          <w:sz w:val="18"/>
        </w:rPr>
      </w:pPr>
      <w:r>
        <w:rPr>
          <w:b w:val="0"/>
          <w:sz w:val="18"/>
        </w:rPr>
        <w:t xml:space="preserve">от </w:t>
      </w:r>
      <w:r>
        <w:rPr>
          <w:b w:val="0"/>
          <w:sz w:val="18"/>
        </w:rPr>
        <w:t>«  »</w:t>
      </w:r>
      <w:r>
        <w:rPr>
          <w:b w:val="0"/>
          <w:sz w:val="18"/>
        </w:rPr>
        <w:t xml:space="preserve"> сентября 2026 г.</w:t>
      </w:r>
    </w:p>
    <w:p w14:paraId="88000000">
      <w:pPr>
        <w:pStyle w:val="Style_10"/>
        <w:tabs>
          <w:tab w:leader="none" w:pos="1800" w:val="clear"/>
        </w:tabs>
        <w:ind w:firstLine="0" w:left="0"/>
        <w:rPr>
          <w:b w:val="1"/>
          <w:sz w:val="22"/>
        </w:rPr>
      </w:pPr>
    </w:p>
    <w:p w14:paraId="89000000">
      <w:pPr>
        <w:pStyle w:val="Style_10"/>
        <w:tabs>
          <w:tab w:leader="none" w:pos="1800" w:val="clear"/>
        </w:tabs>
        <w:ind w:firstLine="0" w:left="0"/>
        <w:jc w:val="center"/>
        <w:rPr>
          <w:sz w:val="22"/>
        </w:rPr>
      </w:pPr>
      <w:r>
        <w:rPr>
          <w:b w:val="1"/>
          <w:sz w:val="18"/>
        </w:rPr>
        <w:t>СПЕЦИФИКАЦИЯ</w:t>
      </w:r>
    </w:p>
    <w:p w14:paraId="8A000000">
      <w:pPr>
        <w:widowControl w:val="0"/>
        <w:tabs>
          <w:tab w:leader="none" w:pos="1800" w:val="clear"/>
        </w:tabs>
        <w:ind w:firstLine="0" w:left="0"/>
        <w:rPr>
          <w:sz w:val="22"/>
        </w:rPr>
      </w:pPr>
    </w:p>
    <w:tbl>
      <w:tblPr>
        <w:tblInd w:type="dxa" w:w="-5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680"/>
        <w:gridCol w:w="3544"/>
        <w:gridCol w:w="1134"/>
        <w:gridCol w:w="992"/>
        <w:gridCol w:w="2127"/>
        <w:gridCol w:w="1842"/>
      </w:tblGrid>
      <w:tr>
        <w:trPr>
          <w:trHeight w:hRule="atLeast" w:val="1201"/>
        </w:trPr>
        <w:tc>
          <w:tcPr>
            <w:tcW w:type="dxa" w:w="6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B000000">
            <w:pPr>
              <w:widowControl w:val="0"/>
              <w:tabs>
                <w:tab w:leader="none" w:pos="1800" w:val="clear"/>
              </w:tabs>
              <w:ind w:firstLine="0" w:left="0"/>
              <w:jc w:val="center"/>
              <w:rPr>
                <w:sz w:val="18"/>
              </w:rPr>
            </w:pPr>
            <w:r>
              <w:rPr>
                <w:sz w:val="18"/>
              </w:rPr>
              <w:t>№ п/п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C000000">
            <w:pPr>
              <w:widowControl w:val="0"/>
              <w:tabs>
                <w:tab w:leader="none" w:pos="1800" w:val="clear"/>
              </w:tabs>
              <w:ind w:firstLine="0" w:left="0"/>
              <w:jc w:val="center"/>
              <w:rPr>
                <w:sz w:val="18"/>
              </w:rPr>
            </w:pPr>
            <w:r>
              <w:rPr>
                <w:sz w:val="18"/>
              </w:rPr>
              <w:t>Наименование услуг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D000000">
            <w:pPr>
              <w:widowControl w:val="0"/>
              <w:tabs>
                <w:tab w:leader="none" w:pos="1800" w:val="clear"/>
              </w:tabs>
              <w:ind w:firstLine="0" w:left="-101" w:right="-103"/>
              <w:jc w:val="center"/>
              <w:rPr>
                <w:sz w:val="18"/>
              </w:rPr>
            </w:pPr>
            <w:r>
              <w:rPr>
                <w:sz w:val="18"/>
              </w:rPr>
              <w:t>Единица измерения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E000000">
            <w:pPr>
              <w:widowControl w:val="0"/>
              <w:tabs>
                <w:tab w:leader="none" w:pos="1800" w:val="clear"/>
              </w:tabs>
              <w:ind w:hanging="1800" w:left="1800" w:right="-115"/>
              <w:jc w:val="center"/>
              <w:rPr>
                <w:sz w:val="18"/>
              </w:rPr>
            </w:pPr>
            <w:r>
              <w:rPr>
                <w:sz w:val="18"/>
              </w:rPr>
              <w:t>Кол-во</w:t>
            </w:r>
          </w:p>
        </w:tc>
        <w:tc>
          <w:tcPr>
            <w:tcW w:type="dxa" w:w="21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F000000">
            <w:pPr>
              <w:widowControl w:val="0"/>
              <w:tabs>
                <w:tab w:leader="none" w:pos="1800" w:val="clear"/>
              </w:tabs>
              <w:ind w:firstLine="0" w:left="-109" w:right="-102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Цена за единицу </w:t>
            </w:r>
            <w:r>
              <w:rPr>
                <w:sz w:val="18"/>
              </w:rPr>
              <w:t>измер</w:t>
            </w:r>
            <w:r>
              <w:rPr>
                <w:sz w:val="18"/>
              </w:rPr>
              <w:t xml:space="preserve">., </w:t>
            </w:r>
            <w:r>
              <w:rPr>
                <w:sz w:val="18"/>
              </w:rPr>
              <w:t>НДС_%/не</w:t>
            </w:r>
            <w:r>
              <w:rPr>
                <w:sz w:val="18"/>
              </w:rPr>
              <w:t xml:space="preserve"> обл.</w:t>
            </w:r>
          </w:p>
          <w:p w14:paraId="90000000">
            <w:pPr>
              <w:widowControl w:val="0"/>
              <w:tabs>
                <w:tab w:leader="none" w:pos="1800" w:val="clear"/>
              </w:tabs>
              <w:ind w:firstLine="0" w:left="-109" w:right="-102"/>
              <w:jc w:val="center"/>
              <w:rPr>
                <w:sz w:val="18"/>
              </w:rPr>
            </w:pPr>
            <w:r>
              <w:rPr>
                <w:sz w:val="18"/>
              </w:rPr>
              <w:t>(руб.)</w:t>
            </w:r>
          </w:p>
        </w:tc>
        <w:tc>
          <w:tcPr>
            <w:tcW w:type="dxa" w:w="18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1000000">
            <w:pPr>
              <w:widowControl w:val="0"/>
              <w:tabs>
                <w:tab w:leader="none" w:pos="1800" w:val="clear"/>
              </w:tabs>
              <w:ind w:firstLine="0" w:left="0" w:right="-102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Общая стоимость, </w:t>
            </w:r>
            <w:r>
              <w:rPr>
                <w:sz w:val="18"/>
              </w:rPr>
              <w:t>НДС _% /не</w:t>
            </w:r>
            <w:r>
              <w:rPr>
                <w:sz w:val="18"/>
              </w:rPr>
              <w:t xml:space="preserve"> обл.</w:t>
            </w:r>
          </w:p>
          <w:p w14:paraId="92000000">
            <w:pPr>
              <w:widowControl w:val="0"/>
              <w:tabs>
                <w:tab w:leader="none" w:pos="1800" w:val="clear"/>
              </w:tabs>
              <w:ind w:firstLine="0" w:left="0" w:right="-102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(руб.)</w:t>
            </w:r>
          </w:p>
        </w:tc>
      </w:tr>
      <w:tr>
        <w:trPr>
          <w:trHeight w:hRule="atLeast" w:val="176"/>
        </w:trPr>
        <w:tc>
          <w:tcPr>
            <w:tcW w:type="dxa" w:w="6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3000000">
            <w:pPr>
              <w:widowControl w:val="0"/>
              <w:tabs>
                <w:tab w:leader="none" w:pos="1800" w:val="clear"/>
              </w:tabs>
              <w:ind w:firstLine="0" w:left="0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4000000">
            <w:pPr>
              <w:widowControl w:val="0"/>
              <w:tabs>
                <w:tab w:leader="none" w:pos="1800" w:val="clear"/>
              </w:tabs>
              <w:ind w:firstLine="0" w:left="0" w:right="-10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Оказание услуг по ремонту </w:t>
            </w:r>
            <w:r>
              <w:rPr>
                <w:sz w:val="18"/>
              </w:rPr>
              <w:t>ксерокопировальных</w:t>
            </w:r>
            <w:r>
              <w:rPr>
                <w:sz w:val="18"/>
              </w:rPr>
              <w:t xml:space="preserve"> аппаратов для нужд ЛОГБУ "Сясьстройский ДСП"</w:t>
            </w:r>
          </w:p>
        </w:tc>
        <w:tc>
          <w:tcPr>
            <w:tcW w:type="dxa" w:w="113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5000000">
            <w:pPr>
              <w:widowControl w:val="0"/>
              <w:tabs>
                <w:tab w:leader="none" w:pos="1800" w:val="clear"/>
              </w:tabs>
              <w:ind w:firstLine="0" w:left="0" w:right="-105"/>
              <w:jc w:val="center"/>
              <w:rPr>
                <w:sz w:val="18"/>
              </w:rPr>
            </w:pPr>
            <w:r>
              <w:rPr>
                <w:sz w:val="18"/>
              </w:rPr>
              <w:t>Усл. ед.</w:t>
            </w:r>
          </w:p>
        </w:tc>
        <w:tc>
          <w:tcPr>
            <w:tcW w:type="dxa" w:w="9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6000000">
            <w:pPr>
              <w:widowControl w:val="0"/>
              <w:tabs>
                <w:tab w:leader="none" w:pos="1800" w:val="clear"/>
              </w:tabs>
              <w:ind w:firstLine="0" w:left="0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type="dxa" w:w="21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7000000">
            <w:pPr>
              <w:rPr>
                <w:sz w:val="18"/>
              </w:rPr>
            </w:pPr>
          </w:p>
        </w:tc>
        <w:tc>
          <w:tcPr>
            <w:tcW w:type="dxa" w:w="18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8000000">
            <w:pPr>
              <w:rPr>
                <w:sz w:val="18"/>
              </w:rPr>
            </w:pPr>
          </w:p>
        </w:tc>
      </w:tr>
    </w:tbl>
    <w:p w14:paraId="99000000">
      <w:pPr>
        <w:widowControl w:val="0"/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</w:p>
    <w:p w14:paraId="9A000000">
      <w:pPr>
        <w:tabs>
          <w:tab w:leader="none" w:pos="1800" w:val="clear"/>
        </w:tabs>
        <w:ind w:hanging="1800" w:left="1800"/>
        <w:rPr>
          <w:b w:val="1"/>
          <w:sz w:val="22"/>
        </w:rPr>
      </w:pPr>
    </w:p>
    <w:p w14:paraId="9B000000">
      <w:pPr>
        <w:tabs>
          <w:tab w:leader="none" w:pos="1800" w:val="clear"/>
        </w:tabs>
        <w:ind w:hanging="1800" w:left="1800"/>
        <w:rPr>
          <w:b w:val="1"/>
          <w:sz w:val="22"/>
        </w:rPr>
      </w:pPr>
    </w:p>
    <w:tbl>
      <w:tblPr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5148"/>
        <w:gridCol w:w="4680"/>
      </w:tblGrid>
      <w:tr>
        <w:tc>
          <w:tcPr>
            <w:tcW w:type="dxa" w:w="5148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C000000">
            <w:pPr>
              <w:tabs>
                <w:tab w:leader="none" w:pos="0" w:val="left"/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>Заказчик</w:t>
            </w:r>
          </w:p>
        </w:tc>
        <w:tc>
          <w:tcPr>
            <w:tcW w:type="dxa" w:w="4680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D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>Исполнитель</w:t>
            </w:r>
          </w:p>
        </w:tc>
      </w:tr>
      <w:tr>
        <w:tc>
          <w:tcPr>
            <w:tcW w:type="dxa" w:w="5148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E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>Директор</w:t>
            </w:r>
            <w:r>
              <w:rPr>
                <w:sz w:val="22"/>
              </w:rPr>
              <w:t xml:space="preserve"> ЛОГБУ «Сясьстройский ДСП»</w:t>
            </w:r>
          </w:p>
          <w:p w14:paraId="9F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</w:p>
          <w:p w14:paraId="A0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>________________ Журавель М.Б.</w:t>
            </w:r>
          </w:p>
        </w:tc>
        <w:tc>
          <w:tcPr>
            <w:tcW w:type="dxa" w:w="4680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1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 xml:space="preserve">Индивидуальный предприниматель </w:t>
            </w:r>
          </w:p>
          <w:p w14:paraId="A2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</w:p>
          <w:p w14:paraId="A3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>____________</w:t>
            </w:r>
            <w:r>
              <w:rPr>
                <w:sz w:val="22"/>
              </w:rPr>
              <w:t>_  Громов</w:t>
            </w:r>
            <w:r>
              <w:rPr>
                <w:sz w:val="22"/>
              </w:rPr>
              <w:t xml:space="preserve"> Д.Н.</w:t>
            </w:r>
          </w:p>
        </w:tc>
      </w:tr>
    </w:tbl>
    <w:p w14:paraId="A4000000"/>
    <w:sectPr>
      <w:pgSz w:h="16838" w:orient="portrait" w:w="11906"/>
      <w:pgMar w:bottom="709" w:footer="720" w:gutter="0" w:header="720" w:left="1134" w:right="567" w:top="340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decimal"/>
      <w:lvlText w:val="%1.%2."/>
      <w:lvlJc w:val="left"/>
      <w:pPr>
        <w:ind w:hanging="450" w:left="810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."/>
      <w:lvlJc w:val="left"/>
      <w:pPr>
        <w:ind w:hanging="720" w:left="1080"/>
      </w:pPr>
      <w:rPr>
        <w:rFonts w:ascii="Times New Roman" w:hAnsi="Times New Roman"/>
        <w:b w:val="0"/>
        <w:sz w:val="24"/>
      </w:rPr>
    </w:lvl>
    <w:lvl w:ilvl="3">
      <w:start w:val="1"/>
      <w:numFmt w:val="decimal"/>
      <w:lvlText w:val="%1.%2.%3.%4."/>
      <w:lvlJc w:val="left"/>
      <w:pPr>
        <w:ind w:hanging="720" w:left="1080"/>
      </w:pPr>
      <w:rPr>
        <w:rFonts w:ascii="Times New Roman" w:hAnsi="Times New Roman"/>
        <w:b w:val="0"/>
        <w:sz w:val="24"/>
      </w:rPr>
    </w:lvl>
    <w:lvl w:ilvl="4">
      <w:start w:val="1"/>
      <w:numFmt w:val="decimal"/>
      <w:lvlText w:val="%1.%2.%3.%4.%5."/>
      <w:lvlJc w:val="left"/>
      <w:pPr>
        <w:ind w:hanging="1080" w:left="1440"/>
      </w:pPr>
      <w:rPr>
        <w:rFonts w:ascii="Times New Roman" w:hAnsi="Times New Roman"/>
        <w:b w:val="0"/>
        <w:sz w:val="24"/>
      </w:rPr>
    </w:lvl>
    <w:lvl w:ilvl="5">
      <w:start w:val="1"/>
      <w:numFmt w:val="decimal"/>
      <w:lvlText w:val="%1.%2.%3.%4.%5.%6."/>
      <w:lvlJc w:val="left"/>
      <w:pPr>
        <w:ind w:hanging="1080" w:left="1440"/>
      </w:pPr>
      <w:rPr>
        <w:rFonts w:ascii="Times New Roman" w:hAnsi="Times New Roman"/>
        <w:b w:val="0"/>
        <w:sz w:val="24"/>
      </w:rPr>
    </w:lvl>
    <w:lvl w:ilvl="6">
      <w:start w:val="1"/>
      <w:numFmt w:val="decimal"/>
      <w:lvlText w:val="%1.%2.%3.%4.%5.%6.%7."/>
      <w:lvlJc w:val="left"/>
      <w:pPr>
        <w:ind w:hanging="1080" w:left="1440"/>
      </w:pPr>
      <w:rPr>
        <w:rFonts w:ascii="Times New Roman" w:hAnsi="Times New Roman"/>
        <w:b w:val="0"/>
        <w:sz w:val="24"/>
      </w:rPr>
    </w:lvl>
    <w:lvl w:ilvl="7">
      <w:start w:val="1"/>
      <w:numFmt w:val="decimal"/>
      <w:lvlText w:val="%1.%2.%3.%4.%5.%6.%7.%8."/>
      <w:lvlJc w:val="left"/>
      <w:pPr>
        <w:ind w:hanging="1440" w:left="1800"/>
      </w:pPr>
      <w:rPr>
        <w:rFonts w:ascii="Times New Roman" w:hAnsi="Times New Roman"/>
        <w:b w:val="0"/>
        <w:sz w:val="24"/>
      </w:rPr>
    </w:lvl>
    <w:lvl w:ilvl="8">
      <w:start w:val="1"/>
      <w:numFmt w:val="decimal"/>
      <w:lvlText w:val="%1.%2.%3.%4.%5.%6.%7.%8.%9."/>
      <w:lvlJc w:val="left"/>
      <w:pPr>
        <w:ind w:hanging="1440" w:left="1800"/>
      </w:pPr>
      <w:rPr>
        <w:rFonts w:ascii="Times New Roman" w:hAnsi="Times New Roman"/>
        <w:b w:val="0"/>
        <w:sz w:val="24"/>
      </w:rPr>
    </w:lvl>
  </w:abstractNum>
  <w:abstractNum w:abstractNumId="1">
    <w:lvl w:ilvl="0">
      <w:start w:val="1"/>
      <w:numFmt w:val="decimal"/>
      <w:lvlText w:val="%1."/>
      <w:lvlJc w:val="left"/>
      <w:pPr>
        <w:ind w:hanging="360" w:left="2520"/>
      </w:pPr>
    </w:lvl>
    <w:lvl w:ilvl="1">
      <w:start w:val="1"/>
      <w:numFmt w:val="decimal"/>
      <w:lvlText w:val="%1.%2."/>
      <w:lvlJc w:val="left"/>
      <w:pPr>
        <w:ind w:hanging="360" w:left="2520"/>
      </w:pPr>
    </w:lvl>
    <w:lvl w:ilvl="2">
      <w:start w:val="1"/>
      <w:numFmt w:val="decimal"/>
      <w:lvlText w:val="%1.%2.%3."/>
      <w:lvlJc w:val="left"/>
      <w:pPr>
        <w:ind w:hanging="720" w:left="2880"/>
      </w:pPr>
    </w:lvl>
    <w:lvl w:ilvl="3">
      <w:start w:val="1"/>
      <w:numFmt w:val="decimal"/>
      <w:lvlText w:val="%1.%2.%3.%4."/>
      <w:lvlJc w:val="left"/>
      <w:pPr>
        <w:ind w:hanging="720" w:left="2880"/>
      </w:pPr>
    </w:lvl>
    <w:lvl w:ilvl="4">
      <w:start w:val="1"/>
      <w:numFmt w:val="decimal"/>
      <w:lvlText w:val="%1.%2.%3.%4.%5."/>
      <w:lvlJc w:val="left"/>
      <w:pPr>
        <w:ind w:hanging="1080" w:left="3240"/>
      </w:pPr>
    </w:lvl>
    <w:lvl w:ilvl="5">
      <w:start w:val="1"/>
      <w:numFmt w:val="decimal"/>
      <w:lvlText w:val="%1.%2.%3.%4.%5.%6."/>
      <w:lvlJc w:val="left"/>
      <w:pPr>
        <w:ind w:hanging="1080" w:left="3240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440" w:left="3600"/>
      </w:pPr>
    </w:lvl>
    <w:lvl w:ilvl="8">
      <w:start w:val="1"/>
      <w:numFmt w:val="decimal"/>
      <w:lvlText w:val="%1.%2.%3.%4.%5.%6.%7.%8.%9."/>
      <w:lvlJc w:val="left"/>
      <w:pPr>
        <w:ind w:hanging="1440" w:left="3600"/>
      </w:pPr>
    </w:lvl>
  </w:abstractNum>
  <w:abstractNum w:abstractNumId="2">
    <w:lvl w:ilvl="0">
      <w:start w:val="4"/>
      <w:numFmt w:val="decimal"/>
      <w:lvlText w:val="%1."/>
      <w:lvlJc w:val="left"/>
      <w:pPr>
        <w:ind w:hanging="360" w:left="360"/>
      </w:pPr>
    </w:lvl>
    <w:lvl w:ilvl="1">
      <w:start w:val="9"/>
      <w:numFmt w:val="decimal"/>
      <w:lvlText w:val="%1.%2."/>
      <w:lvlJc w:val="left"/>
      <w:pPr>
        <w:ind w:hanging="360" w:left="360"/>
      </w:pPr>
      <w:rPr>
        <w:b w:val="0"/>
      </w:rPr>
    </w:lvl>
    <w:lvl w:ilvl="2">
      <w:start w:val="1"/>
      <w:numFmt w:val="decimal"/>
      <w:lvlText w:val="%1.%2.%3."/>
      <w:lvlJc w:val="left"/>
      <w:pPr>
        <w:ind w:hanging="720" w:left="720"/>
      </w:pPr>
    </w:lvl>
    <w:lvl w:ilvl="3">
      <w:start w:val="1"/>
      <w:numFmt w:val="decimal"/>
      <w:lvlText w:val="%1.%2.%3.%4."/>
      <w:lvlJc w:val="left"/>
      <w:pPr>
        <w:ind w:hanging="720" w:left="720"/>
      </w:pPr>
    </w:lvl>
    <w:lvl w:ilvl="4">
      <w:start w:val="1"/>
      <w:numFmt w:val="decimal"/>
      <w:lvlText w:val="%1.%2.%3.%4.%5."/>
      <w:lvlJc w:val="left"/>
      <w:pPr>
        <w:ind w:hanging="1080" w:left="1080"/>
      </w:pPr>
    </w:lvl>
    <w:lvl w:ilvl="5">
      <w:start w:val="1"/>
      <w:numFmt w:val="decimal"/>
      <w:lvlText w:val="%1.%2.%3.%4.%5.%6."/>
      <w:lvlJc w:val="left"/>
      <w:pPr>
        <w:ind w:hanging="1080" w:left="1080"/>
      </w:pPr>
    </w:lvl>
    <w:lvl w:ilvl="6">
      <w:start w:val="1"/>
      <w:numFmt w:val="decimal"/>
      <w:lvlText w:val="%1.%2.%3.%4.%5.%6.%7."/>
      <w:lvlJc w:val="left"/>
      <w:pPr>
        <w:ind w:hanging="1080" w:left="1080"/>
      </w:pPr>
    </w:lvl>
    <w:lvl w:ilvl="7">
      <w:start w:val="1"/>
      <w:numFmt w:val="decimal"/>
      <w:lvlText w:val="%1.%2.%3.%4.%5.%6.%7.%8."/>
      <w:lvlJc w:val="left"/>
      <w:pPr>
        <w:ind w:hanging="1440" w:left="1440"/>
      </w:pPr>
    </w:lvl>
    <w:lvl w:ilvl="8">
      <w:start w:val="1"/>
      <w:numFmt w:val="decimal"/>
      <w:lvlText w:val="%1.%2.%3.%4.%5.%6.%7.%8.%9."/>
      <w:lvlJc w:val="left"/>
      <w:pPr>
        <w:ind w:hanging="1440" w:left="1440"/>
      </w:pPr>
    </w:lvl>
  </w:abstractNum>
  <w:abstractNum w:abstractNumId="3">
    <w:lvl w:ilvl="0">
      <w:start w:val="6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9" w:type="paragraph">
    <w:name w:val="Normal"/>
    <w:link w:val="Style_9_ch"/>
    <w:uiPriority w:val="0"/>
    <w:qFormat/>
    <w:pPr>
      <w:spacing w:after="0" w:line="240" w:lineRule="auto"/>
      <w:ind/>
    </w:pPr>
    <w:rPr>
      <w:rFonts w:ascii="Times New Roman" w:hAnsi="Times New Roman"/>
      <w:sz w:val="24"/>
    </w:rPr>
  </w:style>
  <w:style w:default="1" w:styleId="Style_9_ch" w:type="character">
    <w:name w:val="Normal"/>
    <w:link w:val="Style_9"/>
    <w:rPr>
      <w:rFonts w:ascii="Times New Roman" w:hAnsi="Times New Roman"/>
      <w:sz w:val="24"/>
    </w:rPr>
  </w:style>
  <w:style w:styleId="Style_6" w:type="paragraph">
    <w:name w:val="Body Text Indent 3"/>
    <w:basedOn w:val="Style_9"/>
    <w:link w:val="Style_6_ch"/>
    <w:pPr>
      <w:ind w:firstLine="360" w:left="0"/>
      <w:jc w:val="both"/>
    </w:pPr>
    <w:rPr>
      <w:rFonts w:ascii="Arial" w:hAnsi="Arial"/>
      <w:sz w:val="20"/>
    </w:rPr>
  </w:style>
  <w:style w:styleId="Style_6_ch" w:type="character">
    <w:name w:val="Body Text Indent 3"/>
    <w:basedOn w:val="Style_9_ch"/>
    <w:link w:val="Style_6"/>
    <w:rPr>
      <w:rFonts w:ascii="Arial" w:hAnsi="Arial"/>
      <w:sz w:val="20"/>
    </w:rPr>
  </w:style>
  <w:style w:styleId="Style_11" w:type="paragraph">
    <w:name w:val="toc 2"/>
    <w:next w:val="Style_9"/>
    <w:link w:val="Style_11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11_ch" w:type="character">
    <w:name w:val="toc 2"/>
    <w:link w:val="Style_11"/>
    <w:rPr>
      <w:rFonts w:ascii="XO Thames" w:hAnsi="XO Thames"/>
      <w:sz w:val="28"/>
    </w:rPr>
  </w:style>
  <w:style w:styleId="Style_12" w:type="paragraph">
    <w:name w:val="toc 4"/>
    <w:next w:val="Style_9"/>
    <w:link w:val="Style_12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2_ch" w:type="character">
    <w:name w:val="toc 4"/>
    <w:link w:val="Style_12"/>
    <w:rPr>
      <w:rFonts w:ascii="XO Thames" w:hAnsi="XO Thames"/>
      <w:sz w:val="28"/>
    </w:rPr>
  </w:style>
  <w:style w:styleId="Style_13" w:type="paragraph">
    <w:name w:val="Default"/>
    <w:link w:val="Style_13_ch"/>
    <w:pPr>
      <w:spacing w:after="0" w:line="240" w:lineRule="auto"/>
      <w:ind/>
    </w:pPr>
    <w:rPr>
      <w:rFonts w:ascii="Calibri" w:hAnsi="Calibri"/>
      <w:color w:val="000000"/>
      <w:sz w:val="24"/>
    </w:rPr>
  </w:style>
  <w:style w:styleId="Style_13_ch" w:type="character">
    <w:name w:val="Default"/>
    <w:link w:val="Style_13"/>
    <w:rPr>
      <w:rFonts w:ascii="Calibri" w:hAnsi="Calibri"/>
      <w:color w:val="000000"/>
      <w:sz w:val="24"/>
    </w:rPr>
  </w:style>
  <w:style w:styleId="Style_14" w:type="paragraph">
    <w:name w:val="toc 6"/>
    <w:next w:val="Style_9"/>
    <w:link w:val="Style_1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4_ch" w:type="character">
    <w:name w:val="toc 6"/>
    <w:link w:val="Style_14"/>
    <w:rPr>
      <w:rFonts w:ascii="XO Thames" w:hAnsi="XO Thames"/>
      <w:sz w:val="28"/>
    </w:rPr>
  </w:style>
  <w:style w:styleId="Style_15" w:type="paragraph">
    <w:name w:val="toc 7"/>
    <w:next w:val="Style_9"/>
    <w:link w:val="Style_1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5_ch" w:type="character">
    <w:name w:val="toc 7"/>
    <w:link w:val="Style_15"/>
    <w:rPr>
      <w:rFonts w:ascii="XO Thames" w:hAnsi="XO Thames"/>
      <w:sz w:val="28"/>
    </w:rPr>
  </w:style>
  <w:style w:styleId="Style_3" w:type="paragraph">
    <w:name w:val="Normal (Web)"/>
    <w:basedOn w:val="Style_9"/>
    <w:link w:val="Style_3_ch"/>
    <w:pPr>
      <w:spacing w:afterAutospacing="on" w:beforeAutospacing="on"/>
      <w:ind/>
    </w:pPr>
    <w:rPr>
      <w:color w:val="000000"/>
    </w:rPr>
  </w:style>
  <w:style w:styleId="Style_3_ch" w:type="character">
    <w:name w:val="Normal (Web)"/>
    <w:basedOn w:val="Style_9_ch"/>
    <w:link w:val="Style_3"/>
    <w:rPr>
      <w:color w:val="000000"/>
    </w:rPr>
  </w:style>
  <w:style w:styleId="Style_16" w:type="paragraph">
    <w:name w:val="heading 3"/>
    <w:basedOn w:val="Style_9"/>
    <w:link w:val="Style_16_ch"/>
    <w:uiPriority w:val="9"/>
    <w:qFormat/>
    <w:pPr>
      <w:spacing w:afterAutospacing="on" w:beforeAutospacing="on"/>
      <w:ind/>
      <w:outlineLvl w:val="2"/>
    </w:pPr>
    <w:rPr>
      <w:b w:val="1"/>
      <w:sz w:val="27"/>
    </w:rPr>
  </w:style>
  <w:style w:styleId="Style_16_ch" w:type="character">
    <w:name w:val="heading 3"/>
    <w:basedOn w:val="Style_9_ch"/>
    <w:link w:val="Style_16"/>
    <w:rPr>
      <w:b w:val="1"/>
      <w:sz w:val="27"/>
    </w:rPr>
  </w:style>
  <w:style w:styleId="Style_7" w:type="paragraph">
    <w:name w:val="1KG=K9"/>
    <w:link w:val="Style_7_ch"/>
    <w:pPr>
      <w:spacing w:after="0" w:line="240" w:lineRule="auto"/>
      <w:ind/>
    </w:pPr>
    <w:rPr>
      <w:rFonts w:ascii="MS Sans Serif" w:hAnsi="MS Sans Serif"/>
      <w:sz w:val="20"/>
    </w:rPr>
  </w:style>
  <w:style w:styleId="Style_7_ch" w:type="character">
    <w:name w:val="1KG=K9"/>
    <w:link w:val="Style_7"/>
    <w:rPr>
      <w:rFonts w:ascii="MS Sans Serif" w:hAnsi="MS Sans Serif"/>
      <w:sz w:val="20"/>
    </w:rPr>
  </w:style>
  <w:style w:styleId="Style_8" w:type="paragraph">
    <w:name w:val="Body Text Indent 2"/>
    <w:basedOn w:val="Style_9"/>
    <w:link w:val="Style_8_ch"/>
    <w:pPr>
      <w:ind w:firstLine="360" w:left="0"/>
      <w:jc w:val="both"/>
    </w:pPr>
    <w:rPr>
      <w:sz w:val="28"/>
    </w:rPr>
  </w:style>
  <w:style w:styleId="Style_8_ch" w:type="character">
    <w:name w:val="Body Text Indent 2"/>
    <w:basedOn w:val="Style_9_ch"/>
    <w:link w:val="Style_8"/>
    <w:rPr>
      <w:sz w:val="28"/>
    </w:rPr>
  </w:style>
  <w:style w:styleId="Style_17" w:type="paragraph">
    <w:name w:val="Body Text 2"/>
    <w:basedOn w:val="Style_9"/>
    <w:link w:val="Style_17_ch"/>
    <w:pPr>
      <w:ind/>
      <w:jc w:val="both"/>
    </w:pPr>
    <w:rPr>
      <w:sz w:val="22"/>
    </w:rPr>
  </w:style>
  <w:style w:styleId="Style_17_ch" w:type="character">
    <w:name w:val="Body Text 2"/>
    <w:basedOn w:val="Style_9_ch"/>
    <w:link w:val="Style_17"/>
    <w:rPr>
      <w:sz w:val="22"/>
    </w:rPr>
  </w:style>
  <w:style w:styleId="Style_18" w:type="paragraph">
    <w:name w:val="ConsNonformat"/>
    <w:link w:val="Style_18_ch"/>
    <w:pPr>
      <w:spacing w:after="0" w:line="240" w:lineRule="auto"/>
      <w:ind/>
    </w:pPr>
    <w:rPr>
      <w:rFonts w:ascii="Consultant" w:hAnsi="Consultant"/>
      <w:sz w:val="20"/>
    </w:rPr>
  </w:style>
  <w:style w:styleId="Style_18_ch" w:type="character">
    <w:name w:val="ConsNonformat"/>
    <w:link w:val="Style_18"/>
    <w:rPr>
      <w:rFonts w:ascii="Consultant" w:hAnsi="Consultant"/>
      <w:sz w:val="20"/>
    </w:rPr>
  </w:style>
  <w:style w:styleId="Style_19" w:type="paragraph">
    <w:name w:val="toc 3"/>
    <w:next w:val="Style_9"/>
    <w:link w:val="Style_1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9_ch" w:type="character">
    <w:name w:val="toc 3"/>
    <w:link w:val="Style_19"/>
    <w:rPr>
      <w:rFonts w:ascii="XO Thames" w:hAnsi="XO Thames"/>
      <w:sz w:val="28"/>
    </w:rPr>
  </w:style>
  <w:style w:styleId="Style_4" w:type="paragraph">
    <w:name w:val="List Paragraph"/>
    <w:basedOn w:val="Style_9"/>
    <w:link w:val="Style_4_ch"/>
    <w:pPr>
      <w:ind w:firstLine="0" w:left="720"/>
      <w:contextualSpacing w:val="1"/>
    </w:pPr>
  </w:style>
  <w:style w:styleId="Style_4_ch" w:type="character">
    <w:name w:val="List Paragraph"/>
    <w:basedOn w:val="Style_9_ch"/>
    <w:link w:val="Style_4"/>
  </w:style>
  <w:style w:styleId="Style_20" w:type="paragraph">
    <w:name w:val="heading 5"/>
    <w:next w:val="Style_9"/>
    <w:link w:val="Style_2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0_ch" w:type="character">
    <w:name w:val="heading 5"/>
    <w:link w:val="Style_20"/>
    <w:rPr>
      <w:rFonts w:ascii="XO Thames" w:hAnsi="XO Thames"/>
      <w:b w:val="1"/>
      <w:sz w:val="22"/>
    </w:rPr>
  </w:style>
  <w:style w:styleId="Style_21" w:type="paragraph">
    <w:name w:val="Strong"/>
    <w:basedOn w:val="Style_22"/>
    <w:link w:val="Style_21_ch"/>
    <w:rPr>
      <w:b w:val="1"/>
    </w:rPr>
  </w:style>
  <w:style w:styleId="Style_21_ch" w:type="character">
    <w:name w:val="Strong"/>
    <w:basedOn w:val="Style_22_ch"/>
    <w:link w:val="Style_21"/>
    <w:rPr>
      <w:b w:val="1"/>
    </w:rPr>
  </w:style>
  <w:style w:styleId="Style_10" w:type="paragraph">
    <w:name w:val="heading 1"/>
    <w:next w:val="Style_9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23" w:type="paragraph">
    <w:name w:val="Hyperlink"/>
    <w:basedOn w:val="Style_22"/>
    <w:link w:val="Style_23_ch"/>
    <w:rPr>
      <w:color w:themeColor="hyperlink" w:val="0000FF"/>
      <w:u w:val="single"/>
    </w:rPr>
  </w:style>
  <w:style w:styleId="Style_23_ch" w:type="character">
    <w:name w:val="Hyperlink"/>
    <w:basedOn w:val="Style_22_ch"/>
    <w:link w:val="Style_23"/>
    <w:rPr>
      <w:color w:themeColor="hyperlink" w:val="0000FF"/>
      <w:u w:val="single"/>
    </w:rPr>
  </w:style>
  <w:style w:styleId="Style_24" w:type="paragraph">
    <w:name w:val="Footnote"/>
    <w:link w:val="Style_24_ch"/>
    <w:pPr>
      <w:ind w:firstLine="851" w:left="0"/>
      <w:jc w:val="both"/>
    </w:pPr>
    <w:rPr>
      <w:rFonts w:ascii="XO Thames" w:hAnsi="XO Thames"/>
      <w:sz w:val="22"/>
    </w:rPr>
  </w:style>
  <w:style w:styleId="Style_24_ch" w:type="character">
    <w:name w:val="Footnote"/>
    <w:link w:val="Style_24"/>
    <w:rPr>
      <w:rFonts w:ascii="XO Thames" w:hAnsi="XO Thames"/>
      <w:sz w:val="22"/>
    </w:rPr>
  </w:style>
  <w:style w:styleId="Style_25" w:type="paragraph">
    <w:name w:val="toc 1"/>
    <w:next w:val="Style_9"/>
    <w:link w:val="Style_2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5_ch" w:type="character">
    <w:name w:val="toc 1"/>
    <w:link w:val="Style_25"/>
    <w:rPr>
      <w:rFonts w:ascii="XO Thames" w:hAnsi="XO Thames"/>
      <w:b w:val="1"/>
      <w:sz w:val="28"/>
    </w:rPr>
  </w:style>
  <w:style w:styleId="Style_26" w:type="paragraph">
    <w:name w:val="Header and Footer"/>
    <w:link w:val="Style_26_ch"/>
    <w:pPr>
      <w:spacing w:line="240" w:lineRule="auto"/>
      <w:ind/>
      <w:jc w:val="both"/>
    </w:pPr>
    <w:rPr>
      <w:rFonts w:ascii="XO Thames" w:hAnsi="XO Thames"/>
      <w:sz w:val="20"/>
    </w:rPr>
  </w:style>
  <w:style w:styleId="Style_26_ch" w:type="character">
    <w:name w:val="Header and Footer"/>
    <w:link w:val="Style_26"/>
    <w:rPr>
      <w:rFonts w:ascii="XO Thames" w:hAnsi="XO Thames"/>
      <w:sz w:val="20"/>
    </w:rPr>
  </w:style>
  <w:style w:styleId="Style_22" w:type="paragraph">
    <w:name w:val="Default Paragraph Font"/>
    <w:link w:val="Style_22_ch"/>
  </w:style>
  <w:style w:styleId="Style_22_ch" w:type="character">
    <w:name w:val="Default Paragraph Font"/>
    <w:link w:val="Style_22"/>
  </w:style>
  <w:style w:styleId="Style_27" w:type="paragraph">
    <w:name w:val="toc 9"/>
    <w:next w:val="Style_9"/>
    <w:link w:val="Style_2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7_ch" w:type="character">
    <w:name w:val="toc 9"/>
    <w:link w:val="Style_27"/>
    <w:rPr>
      <w:rFonts w:ascii="XO Thames" w:hAnsi="XO Thames"/>
      <w:sz w:val="28"/>
    </w:rPr>
  </w:style>
  <w:style w:styleId="Style_28" w:type="paragraph">
    <w:name w:val="toc 8"/>
    <w:next w:val="Style_9"/>
    <w:link w:val="Style_2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8_ch" w:type="character">
    <w:name w:val="toc 8"/>
    <w:link w:val="Style_28"/>
    <w:rPr>
      <w:rFonts w:ascii="XO Thames" w:hAnsi="XO Thames"/>
      <w:sz w:val="28"/>
    </w:rPr>
  </w:style>
  <w:style w:styleId="Style_29" w:type="paragraph">
    <w:name w:val="No Spacing"/>
    <w:link w:val="Style_29_ch"/>
    <w:pPr>
      <w:spacing w:after="0" w:line="240" w:lineRule="auto"/>
      <w:ind/>
    </w:pPr>
    <w:rPr>
      <w:rFonts w:ascii="Calibri" w:hAnsi="Calibri"/>
    </w:rPr>
  </w:style>
  <w:style w:styleId="Style_29_ch" w:type="character">
    <w:name w:val="No Spacing"/>
    <w:link w:val="Style_29"/>
    <w:rPr>
      <w:rFonts w:ascii="Calibri" w:hAnsi="Calibri"/>
    </w:rPr>
  </w:style>
  <w:style w:styleId="Style_30" w:type="paragraph">
    <w:name w:val="toc 5"/>
    <w:next w:val="Style_9"/>
    <w:link w:val="Style_30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0_ch" w:type="character">
    <w:name w:val="toc 5"/>
    <w:link w:val="Style_30"/>
    <w:rPr>
      <w:rFonts w:ascii="XO Thames" w:hAnsi="XO Thames"/>
      <w:sz w:val="28"/>
    </w:rPr>
  </w:style>
  <w:style w:styleId="Style_31" w:type="paragraph">
    <w:name w:val="Subtitle"/>
    <w:next w:val="Style_9"/>
    <w:link w:val="Style_31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1_ch" w:type="character">
    <w:name w:val="Subtitle"/>
    <w:link w:val="Style_31"/>
    <w:rPr>
      <w:rFonts w:ascii="XO Thames" w:hAnsi="XO Thames"/>
      <w:i w:val="1"/>
      <w:sz w:val="24"/>
    </w:rPr>
  </w:style>
  <w:style w:styleId="Style_2" w:type="paragraph">
    <w:name w:val="Title"/>
    <w:basedOn w:val="Style_9"/>
    <w:link w:val="Style_2_ch"/>
    <w:uiPriority w:val="10"/>
    <w:qFormat/>
    <w:pPr>
      <w:ind/>
      <w:jc w:val="center"/>
    </w:pPr>
    <w:rPr>
      <w:sz w:val="32"/>
    </w:rPr>
  </w:style>
  <w:style w:styleId="Style_2_ch" w:type="character">
    <w:name w:val="Title"/>
    <w:basedOn w:val="Style_9_ch"/>
    <w:link w:val="Style_2"/>
    <w:rPr>
      <w:sz w:val="32"/>
    </w:rPr>
  </w:style>
  <w:style w:styleId="Style_32" w:type="paragraph">
    <w:name w:val="heading 4"/>
    <w:next w:val="Style_9"/>
    <w:link w:val="Style_3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2_ch" w:type="character">
    <w:name w:val="heading 4"/>
    <w:link w:val="Style_32"/>
    <w:rPr>
      <w:rFonts w:ascii="XO Thames" w:hAnsi="XO Thames"/>
      <w:b w:val="1"/>
      <w:sz w:val="24"/>
    </w:rPr>
  </w:style>
  <w:style w:styleId="Style_1" w:type="paragraph">
    <w:name w:val="Body Text"/>
    <w:basedOn w:val="Style_9"/>
    <w:link w:val="Style_1_ch"/>
    <w:pPr>
      <w:ind/>
      <w:jc w:val="both"/>
    </w:pPr>
  </w:style>
  <w:style w:styleId="Style_1_ch" w:type="character">
    <w:name w:val="Body Text"/>
    <w:basedOn w:val="Style_9_ch"/>
    <w:link w:val="Style_1"/>
  </w:style>
  <w:style w:styleId="Style_5" w:type="paragraph">
    <w:name w:val="Body Text Indent"/>
    <w:basedOn w:val="Style_9"/>
    <w:link w:val="Style_5_ch"/>
    <w:pPr>
      <w:ind w:firstLine="360" w:left="0"/>
      <w:jc w:val="both"/>
    </w:pPr>
  </w:style>
  <w:style w:styleId="Style_5_ch" w:type="character">
    <w:name w:val="Body Text Indent"/>
    <w:basedOn w:val="Style_9_ch"/>
    <w:link w:val="Style_5"/>
  </w:style>
  <w:style w:styleId="Style_33" w:type="paragraph">
    <w:name w:val="heading 2"/>
    <w:next w:val="Style_9"/>
    <w:link w:val="Style_3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3_ch" w:type="character">
    <w:name w:val="heading 2"/>
    <w:link w:val="Style_33"/>
    <w:rPr>
      <w:rFonts w:ascii="XO Thames" w:hAnsi="XO Thames"/>
      <w:b w:val="1"/>
      <w:sz w:val="28"/>
    </w:rPr>
  </w:style>
  <w:style w:styleId="Style_34" w:type="table">
    <w:name w:val="Table Grid"/>
    <w:basedOn w:val="Style_35"/>
    <w:pPr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3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2026-09-24T13:46:33Z</dcterms:modified>
</cp:coreProperties>
</file>