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1" w:lineRule="exact"/>
        <w:widowControl w:val="off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МУНИЦИПАЛЬНЫЙ КОНТРАКТ №</w:t>
      </w:r>
      <w:r>
        <w:rPr>
          <w:rFonts w:ascii="Times New Roman" w:hAnsi="Times New Roman" w:eastAsia="Open Sans" w:cs="Times New Roman"/>
          <w:b/>
          <w:bCs/>
          <w:color w:val="000000" w:themeColor="text1"/>
          <w:sz w:val="24"/>
          <w:szCs w:val="24"/>
        </w:rPr>
        <w:t xml:space="preserve"> </w:t>
      </w:r>
      <w:r/>
    </w:p>
    <w:p>
      <w:pPr>
        <w:jc w:val="center"/>
        <w:spacing w:after="0" w:line="271" w:lineRule="exact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</w:t>
      </w:r>
      <w:bookmarkStart w:id="0" w:name="_GoBack"/>
      <w:r>
        <w:rPr>
          <w:rFonts w:ascii="Times New Roman" w:hAnsi="Times New Roman"/>
          <w:b/>
          <w:bCs/>
          <w:sz w:val="24"/>
          <w:szCs w:val="24"/>
        </w:rPr>
        <w:t xml:space="preserve">оказание услуг </w:t>
      </w:r>
      <w:r>
        <w:rPr>
          <w:rFonts w:ascii="Times New Roman" w:hAnsi="Times New Roman"/>
          <w:b/>
          <w:bCs/>
          <w:sz w:val="24"/>
          <w:szCs w:val="24"/>
        </w:rPr>
        <w:t xml:space="preserve">по разработке сметной документации на изготовление и монтаж вертикальной лестницы (тип П1-1) (Ленинградская область, </w:t>
      </w:r>
      <w:r>
        <w:rPr>
          <w:rFonts w:ascii="Times New Roman" w:hAnsi="Times New Roman"/>
          <w:b/>
          <w:bCs/>
          <w:sz w:val="24"/>
          <w:szCs w:val="24"/>
        </w:rPr>
        <w:t xml:space="preserve">г</w:t>
      </w:r>
      <w:r>
        <w:rPr>
          <w:rFonts w:ascii="Times New Roman" w:hAnsi="Times New Roman"/>
          <w:b/>
          <w:bCs/>
          <w:sz w:val="24"/>
          <w:szCs w:val="24"/>
        </w:rPr>
        <w:t xml:space="preserve">.С</w:t>
      </w:r>
      <w:r>
        <w:rPr>
          <w:rFonts w:ascii="Times New Roman" w:hAnsi="Times New Roman"/>
          <w:b/>
          <w:bCs/>
          <w:sz w:val="24"/>
          <w:szCs w:val="24"/>
        </w:rPr>
        <w:t xml:space="preserve">ланцы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пер.Трестовский</w:t>
      </w:r>
      <w:r>
        <w:rPr>
          <w:rFonts w:ascii="Times New Roman" w:hAnsi="Times New Roman"/>
          <w:b/>
          <w:bCs/>
          <w:sz w:val="24"/>
          <w:szCs w:val="24"/>
        </w:rPr>
        <w:t xml:space="preserve">, д.6) с получением положительной негосударственной экспертизы</w:t>
      </w:r>
      <w:bookmarkEnd w:id="0"/>
      <w:r/>
      <w:r/>
    </w:p>
    <w:p>
      <w:pPr>
        <w:jc w:val="center"/>
        <w:spacing w:after="0" w:line="271" w:lineRule="exact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/>
    </w:p>
    <w:p>
      <w:pPr>
        <w:ind w:left="7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Сланцы </w:t>
      </w:r>
      <w:r>
        <w:rPr>
          <w:rFonts w:ascii="Times New Roman" w:hAnsi="Times New Roman"/>
          <w:sz w:val="24"/>
          <w:szCs w:val="24"/>
        </w:rPr>
        <w:t xml:space="preserve">Ленинградская</w:t>
      </w:r>
      <w:r>
        <w:rPr>
          <w:rFonts w:ascii="Times New Roman" w:hAnsi="Times New Roman"/>
          <w:sz w:val="24"/>
          <w:szCs w:val="24"/>
        </w:rPr>
        <w:t xml:space="preserve"> обл.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«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2026 г.</w:t>
      </w:r>
      <w:r/>
    </w:p>
    <w:p>
      <w:pPr>
        <w:ind w:left="7"/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Администрация муниципального образования Сланцевский муниципальный район Ленинградской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,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от имени муниципального образования Сланцевский муниципальный район Ленинградской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, именуемая в дальнейшем «Заказчик», в лице 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 xml:space="preserve">заместителя главы администрации Щербаковой Маргариты Алексеевны</w:t>
      </w:r>
      <w:r>
        <w:rPr>
          <w:rFonts w:ascii="Times New Roman" w:hAnsi="Times New Roman" w:cs="Times New Roman"/>
          <w:sz w:val="24"/>
          <w:szCs w:val="24"/>
        </w:rPr>
        <w:t xml:space="preserve">, действующей на основании доверенности № 4 от </w:t>
      </w:r>
      <w:r>
        <w:rPr>
          <w:rFonts w:ascii="Times New Roman" w:hAnsi="Times New Roman" w:cs="Times New Roman"/>
          <w:sz w:val="24"/>
          <w:szCs w:val="24"/>
        </w:rPr>
        <w:t xml:space="preserve">12.01.202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года с одной стороны, и _____________________________________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именуемое в дальнейшем «Исполнитель», 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лице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_________________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, действующей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на основании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______________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, с другой стороны, совместно именуемые в дальнейшем «Стороны», а по отдельнос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ти «Сторона», с соблюдением требований Гражданского </w:t>
      </w:r>
      <w:hyperlink r:id="rId11" w:tooltip="consultantplus://offline/main?base=LAW;n=112770;fld=134" w:history="1">
        <w:r>
          <w:rPr>
            <w:rStyle w:val="1067"/>
            <w:rFonts w:eastAsiaTheme="minorHAnsi"/>
          </w:rPr>
          <w:t xml:space="preserve">кодекса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Российской Федерации, на основании п. 4 ч. 1 ст.93 Федерального </w:t>
      </w:r>
      <w:hyperlink r:id="rId12" w:tooltip="consultantplus://offline/main?base=LAW;n=116659;fld=134" w:history="1">
        <w:r>
          <w:rPr>
            <w:rStyle w:val="1067"/>
            <w:rFonts w:eastAsiaTheme="minorHAnsi"/>
          </w:rPr>
          <w:t xml:space="preserve">закона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от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05 апреля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2013 г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контракт (далее – Контракт) о нижеследующем.</w:t>
      </w:r>
      <w:r/>
    </w:p>
    <w:p>
      <w:pPr>
        <w:ind w:left="567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1. Предмет контракта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1.1. Заказчик поручает, а Исполнитель обязуется оказать услугу по разработке сметной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изготовление и монтаж вертикальной лестницы (тип П1-1) (Ленинградская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.С</w:t>
      </w:r>
      <w:r>
        <w:rPr>
          <w:rFonts w:ascii="Times New Roman" w:hAnsi="Times New Roman" w:cs="Times New Roman"/>
          <w:sz w:val="24"/>
          <w:szCs w:val="24"/>
        </w:rPr>
        <w:t xml:space="preserve">ланцы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пер.Трестовский</w:t>
      </w:r>
      <w:r>
        <w:rPr>
          <w:rFonts w:ascii="Times New Roman" w:hAnsi="Times New Roman" w:cs="Times New Roman"/>
          <w:sz w:val="24"/>
          <w:szCs w:val="24"/>
        </w:rPr>
        <w:t xml:space="preserve">, д.6)</w:t>
      </w:r>
      <w:r>
        <w:rPr>
          <w:rFonts w:ascii="Times New Roman" w:hAnsi="Times New Roman" w:cs="Times New Roman"/>
          <w:sz w:val="24"/>
          <w:szCs w:val="24"/>
        </w:rPr>
        <w:t xml:space="preserve"> с получением положительной негосударственной экспертизы (далее по тексту – Услуги), согласно Техническому заданию (Приложение № 1 к Контракту),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 Заказчик обязуется принять оказанные услуги и оплатить их в порядке и на условиях, предусмотренных настоящим контрактом в соответствии с Расчетом стоимости (Приложение № 2 к Контракту).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 xml:space="preserve">В объем </w:t>
      </w:r>
      <w:r>
        <w:rPr>
          <w:rFonts w:ascii="Times New Roman" w:hAnsi="Times New Roman" w:cs="Times New Roman"/>
          <w:bCs/>
          <w:sz w:val="24"/>
          <w:szCs w:val="24"/>
        </w:rPr>
        <w:t xml:space="preserve">сметной</w:t>
      </w:r>
      <w:r>
        <w:rPr>
          <w:rFonts w:ascii="Times New Roman" w:hAnsi="Times New Roman" w:cs="Times New Roman"/>
          <w:sz w:val="24"/>
          <w:szCs w:val="24"/>
        </w:rPr>
        <w:t xml:space="preserve"> документации, разрабатываемой Исполнителем, согласно п.1.1. настоящего Контракта, входят следующие документы: </w:t>
      </w:r>
      <w:r>
        <w:rPr>
          <w:rFonts w:ascii="Times New Roman" w:hAnsi="Times New Roman" w:cs="Times New Roman"/>
          <w:bCs/>
          <w:sz w:val="24"/>
          <w:szCs w:val="24"/>
        </w:rPr>
        <w:t xml:space="preserve">сметная</w:t>
      </w:r>
      <w:r>
        <w:rPr>
          <w:rFonts w:ascii="Times New Roman" w:hAnsi="Times New Roman" w:cs="Times New Roman"/>
          <w:sz w:val="24"/>
          <w:szCs w:val="24"/>
        </w:rPr>
        <w:t xml:space="preserve"> документация в соответствии с Техническим заданием (Приложение № 1 к настоящему Контракту),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положительное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заключение негосударственной экспертизы, содержащее выводы о соответствии сметной документации сметным нормативам в области сметного нормирования и ценообразования.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  <w:tab w:val="left" w:pos="1276" w:leader="none"/>
          <w:tab w:val="left" w:pos="1701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</w:t>
      </w:r>
      <w:r>
        <w:rPr>
          <w:rFonts w:ascii="Times New Roman" w:hAnsi="Times New Roman" w:cs="Times New Roman"/>
          <w:sz w:val="24"/>
          <w:szCs w:val="24"/>
        </w:rPr>
        <w:tab/>
        <w:t xml:space="preserve">Качество и результат оказанных Исполнителем Услуг должны соответствовать требованиям,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установленным Техническим заданием (Приложение № 1 к Контракту), а также настоящим контрактом.</w:t>
      </w:r>
      <w:r>
        <w:rPr>
          <w:color w:val="000000" w:themeColor="text1"/>
          <w:sz w:val="24"/>
          <w:szCs w:val="24"/>
        </w:rPr>
      </w:r>
      <w:r/>
    </w:p>
    <w:p>
      <w:pPr>
        <w:pStyle w:val="1091"/>
        <w:ind w:left="567"/>
        <w:jc w:val="both"/>
        <w:tabs>
          <w:tab w:val="left" w:pos="1134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1.4. ОКПД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41.10.10.000 Документация проектная для строительства.</w:t>
      </w:r>
      <w:r>
        <w:rPr>
          <w:color w:val="000000" w:themeColor="text1"/>
          <w:sz w:val="24"/>
          <w:szCs w:val="24"/>
        </w:rPr>
      </w:r>
      <w:r/>
    </w:p>
    <w:p>
      <w:pPr>
        <w:pStyle w:val="1091"/>
        <w:ind w:left="567"/>
        <w:jc w:val="both"/>
        <w:tabs>
          <w:tab w:val="left" w:pos="1134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1.5. Идентификационный код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закупки: </w:t>
      </w:r>
      <w:r>
        <w:rPr>
          <w:color w:val="000000" w:themeColor="text1"/>
          <w:sz w:val="24"/>
          <w:szCs w:val="24"/>
        </w:rPr>
      </w:r>
      <w:hyperlink r:id="rId13" w:tooltip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w:history="1">
        <w:r>
          <w:rPr>
            <w:rStyle w:val="1007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100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100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</w:t>
        </w:r>
        <w:r>
          <w:rPr>
            <w:rStyle w:val="100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100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</w:hyperlink>
      <w:r>
        <w:rPr>
          <w:color w:val="000000" w:themeColor="text1"/>
          <w:sz w:val="24"/>
          <w:szCs w:val="24"/>
        </w:rPr>
      </w:r>
      <w:r/>
    </w:p>
    <w:p>
      <w:pPr>
        <w:pStyle w:val="1088"/>
        <w:ind w:left="0"/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ind w:firstLine="851"/>
        <w:jc w:val="center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eastAsia="ru-RU"/>
        </w:rPr>
        <w:tab/>
        <w:t xml:space="preserve">Место оказания услуг и сроки по контракту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 xml:space="preserve">2.1.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zh-CN"/>
        </w:rPr>
        <w:tab/>
        <w:t xml:space="preserve">Место оказания Услуг: Сланцевское городское поселение Сланцевского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муниципального района Ленинградской области.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2.2.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  <w:t xml:space="preserve">Срок оказания Услуг: 25 рабочих дней с момента подписания Контракта.</w:t>
      </w:r>
      <w:r/>
    </w:p>
    <w:p>
      <w:pPr>
        <w:pStyle w:val="1088"/>
        <w:ind w:left="0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Цена контракта и порядок расче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тов</w:t>
      </w:r>
      <w:r>
        <w:rPr>
          <w:color w:val="000000" w:themeColor="text1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bookmarkStart w:id="1" w:name="page3"/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bookmarkEnd w:id="1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Цена Контракта составляет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567"/>
        <w:jc w:val="both"/>
        <w:spacing w:after="0" w:afterAutospacing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3.2.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Цена контракта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и иных обязательных платежей в бюджеты бюджетной системы Российской Федерации, связанных с оплатой контракта, если в соответствии с законодател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ьством Российской Федерации о налогах и сборах такие налоги,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сборы и иные обязательные платежи подлежат уплате 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бюджеты бюджетной системы Российской Федерации заказчиком.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3.3. Цена контракта включает в себя стоимость Услуг, все налоги, сборы, таможенные пошлины и другие обязательные платежи, а также иные расходы Исполнителя, связанные с исполнением настоящего контракта.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3.4. 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Федеральным законом № 44-ФЗ.</w:t>
      </w:r>
      <w:r/>
    </w:p>
    <w:p>
      <w:pPr>
        <w:ind w:firstLine="567"/>
        <w:jc w:val="both"/>
        <w:keepNext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3.5. Финансирование осуществляется за счет средств бюджета Сланцевского муниципального района Ленинградской области.</w:t>
      </w:r>
      <w:r/>
    </w:p>
    <w:p>
      <w:pPr>
        <w:ind w:left="567"/>
        <w:jc w:val="both"/>
        <w:keepNext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3.6. Оплата по контракту производится Заказчиком в следующем порядке: </w:t>
      </w:r>
      <w:r/>
    </w:p>
    <w:p>
      <w:pPr>
        <w:numPr>
          <w:ilvl w:val="0"/>
          <w:numId w:val="7"/>
        </w:numPr>
        <w:ind w:left="0" w:firstLine="567"/>
        <w:jc w:val="both"/>
        <w:spacing w:after="0" w:line="240" w:lineRule="auto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авансовый платеж не предусмотрен;</w:t>
      </w:r>
      <w:r/>
    </w:p>
    <w:p>
      <w:pPr>
        <w:numPr>
          <w:ilvl w:val="0"/>
          <w:numId w:val="7"/>
        </w:numPr>
        <w:ind w:left="0" w:firstLine="567"/>
        <w:jc w:val="both"/>
        <w:spacing w:after="0" w:line="240" w:lineRule="auto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оплата услуг производится </w:t>
      </w:r>
      <w:r>
        <w:rPr>
          <w:rFonts w:ascii="Times New Roman" w:hAnsi="Times New Roman" w:eastAsia="Times New Roman" w:cs="Times New Roman"/>
          <w:sz w:val="24"/>
          <w:szCs w:val="24"/>
          <w:lang w:eastAsia="ru-RU" w:bidi="ru-RU"/>
        </w:rPr>
        <w:t xml:space="preserve">единовременно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течение 7 (семи) рабочих дней, по факту надлежащего оказания услуг после подписания Заказчиком акта о приемке оказанных услуг и предоставления Исполнителем счета и </w:t>
      </w:r>
      <w:r>
        <w:rPr>
          <w:rFonts w:ascii="Times New Roman" w:hAnsi="Times New Roman" w:eastAsia="Times New Roman" w:cs="Times New Roman"/>
          <w:sz w:val="24"/>
          <w:szCs w:val="24"/>
          <w:lang w:eastAsia="ru-RU" w:bidi="ru-RU"/>
        </w:rPr>
        <w:t xml:space="preserve">документации, указанной в п. 5.2 настоящего контракта,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безналичному расчёту путём перечисления денежных средств в рублях Российской Федерации на расчётный счёт Исполнителя в соответствии с правилами казначейского исполнения бюджета Ленинградской области.</w:t>
      </w:r>
      <w:r/>
    </w:p>
    <w:p>
      <w:pPr>
        <w:ind w:firstLine="567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3.7.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Под датой оплаты Стороны понимают дату списания денежных сре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дств с 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ицевого счета Заказчика.</w:t>
      </w:r>
      <w:r/>
    </w:p>
    <w:p>
      <w:pPr>
        <w:ind w:firstLine="567"/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 w:line="240" w:lineRule="auto"/>
        <w:widowControl w:val="off"/>
        <w:tabs>
          <w:tab w:val="left" w:pos="38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Обязательства Сторон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4.1. Исполнитель обязуется: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4.1.1.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4"/>
          <w:szCs w:val="24"/>
          <w:lang w:eastAsia="ru-RU"/>
        </w:rPr>
        <w:t xml:space="preserve">Оказывать Услуги в объеме и сроки, в полном соответствии с условиями настоящего контракта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4.1.2. Оказывать Услуги надлежащего качества в течение всего срока оказания Услуг.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4.1.3. Предоставить отчетную документацию за оказанные Услуги Заказчику в сроки в соответствии с настоящим контрактом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4.1.4. Не разглашать информацию Заказчика, о которой ему стало известно в связи с оказанием Услуг по контракту.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4.1.5. Нести все расходы, связанные с оказанием Услуг в рамках настоящего контракта.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4.1.6. Соответствовать требованиям, установленным в статье 31 Федерального закона № 44-ФЗ.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 Исполнитель вправе: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4.2.1. Требовать от Заказчика оплаты за Услуги, оказанные надлежащим образом,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настоящему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контракту.</w:t>
      </w:r>
      <w:r/>
    </w:p>
    <w:p>
      <w:pPr>
        <w:ind w:firstLine="567"/>
        <w:jc w:val="both"/>
        <w:spacing w:after="0" w:line="266" w:lineRule="exact"/>
        <w:shd w:val="clear" w:color="auto" w:fill="ffffff"/>
        <w:widowControl w:val="off"/>
        <w:rPr>
          <w:rFonts w:ascii="Times New Roman" w:hAnsi="Times New Roman" w:eastAsia="Times New Roman" w:cs="Times New Roman"/>
          <w:color w:val="000000"/>
          <w:spacing w:val="-9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4.3. Заказчик обязуется:</w:t>
      </w:r>
      <w:r>
        <w:rPr>
          <w:rFonts w:ascii="Times New Roman" w:hAnsi="Times New Roman" w:eastAsia="Times New Roman" w:cs="Times New Roman"/>
          <w:color w:val="000000"/>
          <w:spacing w:val="-9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9"/>
          <w:sz w:val="24"/>
          <w:szCs w:val="24"/>
          <w:lang w:eastAsia="ru-RU"/>
        </w:rPr>
        <w:tab/>
      </w:r>
      <w:r/>
    </w:p>
    <w:p>
      <w:pPr>
        <w:ind w:firstLine="567"/>
        <w:jc w:val="both"/>
        <w:spacing w:after="0" w:line="266" w:lineRule="exact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9"/>
          <w:sz w:val="24"/>
          <w:szCs w:val="24"/>
          <w:lang w:eastAsia="ru-RU"/>
        </w:rPr>
        <w:t xml:space="preserve">4.3.1.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Своевременно оплатить оказанные Услуги Исполнителя в соответствии с условиями настоящего контракта.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4.3.2. Подписать акт оказанных Услуг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настоящему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контракту при отсутствии замечаний. </w:t>
      </w:r>
      <w:r/>
    </w:p>
    <w:p>
      <w:pPr>
        <w:ind w:firstLine="567"/>
        <w:jc w:val="both"/>
        <w:spacing w:after="0" w:line="240" w:lineRule="auto"/>
        <w:tabs>
          <w:tab w:val="left" w:pos="567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4.4. Заказчик вправе: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4.4.1. Требовать от Исполнителя, надлежащего исполнения обязательств в соответствии с условиями настоящего контракта.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0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4.4.2. Контролировать ход оказания Услуг Исполнителем в любое удобное для Заказчика время. 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4.4.3. Запрашивать любую информацию о ходе исполнения обязательств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настоящему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контракту.</w:t>
      </w:r>
      <w:r/>
    </w:p>
    <w:p>
      <w:pPr>
        <w:ind w:left="727"/>
        <w:jc w:val="center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pacing w:val="-5"/>
          <w:sz w:val="24"/>
          <w:szCs w:val="24"/>
          <w:lang w:eastAsia="ru-RU"/>
        </w:rPr>
        <w:t xml:space="preserve">5. Сдача-приемка оказанных услуг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Исполнитель приступает к оказанию услуг по разработке </w:t>
      </w:r>
      <w:r>
        <w:rPr>
          <w:rFonts w:ascii="Times New Roman" w:hAnsi="Times New Roman"/>
          <w:bCs/>
          <w:sz w:val="24"/>
          <w:szCs w:val="24"/>
        </w:rPr>
        <w:t xml:space="preserve">сметной </w:t>
      </w:r>
      <w:r>
        <w:rPr>
          <w:rFonts w:ascii="Times New Roman" w:hAnsi="Times New Roman"/>
          <w:sz w:val="24"/>
          <w:szCs w:val="24"/>
        </w:rPr>
        <w:t xml:space="preserve">документации, указанной в разделе 1 настоящего Контракта, в срок, предусмотренный п.2.2. настоящего Контракта. Услуги, указанные в разделе 1 настоящего </w:t>
      </w:r>
      <w:r>
        <w:rPr>
          <w:rFonts w:ascii="Times New Roman" w:hAnsi="Times New Roman"/>
          <w:sz w:val="24"/>
          <w:szCs w:val="24"/>
        </w:rPr>
        <w:t xml:space="preserve">Контракта, Исполнитель выполняет в строгом соответствии с Техническим заданием (Приложение № 1 к Контракту) и условиями настоящего Контракта, требованиями СНиП, национальных и региональных стандартов, технических регламентов и иных нормативных документов. 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Исполнитель передает Заказчику полностью выполненную </w:t>
      </w:r>
      <w:r>
        <w:rPr>
          <w:rFonts w:ascii="Times New Roman" w:hAnsi="Times New Roman"/>
          <w:bCs/>
          <w:sz w:val="24"/>
          <w:szCs w:val="24"/>
        </w:rPr>
        <w:t xml:space="preserve">сметную</w:t>
      </w:r>
      <w:r>
        <w:rPr>
          <w:rFonts w:ascii="Times New Roman" w:hAnsi="Times New Roman"/>
          <w:sz w:val="24"/>
          <w:szCs w:val="24"/>
        </w:rPr>
        <w:t xml:space="preserve"> документацию по этапу проектирования в 1 (одном) экземпляре на бумажном носителе с предоставлением </w:t>
      </w:r>
      <w:r>
        <w:rPr>
          <w:rFonts w:ascii="Times New Roman" w:hAnsi="Times New Roman"/>
          <w:sz w:val="24"/>
          <w:szCs w:val="24"/>
        </w:rPr>
        <w:t xml:space="preserve">электронной версии на CD/DVD диске (в формате *</w:t>
      </w:r>
      <w:r>
        <w:rPr>
          <w:rFonts w:ascii="Times New Roman" w:hAnsi="Times New Roman"/>
          <w:sz w:val="24"/>
          <w:szCs w:val="24"/>
        </w:rPr>
        <w:t xml:space="preserve">pdf</w:t>
      </w:r>
      <w:r>
        <w:rPr>
          <w:rFonts w:ascii="Times New Roman" w:hAnsi="Times New Roman"/>
          <w:sz w:val="24"/>
          <w:szCs w:val="24"/>
        </w:rPr>
        <w:t xml:space="preserve">). Одновременно</w:t>
      </w:r>
      <w:bookmarkStart w:id="2" w:name="page7"/>
      <w:r/>
      <w:bookmarkEnd w:id="2"/>
      <w:r>
        <w:rPr>
          <w:rFonts w:ascii="Times New Roman" w:hAnsi="Times New Roman"/>
          <w:sz w:val="24"/>
          <w:szCs w:val="24"/>
        </w:rPr>
        <w:t xml:space="preserve"> с передачей Заказчику </w:t>
      </w:r>
      <w:r>
        <w:rPr>
          <w:rFonts w:ascii="Times New Roman" w:hAnsi="Times New Roman"/>
          <w:bCs/>
          <w:sz w:val="24"/>
          <w:szCs w:val="24"/>
        </w:rPr>
        <w:t xml:space="preserve">сметной</w:t>
      </w:r>
      <w:r>
        <w:rPr>
          <w:rFonts w:ascii="Times New Roman" w:hAnsi="Times New Roman"/>
          <w:sz w:val="24"/>
          <w:szCs w:val="24"/>
        </w:rPr>
        <w:t xml:space="preserve"> документации Исполнитель передает Заказчику акт оказанных услуг по разработке </w:t>
      </w:r>
      <w:r>
        <w:rPr>
          <w:rFonts w:ascii="Times New Roman" w:hAnsi="Times New Roman"/>
          <w:bCs/>
          <w:sz w:val="24"/>
          <w:szCs w:val="24"/>
        </w:rPr>
        <w:t xml:space="preserve">сметной</w:t>
      </w:r>
      <w:r>
        <w:rPr>
          <w:rFonts w:ascii="Times New Roman" w:hAnsi="Times New Roman"/>
          <w:sz w:val="24"/>
          <w:szCs w:val="24"/>
        </w:rPr>
        <w:t xml:space="preserve"> документации, положительную экспертизу проверки сметной документации организации имеющей соответствующие свидетельство (сертификат, лицензию) на данный вид деятельности. 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5.3. Приемка услуг включает в себя проверку услуг на соответствие требованиям настоящего контракта. 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5.4. По окончании оказания услуг в течение 5 (пяти) дней Исполнитель передает Заказчику счет, акт о приёмки оказанных услуг, документацию, согласно приложению № 1 к контракту.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5.5. В течение 5 (пяти) рабочих дней Заказчик осуществляет приемку услуг на соответствие требований Технического задания (Приложение № 1 к Контракту) и оформляет результат приемки в течение 3 (трех) рабочих дней. 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5.6. Для проверки оказанной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, предусмотренных контрактом, в части их соответствия условиям контракта Заказчик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обязан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 провести экспертизу. Экспертиза результатов, предусмотренных контрактом, проводится Заказчиком своими силами. По результатам такой экспертизы составляется документ по проведенной экспертизе.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5.7. В случае если по результатам такой экспертизы установлены нарушения требований контракта, в документе о проведенной экспертизе отражаются выявленные нарушения и составляется мотивированный отказ от приемки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 с указанием недостатков, допущенных Исполнителем, с предложением об устранении таких нарушений, в том числе с указанием срока их устранения.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5.8. В случае если по результатам такой экспертизы установлены нарушения требований контракта, не препятствующие приемке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в заключение, могут содержаться предложения об устранении данных нарушений, в том числе с указанием срока их устранения.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5.9. Заказчик вправе не отказывать в приемке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 случае выявления несоответствия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условиям контракта, если выявленное несоответствие не препятствует приемке у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слуг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zh-CN"/>
        </w:rPr>
        <w:t xml:space="preserve"> и устранено Исполнителем.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5.10. В случае если по результатам экспертизы не установлены на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рушения требований контракта, препятствующие приемке услуг, акт о приемки оказанных услуг подписывается Заказчиком. Датой приемки услуг считается день подписания Сторонами (их представителями - уполномоченными на то лицами) акта о приемке оказанных услуг. 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5.11. Обязанность Исполнителя по оказанию услуг Заказчику считается исполненной в момент подписания Заказчиком акта о приемке оказанных услуг</w:t>
      </w:r>
      <w:r>
        <w:rPr>
          <w:rFonts w:ascii="Times New Roman" w:hAnsi="Times New Roman" w:eastAsia="Times New Roman" w:cs="Times New Roman"/>
          <w:color w:val="339966"/>
          <w:sz w:val="24"/>
          <w:szCs w:val="24"/>
          <w:lang w:eastAsia="zh-CN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5.12. Подписанный Заказчиком акт о приемке оказанных услуг, является основанием для выставления Исполнителем счета Заказчику на оплату услуг. </w:t>
      </w:r>
      <w:r/>
    </w:p>
    <w:p>
      <w:pPr>
        <w:ind w:left="567"/>
        <w:jc w:val="center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bookmarkStart w:id="3" w:name="page11"/>
      <w:r/>
      <w:bookmarkEnd w:id="3"/>
      <w:r>
        <w:rPr>
          <w:rFonts w:ascii="Times New Roman" w:hAnsi="Times New Roman" w:eastAsia="Times New Roman" w:cs="Times New Roman"/>
          <w:b/>
          <w:spacing w:val="-5"/>
          <w:sz w:val="24"/>
          <w:szCs w:val="24"/>
          <w:lang w:eastAsia="ru-RU"/>
        </w:rPr>
        <w:t xml:space="preserve">6. Ответственность Сторон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6.2. Ответственность Заказчика: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zh-CN"/>
        </w:rPr>
        <w:t xml:space="preserve">вправе потребовать уплаты неустоек (штрафов, пеней).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6.2.2. Пеня начисляется за каждый день просрочки исполнения обязательства, предусмотренного настоящим контрактом, начиная со дня, следующего после дн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я истечения установленного настоящим контрактом срока исполнения обязательства. Такая пеня устанавливается  контрактом в размере 1/300 действующей на дату уплаты пеней ключевой ставки Центрального  Банка Российской Федерации  от не уплаченной в срок суммы.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настоящим контрактом, Исполнитель вправе взыскать с Заказчика штраф в размере 1000 рублей 00 копеек</w:t>
      </w:r>
      <w:r>
        <w:rPr>
          <w:rStyle w:val="1072"/>
          <w:rFonts w:ascii="Times New Roman" w:hAnsi="Times New Roman" w:eastAsia="Times New Roman" w:cs="Times New Roman"/>
          <w:sz w:val="24"/>
          <w:szCs w:val="24"/>
          <w:lang w:eastAsia="zh-CN"/>
        </w:rPr>
        <w:footnoteReference w:id="2"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6.3. Ответственность Исполнителя: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6.3.1.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  <w:lang w:eastAsia="zh-CN"/>
        </w:rPr>
        <w:t xml:space="preserve">В случае просрочки исполнения Исполнителем  обязательств (в том числе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  <w:lang w:eastAsia="zh-CN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6.3.2.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</w:t>
      </w:r>
      <w:r>
        <w:rPr>
          <w:rFonts w:ascii="Times New Roman" w:hAnsi="Times New Roman" w:eastAsia="Times New Roman" w:cs="Times New Roman"/>
          <w:sz w:val="24"/>
          <w:szCs w:val="20"/>
          <w:lang w:eastAsia="zh-CN"/>
        </w:rPr>
        <w:t xml:space="preserve">контрактом срока исполнения обязательства, и устанавливается контрактом в размере 1/300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дейст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6.3.3. За каждый факт неисполнения или ненадлежащего исполне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Заказчику  штраф в размере 10 % цены контракта (этапа) ___________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рублей ________ копеек</w:t>
      </w:r>
      <w:r>
        <w:rPr>
          <w:rStyle w:val="1072"/>
          <w:rFonts w:ascii="Times New Roman" w:hAnsi="Times New Roman" w:eastAsia="Times New Roman" w:cs="Times New Roman"/>
          <w:sz w:val="24"/>
          <w:szCs w:val="24"/>
          <w:lang w:eastAsia="zh-CN"/>
        </w:rPr>
        <w:footnoteReference w:id="3"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6.3.4. За каждый факт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1000 рублей 00 копеек</w:t>
      </w:r>
      <w:r>
        <w:rPr>
          <w:rStyle w:val="1072"/>
          <w:rFonts w:ascii="Times New Roman" w:hAnsi="Times New Roman" w:eastAsia="Times New Roman" w:cs="Times New Roman"/>
          <w:sz w:val="24"/>
          <w:szCs w:val="24"/>
          <w:lang w:eastAsia="zh-CN"/>
        </w:rPr>
        <w:footnoteReference w:id="4"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6.4.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spacing w:after="0" w:line="100" w:lineRule="atLeast"/>
        <w:rPr>
          <w:rFonts w:ascii="Calibri" w:hAnsi="Calibri" w:eastAsia="Calibri" w:cs="Calibri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zh-CN"/>
        </w:rPr>
        <w:t xml:space="preserve"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center"/>
        <w:spacing w:after="0" w:line="100" w:lineRule="atLeast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786" w:leader="none"/>
          <w:tab w:val="left" w:pos="1134" w:leader="none"/>
        </w:tabs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  <w:t xml:space="preserve">7. Гарантийные обязательства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Исполнитель гарантирует: 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7.1.1. Соответствие качества </w:t>
      </w:r>
      <w:r>
        <w:rPr>
          <w:rFonts w:ascii="Times New Roman" w:hAnsi="Times New Roman"/>
          <w:bCs/>
          <w:sz w:val="24"/>
          <w:szCs w:val="24"/>
        </w:rPr>
        <w:t xml:space="preserve">сметной</w:t>
      </w:r>
      <w:r>
        <w:rPr>
          <w:rFonts w:ascii="Times New Roman" w:hAnsi="Times New Roman"/>
          <w:sz w:val="24"/>
          <w:szCs w:val="24"/>
        </w:rPr>
        <w:t xml:space="preserve"> документации Технического задания (Приложение № 1 к Контракту), требованиям СНиП, технических регламентов, национальных и региональных стандартов и условиям настоящего Контракта.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7.1.2. Своевременное устранение недостатков и недоделок, возникших по вине Исполнителя и выявленных при выполнении и приемке услуг по изготовлению </w:t>
      </w:r>
      <w:r>
        <w:rPr>
          <w:rFonts w:ascii="Times New Roman" w:hAnsi="Times New Roman"/>
          <w:bCs/>
          <w:sz w:val="24"/>
          <w:szCs w:val="24"/>
        </w:rPr>
        <w:t xml:space="preserve">сметной </w:t>
      </w:r>
      <w:r>
        <w:rPr>
          <w:rFonts w:ascii="Times New Roman" w:hAnsi="Times New Roman"/>
          <w:sz w:val="24"/>
          <w:szCs w:val="24"/>
        </w:rPr>
        <w:t xml:space="preserve">документации.</w:t>
      </w:r>
      <w:r/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7.1.3. Письменно уведомлять о сроках устранения недостатков и недоделок, возникших по вине Исполнителя и выявленных при выполнении и приемке оказанных услуг по изготовлению </w:t>
      </w:r>
      <w:r>
        <w:rPr>
          <w:rFonts w:ascii="Times New Roman" w:hAnsi="Times New Roman"/>
          <w:bCs/>
          <w:sz w:val="24"/>
          <w:szCs w:val="24"/>
        </w:rPr>
        <w:t xml:space="preserve">сметной</w:t>
      </w:r>
      <w:r>
        <w:rPr>
          <w:rFonts w:ascii="Times New Roman" w:hAnsi="Times New Roman"/>
          <w:sz w:val="24"/>
          <w:szCs w:val="24"/>
        </w:rPr>
        <w:t xml:space="preserve"> документации.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786" w:leader="none"/>
          <w:tab w:val="left" w:pos="1134" w:leader="none"/>
        </w:tabs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</w:rPr>
        <w:t xml:space="preserve">7.2. Исполнитель гарантирует качество оказанных услуг в соответствии с настоящим контрактом, в объеме, указанном в Приложении № 1 к Контракту, действующими стандартами и требованиями, установленными в Российской Федерации.</w:t>
      </w:r>
      <w:r/>
    </w:p>
    <w:p>
      <w:pPr>
        <w:jc w:val="center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bCs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0"/>
          <w:lang w:eastAsia="ru-RU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851" w:leader="none"/>
        </w:tabs>
        <w:rPr>
          <w:rFonts w:ascii="Times New Roman" w:hAnsi="Times New Roman" w:eastAsia="Times New Roman" w:cs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pacing w:val="-5"/>
          <w:sz w:val="24"/>
          <w:szCs w:val="20"/>
          <w:lang w:eastAsia="ru-RU"/>
        </w:rPr>
        <w:t xml:space="preserve">8. Обстоятельства непреодолимой силы</w:t>
      </w:r>
      <w:r/>
    </w:p>
    <w:p>
      <w:pPr>
        <w:ind w:firstLine="567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8.1. 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Стороны освобождаются от 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настоящего контракта, а именно: пожара, стихийных бедствий, вой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ны, военных операций различного рода, блокад, запрета на экспорт/импорт, принятия органами государственной власти и управления, Центральным Банком России законодательных и нормативных актов, распоряжений, приказов, препятствующих исполнению обязательств по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 настоящему контракту. </w:t>
      </w:r>
      <w:r/>
    </w:p>
    <w:p>
      <w:pPr>
        <w:ind w:firstLine="567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8.2. Сторона, ссылающаяся на обстоятельства непреодолимой силы, обязана незамедлительно (не позднее, чем в 7-дневный срок с момента наступления) известить другую Сторону о наступле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нии этих обстоятельств.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по настоящему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 контракту. Несвоевременное извещение Стороной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  <w:r/>
    </w:p>
    <w:p>
      <w:pPr>
        <w:ind w:firstLine="567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8.3. Сторона, которая не может из-за обстоятельств непреодолимой силы выполнить обязательства по настоящему Контракту, должна с учетом положений Контракта приложить все усилия к тому, чтобы как можно скорее компенсировать это невыполнение.</w:t>
      </w:r>
      <w:r/>
    </w:p>
    <w:p>
      <w:pPr>
        <w:ind w:firstLine="567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8.4. Если обстоятельства непреодолимой силы или их последствия будут длиться более 1 (одного) месяца, то заинтересованная Сторона вправе потребовать досрочное расторжение контракта.</w:t>
      </w:r>
      <w:r/>
    </w:p>
    <w:p>
      <w:pPr>
        <w:ind w:firstLine="567"/>
        <w:jc w:val="center"/>
        <w:spacing w:after="0" w:line="240" w:lineRule="auto"/>
        <w:tabs>
          <w:tab w:val="left" w:pos="644" w:leader="none"/>
        </w:tabs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851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pacing w:val="-5"/>
          <w:sz w:val="24"/>
          <w:szCs w:val="24"/>
          <w:lang w:eastAsia="ru-RU"/>
        </w:rPr>
        <w:t xml:space="preserve">9. Изменение и расторжение Контракта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Изменение существенных условий настоящего Контракта при его исполнении не допускается, за исключением предусмотренных действующим законодательством.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9.2. Расторжение контракта допускается по соглашению сторон, по решению суда,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случае одностороннего отказа Стороны по настоящему Контракту от исполнения Контракта в соответствии с Гражданским Кодексом Российской Федерации.</w:t>
      </w:r>
      <w:r/>
    </w:p>
    <w:p>
      <w:pPr>
        <w:contextualSpacing/>
        <w:ind w:firstLine="567"/>
        <w:jc w:val="both"/>
        <w:spacing w:after="0" w:line="240" w:lineRule="auto"/>
        <w:tabs>
          <w:tab w:val="left" w:pos="567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9.3. Решение Заказчика об одностороннем отказе от исполнения Контракта вступает в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силу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  <w:r/>
    </w:p>
    <w:p>
      <w:pPr>
        <w:contextualSpacing/>
        <w:ind w:firstLine="567"/>
        <w:jc w:val="both"/>
        <w:spacing w:after="0" w:line="240" w:lineRule="auto"/>
        <w:tabs>
          <w:tab w:val="left" w:pos="567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9.4.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Данное правило не применяется в случае повторного нарушения Исполнителем условий Контракта, которые в соответствии с Гражданским Кодексом Российской Федерации является основанием для одностороннего отказа Заказчика от исполнения Контракта.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9.5. Расторжение настоящего Контракта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системе.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9.6. Заказчик 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обязан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принять решение об одностороннем отказе от исполнения Контракта в случаях, предусмотренных действующим законодательством.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9.7.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законодательством.</w:t>
      </w:r>
      <w:r/>
    </w:p>
    <w:p>
      <w:pPr>
        <w:contextualSpacing/>
        <w:ind w:firstLine="567"/>
        <w:jc w:val="center"/>
        <w:spacing w:after="0" w:line="240" w:lineRule="auto"/>
        <w:tabs>
          <w:tab w:val="left" w:pos="567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851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pacing w:val="-5"/>
          <w:sz w:val="24"/>
          <w:szCs w:val="24"/>
          <w:lang w:eastAsia="ru-RU"/>
        </w:rPr>
        <w:t xml:space="preserve">10. Антикоррупционная оговорка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10.1. 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 неправомерные преимущества или с иной неправомерной целью.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10.2. При исполнении своих обязательств по Контракту Стороны, их аффилированные лица, работники или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10.3. В случае появления у Стороны информации, что произошло или может произойти нарушение каких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  <w:r/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10.4.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  <w:r/>
    </w:p>
    <w:p>
      <w:pPr>
        <w:ind w:left="567"/>
        <w:jc w:val="center"/>
        <w:spacing w:after="0" w:line="240" w:lineRule="auto"/>
        <w:shd w:val="clear" w:color="auto" w:fill="ffffff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p>
      <w:pPr>
        <w:jc w:val="center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pacing w:val="-5"/>
          <w:sz w:val="24"/>
          <w:szCs w:val="24"/>
          <w:lang w:eastAsia="ru-RU"/>
        </w:rPr>
        <w:t xml:space="preserve">11. Прочие условия</w:t>
      </w:r>
      <w:r/>
    </w:p>
    <w:p>
      <w:pPr>
        <w:ind w:firstLine="567"/>
        <w:jc w:val="both"/>
        <w:spacing w:after="0" w:line="240" w:lineRule="auto"/>
        <w:shd w:val="clear" w:color="auto" w:fill="ffffff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11.1.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Настоящий Контра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кт вст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ru-RU"/>
        </w:rPr>
        <w:t xml:space="preserve">упает в силу с момента его подписания Сторонами и действует по 31 декабря 2026 года, а в части взаиморасчетов до полного исполнения сторонами своих обязательств.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11.2. Все приложения, дополнения и изменения к настоящему Контракту являются его неотъемлемой частью и имеют силу, если они выполнены в письменной форме и подписаны уполномоченными представителями Сторон.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11.3. Во всем, что не предусмотрено настоящим Контрактом, Стороны руководствуются действующим законодательством Российской Федерации.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11.4. Ни одна из Сторон не вправе передавать свои права и обязанности по Контракту третьим лицам без письменного согласия другой Стороны.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11.5. В случае изменения места нахождения, фактических адресов, банковских реквизитов Сторона обязана сообщить об этом письменно другой Стороне в течение 3 (трех) рабочих дней.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11.6. Все изменения и дополнения к настоящему Контракту совершаются в письменной форме в виде дополнительных соглашений к Контракту. Дополнительные соглашения заключаются в случаях, предусмотренных действующим законодательством Российской Федерации.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11.7. Все споры и разногласия, возникающие в связи с исполнением Контракта, по которым Стороны не достигли договоренности, передаются на рассмотрение в Арбитражный суд г. Санкт-Петербурга и Ленинградской области.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709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11.8. Настоящий Контракт составлен в двух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экземплярах, имеющих одинаковую юридическую силу и находящихся по одному у каждой стороны или Настоящий Контракт заключается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форме электронного документа и подписывается со стороны Исполнителя и Заказчика электронными цифровыми подписями уполномоченных лиц.</w:t>
      </w:r>
      <w:r/>
    </w:p>
    <w:p>
      <w:pPr>
        <w:ind w:firstLine="567"/>
        <w:jc w:val="both"/>
        <w:spacing w:after="0" w:line="240" w:lineRule="auto"/>
        <w:tabs>
          <w:tab w:val="left" w:pos="1134" w:leader="none"/>
        </w:tabs>
        <w:rPr>
          <w:rFonts w:ascii="Calibri" w:hAnsi="Calibri" w:eastAsia="Times New Roman" w:cs="Calibri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pacing w:val="-5"/>
          <w:sz w:val="24"/>
          <w:szCs w:val="24"/>
          <w:lang w:eastAsia="zh-CN"/>
        </w:rPr>
        <w:t xml:space="preserve">11.9. Неотъемлемой частью настоящего Контракта являются следующие Приложения: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Приложение </w:t>
      </w:r>
      <w:r>
        <w:rPr>
          <w:rFonts w:ascii="Times New Roman" w:hAnsi="Times New Roman" w:eastAsia="Segoe UI Symbol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– Техническое задание;</w:t>
      </w:r>
      <w:r/>
    </w:p>
    <w:p>
      <w:pPr>
        <w:ind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Приложение </w:t>
      </w:r>
      <w:r>
        <w:rPr>
          <w:rFonts w:ascii="Times New Roman" w:hAnsi="Times New Roman" w:eastAsia="Segoe UI Symbol" w:cs="Times New Roman"/>
          <w:sz w:val="24"/>
          <w:szCs w:val="24"/>
          <w:lang w:eastAsia="ru-RU"/>
        </w:rPr>
        <w:t xml:space="preserve">№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Расчет стоимости.</w:t>
      </w:r>
      <w:r/>
    </w:p>
    <w:p>
      <w:pPr>
        <w:ind w:left="987"/>
        <w:jc w:val="center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ind w:left="1582"/>
        <w:jc w:val="both"/>
        <w:spacing w:after="0" w:line="240" w:lineRule="auto"/>
        <w:widowControl w:val="off"/>
        <w:tabs>
          <w:tab w:val="left" w:pos="2407" w:leader="none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12. ЮРИДИЧЕСКИЕ АДРЕСА И РЕКВИЗИТЫ СТОРОН </w:t>
      </w:r>
      <w:r/>
    </w:p>
    <w:tbl>
      <w:tblPr>
        <w:tblW w:w="1023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7"/>
        <w:gridCol w:w="312"/>
        <w:gridCol w:w="5119"/>
      </w:tblGrid>
      <w:tr>
        <w:trPr>
          <w:jc w:val="center"/>
          <w:trHeight w:val="60"/>
        </w:trPr>
        <w:tc>
          <w:tcPr>
            <w:shd w:val="clear" w:color="auto" w:fill="auto"/>
            <w:tcW w:w="480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sz w:val="24"/>
                <w:szCs w:val="24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муниципального образования Сланцевский муниципальный район Ленинградской области </w:t>
            </w:r>
            <w:r>
              <w:rPr>
                <w:sz w:val="24"/>
                <w:szCs w:val="24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7" w:right="-1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Адрес: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188560,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Ленинградская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 обл., г. Сланцы, пер. Почтовый, д. 3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ИНН 4713008137    КПП 470701001               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7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Комитет финансов (администрация  Сланцевского муниципального  района,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/с 401000000025)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КС 03231643416420004500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7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en-US"/>
              </w:rPr>
              <w:t xml:space="preserve">ОКЦ № 1 СЗГУ Банка России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 //УФК по Ленинградской области г. Санкт-Петербург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ЕКС 40102810745370000098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БИК 044030098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ОКПО 43497407   ОКВЭД   84.11.3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ОКТМО – 41 642 000                                 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 w:hanging="142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ОГРН 1054700454940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7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Заместитель главы администрации 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49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1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/М.А. Щербакова/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auto" w:fill="auto"/>
            <w:tcW w:w="31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auto" w:fill="auto"/>
            <w:tcW w:w="5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Lucida Sans Unicode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Lucida Sans Unicode" w:cs="Times New Roman"/>
                <w:b/>
                <w:color w:val="000000" w:themeColor="text1"/>
                <w:sz w:val="24"/>
                <w:szCs w:val="24"/>
                <w:lang w:eastAsia="ru-RU" w:bidi="hi-IN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/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ind w:left="114" w:right="-1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14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ind w:left="114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_________________/____________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 xml:space="preserve">/</w:t>
            </w:r>
            <w:r>
              <w:rPr>
                <w:sz w:val="24"/>
                <w:szCs w:val="24"/>
              </w:rPr>
            </w:r>
            <w:r/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/>
    </w:p>
    <w:p>
      <w:pPr>
        <w:jc w:val="right"/>
        <w:spacing w:after="0"/>
        <w:tabs>
          <w:tab w:val="right" w:pos="9639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№ 1</w:t>
      </w:r>
      <w:r/>
    </w:p>
    <w:p>
      <w:pPr>
        <w:jc w:val="right"/>
        <w:spacing w:after="0"/>
        <w:tabs>
          <w:tab w:val="right" w:pos="9639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муниципальному контракту </w:t>
      </w:r>
      <w:r/>
    </w:p>
    <w:p>
      <w:pPr>
        <w:jc w:val="right"/>
        <w:spacing w:after="0"/>
        <w:tabs>
          <w:tab w:val="right" w:pos="9639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2026 года № </w:t>
      </w:r>
      <w:r>
        <w:rPr>
          <w:rFonts w:ascii="Times New Roman" w:hAnsi="Times New Roman" w:eastAsia="Open Sans" w:cs="Times New Roman"/>
          <w:b/>
          <w:bCs/>
          <w:color w:val="000000" w:themeColor="text1"/>
          <w:sz w:val="24"/>
          <w:szCs w:val="24"/>
        </w:rPr>
        <w:t xml:space="preserve"> </w:t>
      </w:r>
      <w:r/>
    </w:p>
    <w:p>
      <w:pPr>
        <w:jc w:val="center"/>
        <w:spacing w:after="0"/>
        <w:tabs>
          <w:tab w:val="right" w:pos="9639" w:leader="none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ТЕХНИЧЕСКОЕ ЗАДАНИЕ </w:t>
      </w:r>
      <w:r/>
    </w:p>
    <w:p>
      <w:pPr>
        <w:ind w:left="113" w:right="11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оказание услуг по разработке сметной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на изготовление и монтаж вертикальной лестницы (тип П1-1) (Ленинградская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.С</w:t>
      </w:r>
      <w:r>
        <w:rPr>
          <w:rFonts w:ascii="Times New Roman" w:hAnsi="Times New Roman" w:cs="Times New Roman"/>
          <w:sz w:val="24"/>
          <w:szCs w:val="24"/>
        </w:rPr>
        <w:t xml:space="preserve">ланцы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пер.Трестовский</w:t>
      </w:r>
      <w:r>
        <w:rPr>
          <w:rFonts w:ascii="Times New Roman" w:hAnsi="Times New Roman" w:cs="Times New Roman"/>
          <w:sz w:val="24"/>
          <w:szCs w:val="24"/>
        </w:rPr>
        <w:t xml:space="preserve">, д.6) с получением положительной негосударственной экспертизы</w:t>
      </w:r>
      <w:r/>
    </w:p>
    <w:p>
      <w:pPr>
        <w:ind w:left="113" w:right="11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tbl>
      <w:tblPr>
        <w:tblW w:w="1034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7764"/>
      </w:tblGrid>
      <w:tr>
        <w:trPr>
          <w:trHeight w:val="50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Перечень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основных</w:t>
            </w:r>
            <w:r/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данных и требований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Основные данные и требования</w:t>
            </w:r>
            <w:r/>
          </w:p>
        </w:tc>
      </w:tr>
      <w:tr>
        <w:trPr>
          <w:trHeight w:val="1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/>
          </w:p>
        </w:tc>
      </w:tr>
      <w:tr>
        <w:trPr>
          <w:trHeight w:val="1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Основание для оказания услуг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Контракт № </w:t>
            </w:r>
            <w:r>
              <w:rPr>
                <w:rFonts w:ascii="Times New Roman" w:hAnsi="Times New Roman" w:eastAsia="Open Sans" w:cs="Times New Roman"/>
                <w:b/>
                <w:bCs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»       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2026 года</w:t>
            </w:r>
            <w:r/>
          </w:p>
        </w:tc>
      </w:tr>
      <w:tr>
        <w:trPr>
          <w:trHeight w:val="1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Заказчик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Администрация муниципального образования Сланцевский район Ленинградской области</w:t>
            </w:r>
            <w:r/>
          </w:p>
        </w:tc>
      </w:tr>
      <w:tr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Источник финансирования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средства Сланцевского муниципального района Ленинградской области.</w:t>
            </w:r>
            <w:r/>
          </w:p>
        </w:tc>
      </w:tr>
      <w:tr>
        <w:trPr>
          <w:trHeight w:val="1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Срок разработки 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 рабочих дней</w:t>
            </w:r>
            <w:r/>
          </w:p>
        </w:tc>
      </w:tr>
      <w:tr>
        <w:trPr>
          <w:trHeight w:val="10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Проектная организация 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r/>
            <w:r/>
          </w:p>
        </w:tc>
      </w:tr>
      <w:tr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Основные требования 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widowControl w:val="off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 xml:space="preserve">- Разработать </w:t>
            </w:r>
            <w:r>
              <w:rPr>
                <w:rFonts w:ascii="Times New Roman" w:hAnsi="Times New Roman" w:eastAsia="Calibri" w:cs="Times New Roman"/>
                <w:bCs/>
              </w:rPr>
              <w:t xml:space="preserve">сметн</w:t>
            </w:r>
            <w:r>
              <w:rPr>
                <w:rFonts w:ascii="Times New Roman" w:hAnsi="Times New Roman" w:eastAsia="Calibri" w:cs="Times New Roman"/>
                <w:bCs/>
              </w:rPr>
              <w:t xml:space="preserve">ую</w:t>
            </w:r>
            <w:r>
              <w:rPr>
                <w:rFonts w:ascii="Times New Roman" w:hAnsi="Times New Roman" w:eastAsia="Calibri" w:cs="Times New Roman"/>
                <w:bCs/>
              </w:rPr>
              <w:t xml:space="preserve"> документаци</w:t>
            </w:r>
            <w:r>
              <w:rPr>
                <w:rFonts w:ascii="Times New Roman" w:hAnsi="Times New Roman" w:eastAsia="Calibri" w:cs="Times New Roman"/>
                <w:bCs/>
              </w:rPr>
              <w:t xml:space="preserve">ю</w:t>
            </w:r>
            <w:r>
              <w:rPr>
                <w:rFonts w:ascii="Times New Roman" w:hAnsi="Times New Roman" w:eastAsia="Calibri" w:cs="Times New Roman"/>
                <w:bCs/>
              </w:rPr>
              <w:t xml:space="preserve"> </w:t>
            </w:r>
            <w:r>
              <w:rPr>
                <w:rFonts w:ascii="Times New Roman" w:hAnsi="Times New Roman" w:eastAsia="Calibri" w:cs="Times New Roman"/>
              </w:rPr>
              <w:t xml:space="preserve">на изготовление и монтаж вертикальной лестницы (тип П1-1) (Ленинградская область, </w:t>
            </w:r>
            <w:r>
              <w:rPr>
                <w:rFonts w:ascii="Times New Roman" w:hAnsi="Times New Roman" w:eastAsia="Calibri" w:cs="Times New Roman"/>
              </w:rPr>
              <w:t xml:space="preserve">г</w:t>
            </w:r>
            <w:r>
              <w:rPr>
                <w:rFonts w:ascii="Times New Roman" w:hAnsi="Times New Roman" w:eastAsia="Calibri" w:cs="Times New Roman"/>
              </w:rPr>
              <w:t xml:space="preserve">.С</w:t>
            </w:r>
            <w:r>
              <w:rPr>
                <w:rFonts w:ascii="Times New Roman" w:hAnsi="Times New Roman" w:eastAsia="Calibri" w:cs="Times New Roman"/>
              </w:rPr>
              <w:t xml:space="preserve">ланцы</w:t>
            </w:r>
            <w:r>
              <w:rPr>
                <w:rFonts w:ascii="Times New Roman" w:hAnsi="Times New Roman" w:eastAsia="Calibri" w:cs="Times New Roman"/>
              </w:rPr>
              <w:t xml:space="preserve">, </w:t>
            </w:r>
            <w:r>
              <w:rPr>
                <w:rFonts w:ascii="Times New Roman" w:hAnsi="Times New Roman" w:eastAsia="Calibri" w:cs="Times New Roman"/>
              </w:rPr>
              <w:t xml:space="preserve">пер.Трестовский</w:t>
            </w:r>
            <w:r>
              <w:rPr>
                <w:rFonts w:ascii="Times New Roman" w:hAnsi="Times New Roman" w:eastAsia="Calibri" w:cs="Times New Roman"/>
              </w:rPr>
              <w:t xml:space="preserve">, д.6)</w:t>
            </w:r>
            <w:r>
              <w:rPr>
                <w:rFonts w:ascii="Times New Roman" w:hAnsi="Times New Roman" w:eastAsia="Calibri" w:cs="Times New Roman"/>
              </w:rPr>
              <w:t xml:space="preserve">.</w:t>
            </w:r>
            <w:r/>
          </w:p>
          <w:p>
            <w:pPr>
              <w:contextualSpacing/>
              <w:jc w:val="both"/>
              <w:spacing w:after="0" w:line="240" w:lineRule="auto"/>
              <w:widowControl w:val="off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 xml:space="preserve">- Получить положительное заключение негосударственной </w:t>
            </w:r>
            <w:r>
              <w:rPr>
                <w:rFonts w:ascii="Times New Roman" w:hAnsi="Times New Roman" w:eastAsia="Calibri" w:cs="Times New Roman"/>
              </w:rPr>
              <w:t xml:space="preserve">экспертизы достоверности определения сметной стоимости сметной документации</w:t>
            </w:r>
            <w:r>
              <w:rPr>
                <w:rFonts w:ascii="Times New Roman" w:hAnsi="Times New Roman" w:eastAsia="Calibri" w:cs="Times New Roman"/>
              </w:rPr>
              <w:t xml:space="preserve">.</w:t>
            </w:r>
            <w:r/>
          </w:p>
        </w:tc>
      </w:tr>
      <w:tr>
        <w:trPr>
          <w:cantSplit/>
          <w:trHeight w:val="12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экземпляров выдаваемой сметной документации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Документация передается Заказчику: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Сметная документация: - в электронном виде (в формате.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pdf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)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                                     - в печатном виде – 1 экз.</w:t>
            </w:r>
            <w:r/>
          </w:p>
        </w:tc>
      </w:tr>
      <w:tr>
        <w:trPr>
          <w:cantSplit/>
          <w:trHeight w:val="12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ind w:left="0" w:firstLine="214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Требования к сметной документации 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6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Сметную документацию выполнить в соответствии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: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30.12.2021 № 1046/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04.08.2020 № 421/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21.12.2020 № 812/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11.12.2020 № 774/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02.08.2023 № 551/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14.11.2023 № 817/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16.02.2024 № 102/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13.05.2024 № 323/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09.08.2024 № 524/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07.11.2024 № 747/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07.02.2025 № 69/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; </w:t>
            </w:r>
            <w:r/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 Приказом Минстроя России от 19.05.2025 № 299/пр.</w:t>
            </w:r>
            <w:r/>
          </w:p>
        </w:tc>
      </w:tr>
    </w:tbl>
    <w:p>
      <w:pPr>
        <w:ind w:left="113" w:right="11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/>
    </w:p>
    <w:tbl>
      <w:tblPr>
        <w:tblW w:w="10314" w:type="dxa"/>
        <w:tblLook w:val="04A0" w:firstRow="1" w:lastRow="0" w:firstColumn="1" w:lastColumn="0" w:noHBand="0" w:noVBand="1"/>
      </w:tblPr>
      <w:tblGrid>
        <w:gridCol w:w="5158"/>
        <w:gridCol w:w="5156"/>
      </w:tblGrid>
      <w:tr>
        <w:trPr/>
        <w:tc>
          <w:tcPr>
            <w:shd w:val="clear" w:color="auto" w:fill="auto"/>
            <w:tcW w:w="51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От Заказчика: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4"/>
              <w:ind w:right="-1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муниципального образования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auto" w:fill="auto"/>
            <w:tcW w:w="51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От Исполнителя:</w:t>
            </w:r>
            <w:r>
              <w:rPr>
                <w:sz w:val="24"/>
                <w:szCs w:val="24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617"/>
        </w:trPr>
        <w:tc>
          <w:tcPr>
            <w:shd w:val="clear" w:color="auto" w:fill="auto"/>
            <w:tcW w:w="51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________________/М.А. Щербакова/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auto" w:fill="auto"/>
            <w:tcW w:w="51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 /_____________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/</w:t>
            </w:r>
            <w:bookmarkStart w:id="4" w:name="_Hlk65582646"/>
            <w:r>
              <w:rPr>
                <w:sz w:val="24"/>
                <w:szCs w:val="24"/>
              </w:rPr>
            </w:r>
            <w:bookmarkEnd w:id="4"/>
            <w:r>
              <w:rPr>
                <w:sz w:val="24"/>
                <w:szCs w:val="24"/>
              </w:rPr>
            </w:r>
            <w:r/>
          </w:p>
        </w:tc>
      </w:tr>
    </w:tbl>
    <w:p>
      <w:pPr>
        <w:shd w:val="nil" w:color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highlight w:val="none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sz w:val="24"/>
          <w:highlight w:val="none"/>
          <w:lang w:eastAsia="ru-RU"/>
        </w:rPr>
      </w:r>
      <w:r/>
    </w:p>
    <w:p>
      <w:pPr>
        <w:jc w:val="right"/>
        <w:spacing w:after="0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lang w:eastAsia="ru-RU"/>
        </w:rPr>
        <w:t xml:space="preserve">Приложение № 2</w:t>
      </w:r>
      <w:r/>
    </w:p>
    <w:p>
      <w:pPr>
        <w:ind w:firstLine="567"/>
        <w:jc w:val="right"/>
        <w:spacing w:after="0"/>
        <w:shd w:val="clear" w:color="auto" w:fill="ffffff"/>
        <w:tabs>
          <w:tab w:val="left" w:pos="7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  <w:lang w:eastAsia="ru-RU"/>
        </w:rPr>
        <w:t xml:space="preserve">к муниципальному контракту</w:t>
      </w:r>
      <w:r/>
    </w:p>
    <w:p>
      <w:pPr>
        <w:ind w:firstLine="567"/>
        <w:jc w:val="right"/>
        <w:spacing w:after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  <w:lang w:eastAsia="ru-RU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2026 года </w:t>
      </w:r>
      <w:r>
        <w:rPr>
          <w:rFonts w:ascii="Times New Roman" w:hAnsi="Times New Roman" w:eastAsia="Times New Roman" w:cs="Times New Roman"/>
          <w:sz w:val="24"/>
          <w:lang w:eastAsia="ru-RU"/>
        </w:rPr>
        <w:t xml:space="preserve">№ </w:t>
      </w:r>
      <w:r>
        <w:rPr>
          <w:rFonts w:ascii="Times New Roman" w:hAnsi="Times New Roman" w:eastAsia="Open Sans" w:cs="Times New Roman"/>
          <w:b/>
          <w:bCs/>
          <w:color w:val="000000" w:themeColor="text1"/>
          <w:sz w:val="24"/>
          <w:szCs w:val="24"/>
        </w:rPr>
        <w:t xml:space="preserve"> </w:t>
      </w:r>
      <w:r/>
    </w:p>
    <w:p>
      <w:pPr>
        <w:ind w:firstLine="567"/>
        <w:jc w:val="center"/>
        <w:spacing w:after="0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/>
    </w:p>
    <w:p>
      <w:pPr>
        <w:ind w:firstLine="567"/>
        <w:jc w:val="center"/>
        <w:spacing w:after="0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</w:r>
      <w:r/>
    </w:p>
    <w:p>
      <w:pPr>
        <w:ind w:firstLine="567"/>
        <w:jc w:val="center"/>
        <w:spacing w:after="0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  <w:t xml:space="preserve">РАСЧЕТ СТОИМОСТИ УСЛУГ</w:t>
      </w:r>
      <w:r/>
    </w:p>
    <w:p>
      <w:pPr>
        <w:ind w:firstLine="567"/>
        <w:jc w:val="center"/>
        <w:spacing w:after="0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</w:r>
      <w:r/>
    </w:p>
    <w:tbl>
      <w:tblPr>
        <w:tblW w:w="5000" w:type="pct"/>
        <w:jc w:val="center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75"/>
        <w:gridCol w:w="992"/>
        <w:gridCol w:w="1134"/>
        <w:gridCol w:w="1418"/>
        <w:gridCol w:w="1162"/>
      </w:tblGrid>
      <w:tr>
        <w:trPr>
          <w:jc w:val="center"/>
          <w:trHeight w:val="30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275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услуг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Ед. изм.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Кол-во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Стоимость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 НДС/ без НДС</w:t>
            </w:r>
            <w:r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/>
          </w:p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 ед., руб.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 НДС/ без НДС</w:t>
            </w:r>
            <w:r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 </w:t>
            </w:r>
            <w:r/>
          </w:p>
          <w:p>
            <w:pPr>
              <w:jc w:val="center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руб.</w:t>
            </w:r>
            <w:r/>
          </w:p>
        </w:tc>
      </w:tr>
      <w:tr>
        <w:trPr>
          <w:jc w:val="center"/>
          <w:trHeight w:val="30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75" w:type="dxa"/>
            <w:vAlign w:val="center"/>
            <w:textDirection w:val="lrTb"/>
            <w:noWrap w:val="false"/>
          </w:tcPr>
          <w:p>
            <w:pPr>
              <w:ind w:left="142" w:right="112"/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Оказание услуг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по разработке сметной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изготовление и монтаж вертикальной лестницы (тип П1-1) (Ленинградская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ланцы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пер.Трестовский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д.6) с получением положительной негосударственной экспертизы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шт.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2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rPr>
          <w:jc w:val="center"/>
          <w:trHeight w:val="305"/>
        </w:trPr>
        <w:tc>
          <w:tcPr>
            <w:gridSpan w:val="5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81" w:type="dxa"/>
            <w:textDirection w:val="lrTb"/>
            <w:noWrap w:val="false"/>
          </w:tcPr>
          <w:p>
            <w:pPr>
              <w:jc w:val="right"/>
              <w:spacing w:after="0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/>
          </w:p>
        </w:tc>
      </w:tr>
    </w:tbl>
    <w:p>
      <w:pPr>
        <w:ind w:firstLine="709"/>
        <w:jc w:val="both"/>
        <w:spacing w:before="240" w:after="0"/>
        <w:shd w:val="clear" w:color="auto" w:fill="ffffff"/>
        <w:rPr>
          <w:rFonts w:ascii="Times New Roman" w:hAnsi="Times New Roman" w:eastAsia="Times New Roman" w:cs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pacing w:val="-3"/>
          <w:sz w:val="24"/>
          <w:szCs w:val="24"/>
          <w:lang w:eastAsia="ru-RU"/>
        </w:rPr>
        <w:t xml:space="preserve">Итого: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  <w:r/>
      <w:r>
        <w:rPr>
          <w:rFonts w:ascii="Times New Roman" w:hAnsi="Times New Roman" w:eastAsia="Times New Roman" w:cs="Times New Roman"/>
          <w:bCs/>
          <w:spacing w:val="-3"/>
          <w:sz w:val="24"/>
          <w:szCs w:val="24"/>
          <w:lang w:eastAsia="ru-RU"/>
        </w:rPr>
      </w:r>
      <w:r/>
    </w:p>
    <w:p>
      <w:pPr>
        <w:ind w:right="-643" w:firstLine="567"/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/>
    </w:p>
    <w:p>
      <w:pPr>
        <w:ind w:right="-643" w:firstLine="567"/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/>
    </w:p>
    <w:p>
      <w:pPr>
        <w:ind w:right="-643"/>
        <w:jc w:val="both"/>
        <w:spacing w:after="0"/>
        <w:shd w:val="clear" w:color="auto" w:fill="ffffff"/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  <w:lang w:eastAsia="ru-RU"/>
        </w:rPr>
        <w:t xml:space="preserve">Заказчик:                                                                Исполнитель:</w:t>
      </w:r>
      <w:r/>
    </w:p>
    <w:p>
      <w:pPr>
        <w:ind w:left="0" w:right="-1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lang w:eastAsia="ru-RU"/>
        </w:rPr>
        <w:t xml:space="preserve">Заместитель главы администрации                     </w:t>
      </w:r>
      <w:r/>
    </w:p>
    <w:p>
      <w:pPr>
        <w:ind w:right="-641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 </w:t>
      </w:r>
      <w:r>
        <w:rPr>
          <w:rFonts w:ascii="Times New Roman" w:hAnsi="Times New Roman" w:eastAsia="Times New Roman" w:cs="Times New Roman"/>
          <w:sz w:val="24"/>
          <w:lang w:eastAsia="ru-RU"/>
        </w:rPr>
        <w:t xml:space="preserve">                             </w:t>
      </w:r>
      <w:r/>
    </w:p>
    <w:p>
      <w:pPr>
        <w:pStyle w:val="1094"/>
        <w:ind w:right="-1"/>
        <w:widowControl w:val="off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</w:r>
      <w:r/>
    </w:p>
    <w:p>
      <w:pPr>
        <w:ind w:right="-643"/>
        <w:jc w:val="both"/>
        <w:spacing w:after="0"/>
        <w:shd w:val="clear" w:color="auto" w:fill="ffffff"/>
        <w:rPr>
          <w:rFonts w:ascii="Times New Roman" w:hAnsi="Times New Roman" w:eastAsia="Times New Roman" w:cs="Times New Roman"/>
          <w:sz w:val="24"/>
          <w:highlight w:val="yellow"/>
        </w:rPr>
      </w:pPr>
      <w:r>
        <w:rPr>
          <w:rFonts w:ascii="Times New Roman" w:hAnsi="Times New Roman" w:eastAsia="Times New Roman" w:cs="Times New Roman"/>
          <w:sz w:val="24"/>
          <w:highlight w:val="yellow"/>
        </w:rPr>
      </w:r>
      <w:r/>
    </w:p>
    <w:p>
      <w:pPr>
        <w:pStyle w:val="1091"/>
        <w:widowControl w:val="o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_______________ /М.А. Щербакова/                     ________________________________</w:t>
      </w:r>
      <w:r>
        <w:rPr>
          <w:rFonts w:ascii="Times New Roman" w:hAnsi="Times New Roman" w:cs="Times New Roman"/>
          <w:sz w:val="24"/>
          <w:lang w:eastAsia="ru-RU"/>
        </w:rPr>
        <w:t xml:space="preserve">/</w:t>
      </w:r>
      <w:r/>
    </w:p>
    <w:sectPr>
      <w:footerReference w:type="default" r:id="rId9"/>
      <w:footnotePr/>
      <w:endnotePr/>
      <w:type w:val="nextPage"/>
      <w:pgSz w:w="11906" w:h="16838" w:orient="portrait"/>
      <w:pgMar w:top="426" w:right="851" w:bottom="709" w:left="1134" w:header="340" w:footer="34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imes New Roman CYR">
    <w:panose1 w:val="02020603050405020304"/>
  </w:font>
  <w:font w:name="Segoe UI Symbol">
    <w:panose1 w:val="020B0502040204020203"/>
  </w:font>
  <w:font w:name="Roboto">
    <w:panose1 w:val="02000000000000000000"/>
  </w:font>
  <w:font w:name="Open Sans">
    <w:panose1 w:val="020B0606030504020204"/>
  </w:font>
  <w:font w:name="Liberation Sans">
    <w:panose1 w:val="020B060402020202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83340457"/>
      <w:docPartObj>
        <w:docPartGallery w:val="Page Numbers (Bottom of Page)"/>
        <w:docPartUnique w:val="true"/>
      </w:docPartObj>
      <w:rPr/>
    </w:sdtPr>
    <w:sdtContent>
      <w:p>
        <w:pPr>
          <w:pStyle w:val="1081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108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1032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а) 1000 рублей, если цена контракта не превышает 3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г) 100000 рублей, если цена контракта превышает 100 млн. рублей.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/>
    </w:p>
  </w:footnote>
  <w:footnote w:id="3"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1032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а) 10 процентов цены контракта (этапа) в случае, если цена контракта (этапа) не превышает 3 млн. рублей;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б) 5 процентов цены контракта (этапа) в случае, если цена контракта (этапа) составляет от 3 млн. рублей до 50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в) 1 процент цены контракта (этапа) в случае, если цена контракта (этапа) составляет от 50 млн. рублей до 100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г) 0,5 процента цены контракта (этапа) в случае, если цена контракта (этапа) составляет от 100 млн. рублей до 500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д) 0,4 процента цены контракта (этапа) в случае, если цена контракта (этапа) составляет от 500 млн. рублей до 1 млрд.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е) 0,3 процента цены контракта (этапа) в случае, если цена контракта (этапа) составляет от 1 млрд. рублей до 2 млрд.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ж) 0,25 процента цены контракта (этапа) в случае, если цена контракта (этапа) составляет от 2 млрд. рублей до 5 млрд.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з) 0,2 процента цены контракта (этапа) в случае, если цена контракта (этапа) составляет от 5 млрд. рублей до 10 млрд.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и) 0,1 процента цены контракта (этапа) в случае, если цена контракта (этапа) превышает 10 млрд. рублей.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В случае  если контракт заключается по результатам определения Исполнителя в соответствии с пунктом 1 части 1 статьи 30 Федера</w:t>
      </w:r>
      <w:r>
        <w:rPr>
          <w:rFonts w:ascii="Times New Roman" w:hAnsi="Times New Roman" w:cs="Times New Roman"/>
          <w:sz w:val="16"/>
          <w:szCs w:val="16"/>
        </w:rPr>
        <w:t xml:space="preserve">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В случае если контракт заключается с победителем закупки (или с иным участником закупки в случаях, установленных Федеральным законом), предложившим наиболее высокую цену за право</w:t>
      </w:r>
      <w:r>
        <w:rPr>
          <w:rFonts w:ascii="Times New Roman" w:hAnsi="Times New Roman" w:cs="Times New Roman"/>
          <w:sz w:val="16"/>
          <w:szCs w:val="16"/>
        </w:rPr>
        <w:t xml:space="preserve"> заключения контракта,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а) в случае, если цена контракта не превышает начальную (максимальную) цену контракта: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10 процентов начальной (максимальной) цены контракта, если цена контракта не превышает 3 млн. рублей;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5 процентов начальной (максимальной) цены контракта, если цена контракта составляет от 3 млн. рублей до 50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1 процент начальной (максимальной) цены контракта, если цена контракта составляет от 50 млн. рублей до 100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б) в случае, если цена контракта превышает начальную (максимальную) цену контракта: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10 процентов цены контракта, если цена контракта не превышает 3 млн. рублей;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5 процентов цены контракта, если цена контракта составляет от 3 млн. рублей до 50 млн. рублей (включительно);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1 процент цены контракта, если цена контракта составляет от 50 млн. рублей до 100 млн. рублей (включительно).</w:t>
      </w:r>
      <w:r/>
    </w:p>
    <w:p>
      <w:pPr>
        <w:pStyle w:val="1092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/>
    </w:p>
  </w:footnote>
  <w:footnote w:id="4">
    <w:p>
      <w:pPr>
        <w:pStyle w:val="1092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Style w:val="1032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92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а) 1000 рублей, если цена контракта не превышает 3 млн. рублей;</w:t>
      </w:r>
      <w:r/>
    </w:p>
    <w:p>
      <w:pPr>
        <w:pStyle w:val="1092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92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92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г) 100000 рублей, если цена контракта превышает 100 млн. рублей.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  <w:tabs>
          <w:tab w:val="num" w:pos="1080" w:leader="none"/>
        </w:tabs>
      </w:pPr>
      <w:rPr>
        <w:rFonts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  <w:tabs>
          <w:tab w:val="num" w:pos="3240" w:leader="none"/>
        </w:tabs>
      </w:pPr>
      <w:rPr>
        <w:rFonts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  <w:tabs>
          <w:tab w:val="num" w:pos="39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  <w:tabs>
          <w:tab w:val="num" w:pos="5400" w:leader="none"/>
        </w:tabs>
      </w:pPr>
      <w:rPr>
        <w:rFonts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  <w:tabs>
          <w:tab w:val="num" w:pos="6120" w:leader="none"/>
        </w:tabs>
      </w:pPr>
      <w:rPr>
        <w:rFonts w:hint="default" w:ascii="Wingdings" w:hAnsi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7" w:hanging="705"/>
      </w:pPr>
      <w:rPr>
        <w:rFonts w:ascii="Times New Roman" w:hAnsi="Times New Roman" w:eastAsia="Arial Unicode MS" w:cs="Times New Roman"/>
        <w:color w:val="auto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" w:hanging="360"/>
      </w:pPr>
      <w:rPr>
        <w:b/>
        <w:spacing w:val="-6"/>
      </w:rPr>
    </w:lvl>
    <w:lvl w:ilvl="1">
      <w:start w:val="5"/>
      <w:numFmt w:val="decimal"/>
      <w:isLgl w:val="false"/>
      <w:suff w:val="tab"/>
      <w:lvlText w:val="%1.%2."/>
      <w:lvlJc w:val="left"/>
      <w:pPr>
        <w:ind w:left="927" w:hanging="360"/>
      </w:pPr>
      <w:rPr>
        <w:rFonts w:cs="Times New Roman"/>
        <w:sz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074" w:hanging="720"/>
      </w:pPr>
      <w:rPr>
        <w:rFonts w:cs="Times New Roman"/>
        <w:sz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61" w:hanging="720"/>
      </w:pPr>
      <w:rPr>
        <w:rFonts w:cs="Times New Roman"/>
        <w:sz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8" w:hanging="1080"/>
      </w:pPr>
      <w:rPr>
        <w:rFonts w:cs="Times New Roman"/>
        <w:sz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95" w:hanging="1080"/>
      </w:pPr>
      <w:rPr>
        <w:rFonts w:cs="Times New Roman"/>
        <w:sz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942" w:hanging="1440"/>
      </w:pPr>
      <w:rPr>
        <w:rFonts w:cs="Times New Roman"/>
        <w:sz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29" w:hanging="1440"/>
      </w:pPr>
      <w:rPr>
        <w:rFonts w:cs="Times New Roman"/>
        <w:sz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76" w:hanging="1800"/>
      </w:pPr>
      <w:rPr>
        <w:rFonts w:cs="Times New Roman"/>
        <w:sz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40" w:hanging="540"/>
      </w:pPr>
    </w:lvl>
    <w:lvl w:ilvl="1">
      <w:start w:val="1"/>
      <w:numFmt w:val="decimal"/>
      <w:isLgl w:val="false"/>
      <w:suff w:val="tab"/>
      <w:lvlText w:val="%1.%2."/>
      <w:lvlJc w:val="left"/>
      <w:pPr>
        <w:ind w:left="823" w:hanging="540"/>
      </w:pPr>
    </w:lvl>
    <w:lvl w:ilvl="2">
      <w:start w:val="3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</w:lvl>
  </w:abstractNum>
  <w:abstractNum w:abstractNumId="5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cs="Symbol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cs="Wingdings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2" w:default="1">
    <w:name w:val="Normal"/>
    <w:qFormat/>
    <w:pPr>
      <w:spacing w:after="200" w:line="276" w:lineRule="auto"/>
    </w:pPr>
  </w:style>
  <w:style w:type="paragraph" w:styleId="833">
    <w:name w:val="Heading 1"/>
    <w:basedOn w:val="832"/>
    <w:link w:val="862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34">
    <w:name w:val="Heading 2"/>
    <w:basedOn w:val="832"/>
    <w:next w:val="832"/>
    <w:link w:val="86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835">
    <w:name w:val="Heading 3"/>
    <w:basedOn w:val="832"/>
    <w:next w:val="832"/>
    <w:link w:val="86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836">
    <w:name w:val="Heading 4"/>
    <w:basedOn w:val="832"/>
    <w:next w:val="832"/>
    <w:link w:val="86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7">
    <w:name w:val="Heading 5"/>
    <w:basedOn w:val="832"/>
    <w:next w:val="832"/>
    <w:link w:val="86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38">
    <w:name w:val="Heading 6"/>
    <w:basedOn w:val="832"/>
    <w:next w:val="832"/>
    <w:link w:val="86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839">
    <w:name w:val="Heading 7"/>
    <w:basedOn w:val="832"/>
    <w:next w:val="832"/>
    <w:link w:val="86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840">
    <w:name w:val="Heading 8"/>
    <w:basedOn w:val="832"/>
    <w:next w:val="832"/>
    <w:link w:val="86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841">
    <w:name w:val="Heading 9"/>
    <w:basedOn w:val="832"/>
    <w:next w:val="832"/>
    <w:link w:val="87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2" w:default="1">
    <w:name w:val="Default Paragraph Font"/>
    <w:uiPriority w:val="1"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character" w:styleId="845" w:customStyle="1">
    <w:name w:val="Heading 1 Char"/>
    <w:basedOn w:val="842"/>
    <w:uiPriority w:val="9"/>
    <w:rPr>
      <w:rFonts w:ascii="Arial" w:hAnsi="Arial" w:eastAsia="Arial" w:cs="Arial"/>
      <w:sz w:val="40"/>
      <w:szCs w:val="40"/>
    </w:rPr>
  </w:style>
  <w:style w:type="character" w:styleId="846" w:customStyle="1">
    <w:name w:val="Heading 2 Char"/>
    <w:basedOn w:val="842"/>
    <w:uiPriority w:val="9"/>
    <w:rPr>
      <w:rFonts w:ascii="Arial" w:hAnsi="Arial" w:eastAsia="Arial" w:cs="Arial"/>
      <w:sz w:val="34"/>
    </w:rPr>
  </w:style>
  <w:style w:type="character" w:styleId="847" w:customStyle="1">
    <w:name w:val="Heading 3 Char"/>
    <w:basedOn w:val="842"/>
    <w:uiPriority w:val="9"/>
    <w:rPr>
      <w:rFonts w:ascii="Arial" w:hAnsi="Arial" w:eastAsia="Arial" w:cs="Arial"/>
      <w:sz w:val="30"/>
      <w:szCs w:val="30"/>
    </w:rPr>
  </w:style>
  <w:style w:type="character" w:styleId="848" w:customStyle="1">
    <w:name w:val="Heading 4 Char"/>
    <w:basedOn w:val="842"/>
    <w:uiPriority w:val="9"/>
    <w:rPr>
      <w:rFonts w:ascii="Arial" w:hAnsi="Arial" w:eastAsia="Arial" w:cs="Arial"/>
      <w:b/>
      <w:bCs/>
      <w:sz w:val="26"/>
      <w:szCs w:val="26"/>
    </w:rPr>
  </w:style>
  <w:style w:type="character" w:styleId="849" w:customStyle="1">
    <w:name w:val="Heading 5 Char"/>
    <w:basedOn w:val="842"/>
    <w:uiPriority w:val="9"/>
    <w:rPr>
      <w:rFonts w:ascii="Arial" w:hAnsi="Arial" w:eastAsia="Arial" w:cs="Arial"/>
      <w:b/>
      <w:bCs/>
      <w:sz w:val="24"/>
      <w:szCs w:val="24"/>
    </w:rPr>
  </w:style>
  <w:style w:type="character" w:styleId="850" w:customStyle="1">
    <w:name w:val="Heading 6 Char"/>
    <w:basedOn w:val="842"/>
    <w:uiPriority w:val="9"/>
    <w:rPr>
      <w:rFonts w:ascii="Arial" w:hAnsi="Arial" w:eastAsia="Arial" w:cs="Arial"/>
      <w:b/>
      <w:bCs/>
      <w:sz w:val="22"/>
      <w:szCs w:val="22"/>
    </w:rPr>
  </w:style>
  <w:style w:type="character" w:styleId="851" w:customStyle="1">
    <w:name w:val="Heading 7 Char"/>
    <w:basedOn w:val="8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52" w:customStyle="1">
    <w:name w:val="Heading 8 Char"/>
    <w:basedOn w:val="842"/>
    <w:uiPriority w:val="9"/>
    <w:rPr>
      <w:rFonts w:ascii="Arial" w:hAnsi="Arial" w:eastAsia="Arial" w:cs="Arial"/>
      <w:i/>
      <w:iCs/>
      <w:sz w:val="22"/>
      <w:szCs w:val="22"/>
    </w:rPr>
  </w:style>
  <w:style w:type="character" w:styleId="853" w:customStyle="1">
    <w:name w:val="Heading 9 Char"/>
    <w:basedOn w:val="842"/>
    <w:uiPriority w:val="9"/>
    <w:rPr>
      <w:rFonts w:ascii="Arial" w:hAnsi="Arial" w:eastAsia="Arial" w:cs="Arial"/>
      <w:i/>
      <w:iCs/>
      <w:sz w:val="21"/>
      <w:szCs w:val="21"/>
    </w:rPr>
  </w:style>
  <w:style w:type="character" w:styleId="854" w:customStyle="1">
    <w:name w:val="Title Char"/>
    <w:basedOn w:val="842"/>
    <w:uiPriority w:val="10"/>
    <w:rPr>
      <w:sz w:val="48"/>
      <w:szCs w:val="48"/>
    </w:rPr>
  </w:style>
  <w:style w:type="character" w:styleId="855" w:customStyle="1">
    <w:name w:val="Subtitle Char"/>
    <w:basedOn w:val="842"/>
    <w:uiPriority w:val="11"/>
    <w:rPr>
      <w:sz w:val="24"/>
      <w:szCs w:val="24"/>
    </w:rPr>
  </w:style>
  <w:style w:type="character" w:styleId="856" w:customStyle="1">
    <w:name w:val="Quote Char"/>
    <w:uiPriority w:val="29"/>
    <w:rPr>
      <w:i/>
    </w:rPr>
  </w:style>
  <w:style w:type="character" w:styleId="857" w:customStyle="1">
    <w:name w:val="Intense Quote Char"/>
    <w:uiPriority w:val="30"/>
    <w:rPr>
      <w:i/>
    </w:rPr>
  </w:style>
  <w:style w:type="character" w:styleId="858" w:customStyle="1">
    <w:name w:val="Header Char"/>
    <w:basedOn w:val="842"/>
    <w:uiPriority w:val="99"/>
  </w:style>
  <w:style w:type="character" w:styleId="859" w:customStyle="1">
    <w:name w:val="Caption Char"/>
    <w:uiPriority w:val="99"/>
  </w:style>
  <w:style w:type="character" w:styleId="860" w:customStyle="1">
    <w:name w:val="Footnote Text Char"/>
    <w:uiPriority w:val="99"/>
    <w:rPr>
      <w:sz w:val="18"/>
    </w:rPr>
  </w:style>
  <w:style w:type="character" w:styleId="861" w:customStyle="1">
    <w:name w:val="Endnote Text Char"/>
    <w:uiPriority w:val="99"/>
    <w:rPr>
      <w:sz w:val="20"/>
    </w:rPr>
  </w:style>
  <w:style w:type="character" w:styleId="862" w:customStyle="1">
    <w:name w:val="Заголовок 1 Знак1"/>
    <w:basedOn w:val="842"/>
    <w:link w:val="833"/>
    <w:uiPriority w:val="9"/>
    <w:rPr>
      <w:rFonts w:ascii="Arial" w:hAnsi="Arial" w:eastAsia="Arial" w:cs="Arial"/>
      <w:sz w:val="40"/>
      <w:szCs w:val="40"/>
    </w:rPr>
  </w:style>
  <w:style w:type="character" w:styleId="863" w:customStyle="1">
    <w:name w:val="Заголовок 2 Знак"/>
    <w:basedOn w:val="842"/>
    <w:link w:val="834"/>
    <w:uiPriority w:val="9"/>
    <w:rPr>
      <w:rFonts w:ascii="Arial" w:hAnsi="Arial" w:eastAsia="Arial" w:cs="Arial"/>
      <w:sz w:val="34"/>
    </w:rPr>
  </w:style>
  <w:style w:type="character" w:styleId="864" w:customStyle="1">
    <w:name w:val="Заголовок 3 Знак"/>
    <w:basedOn w:val="842"/>
    <w:link w:val="835"/>
    <w:uiPriority w:val="9"/>
    <w:rPr>
      <w:rFonts w:ascii="Arial" w:hAnsi="Arial" w:eastAsia="Arial" w:cs="Arial"/>
      <w:sz w:val="30"/>
      <w:szCs w:val="30"/>
    </w:rPr>
  </w:style>
  <w:style w:type="character" w:styleId="865" w:customStyle="1">
    <w:name w:val="Заголовок 4 Знак"/>
    <w:basedOn w:val="842"/>
    <w:link w:val="836"/>
    <w:uiPriority w:val="9"/>
    <w:rPr>
      <w:rFonts w:ascii="Arial" w:hAnsi="Arial" w:eastAsia="Arial" w:cs="Arial"/>
      <w:b/>
      <w:bCs/>
      <w:sz w:val="26"/>
      <w:szCs w:val="26"/>
    </w:rPr>
  </w:style>
  <w:style w:type="character" w:styleId="866" w:customStyle="1">
    <w:name w:val="Заголовок 5 Знак"/>
    <w:basedOn w:val="842"/>
    <w:link w:val="837"/>
    <w:uiPriority w:val="9"/>
    <w:rPr>
      <w:rFonts w:ascii="Arial" w:hAnsi="Arial" w:eastAsia="Arial" w:cs="Arial"/>
      <w:b/>
      <w:bCs/>
      <w:sz w:val="24"/>
      <w:szCs w:val="24"/>
    </w:rPr>
  </w:style>
  <w:style w:type="character" w:styleId="867" w:customStyle="1">
    <w:name w:val="Заголовок 6 Знак"/>
    <w:basedOn w:val="842"/>
    <w:link w:val="838"/>
    <w:uiPriority w:val="9"/>
    <w:rPr>
      <w:rFonts w:ascii="Arial" w:hAnsi="Arial" w:eastAsia="Arial" w:cs="Arial"/>
      <w:b/>
      <w:bCs/>
      <w:sz w:val="22"/>
      <w:szCs w:val="22"/>
    </w:rPr>
  </w:style>
  <w:style w:type="character" w:styleId="868" w:customStyle="1">
    <w:name w:val="Заголовок 7 Знак"/>
    <w:basedOn w:val="842"/>
    <w:link w:val="83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69" w:customStyle="1">
    <w:name w:val="Заголовок 8 Знак"/>
    <w:basedOn w:val="842"/>
    <w:link w:val="840"/>
    <w:uiPriority w:val="9"/>
    <w:rPr>
      <w:rFonts w:ascii="Arial" w:hAnsi="Arial" w:eastAsia="Arial" w:cs="Arial"/>
      <w:i/>
      <w:iCs/>
      <w:sz w:val="22"/>
      <w:szCs w:val="22"/>
    </w:rPr>
  </w:style>
  <w:style w:type="character" w:styleId="870" w:customStyle="1">
    <w:name w:val="Заголовок 9 Знак"/>
    <w:basedOn w:val="842"/>
    <w:link w:val="841"/>
    <w:uiPriority w:val="9"/>
    <w:rPr>
      <w:rFonts w:ascii="Arial" w:hAnsi="Arial" w:eastAsia="Arial" w:cs="Arial"/>
      <w:i/>
      <w:iCs/>
      <w:sz w:val="21"/>
      <w:szCs w:val="21"/>
    </w:rPr>
  </w:style>
  <w:style w:type="paragraph" w:styleId="871">
    <w:name w:val="Title"/>
    <w:basedOn w:val="832"/>
    <w:next w:val="832"/>
    <w:link w:val="872"/>
    <w:uiPriority w:val="10"/>
    <w:qFormat/>
    <w:pPr>
      <w:contextualSpacing/>
      <w:spacing w:before="300"/>
    </w:pPr>
    <w:rPr>
      <w:sz w:val="48"/>
      <w:szCs w:val="48"/>
    </w:rPr>
  </w:style>
  <w:style w:type="character" w:styleId="872" w:customStyle="1">
    <w:name w:val="Название Знак"/>
    <w:basedOn w:val="842"/>
    <w:link w:val="871"/>
    <w:uiPriority w:val="10"/>
    <w:rPr>
      <w:sz w:val="48"/>
      <w:szCs w:val="48"/>
    </w:rPr>
  </w:style>
  <w:style w:type="paragraph" w:styleId="873">
    <w:name w:val="Subtitle"/>
    <w:basedOn w:val="832"/>
    <w:next w:val="832"/>
    <w:link w:val="874"/>
    <w:uiPriority w:val="11"/>
    <w:qFormat/>
    <w:pPr>
      <w:spacing w:before="200"/>
    </w:pPr>
    <w:rPr>
      <w:sz w:val="24"/>
      <w:szCs w:val="24"/>
    </w:rPr>
  </w:style>
  <w:style w:type="character" w:styleId="874" w:customStyle="1">
    <w:name w:val="Подзаголовок Знак"/>
    <w:basedOn w:val="842"/>
    <w:link w:val="873"/>
    <w:uiPriority w:val="11"/>
    <w:rPr>
      <w:sz w:val="24"/>
      <w:szCs w:val="24"/>
    </w:rPr>
  </w:style>
  <w:style w:type="paragraph" w:styleId="875">
    <w:name w:val="Quote"/>
    <w:basedOn w:val="832"/>
    <w:next w:val="832"/>
    <w:link w:val="876"/>
    <w:uiPriority w:val="29"/>
    <w:qFormat/>
    <w:pPr>
      <w:ind w:left="720" w:right="720"/>
    </w:pPr>
    <w:rPr>
      <w:i/>
    </w:rPr>
  </w:style>
  <w:style w:type="character" w:styleId="876" w:customStyle="1">
    <w:name w:val="Цитата 2 Знак"/>
    <w:link w:val="875"/>
    <w:uiPriority w:val="29"/>
    <w:rPr>
      <w:i/>
    </w:rPr>
  </w:style>
  <w:style w:type="paragraph" w:styleId="877">
    <w:name w:val="Intense Quote"/>
    <w:basedOn w:val="832"/>
    <w:next w:val="832"/>
    <w:link w:val="8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8" w:customStyle="1">
    <w:name w:val="Выделенная цитата Знак"/>
    <w:link w:val="877"/>
    <w:uiPriority w:val="30"/>
    <w:rPr>
      <w:i/>
    </w:rPr>
  </w:style>
  <w:style w:type="character" w:styleId="879" w:customStyle="1">
    <w:name w:val="Верхний колонтитул Знак1"/>
    <w:basedOn w:val="842"/>
    <w:link w:val="1080"/>
    <w:uiPriority w:val="99"/>
  </w:style>
  <w:style w:type="character" w:styleId="880" w:customStyle="1">
    <w:name w:val="Footer Char"/>
    <w:basedOn w:val="842"/>
    <w:uiPriority w:val="99"/>
  </w:style>
  <w:style w:type="character" w:styleId="881" w:customStyle="1">
    <w:name w:val="Нижний колонтитул Знак1"/>
    <w:link w:val="1081"/>
    <w:uiPriority w:val="99"/>
  </w:style>
  <w:style w:type="table" w:styleId="882" w:customStyle="1">
    <w:name w:val="Table Grid Light"/>
    <w:basedOn w:val="84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3" w:customStyle="1">
    <w:name w:val="Plain Table 1"/>
    <w:basedOn w:val="84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4" w:customStyle="1">
    <w:name w:val="Plain Table 2"/>
    <w:basedOn w:val="84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5" w:customStyle="1">
    <w:name w:val="Plain Table 3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6" w:customStyle="1">
    <w:name w:val="Plain Table 4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Plain Table 5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1 Light"/>
    <w:basedOn w:val="84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Grid Table 1 Light - Accent 1"/>
    <w:basedOn w:val="84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Grid Table 1 Light - Accent 2"/>
    <w:basedOn w:val="84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3"/>
    <w:basedOn w:val="84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4"/>
    <w:basedOn w:val="84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5"/>
    <w:basedOn w:val="84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6"/>
    <w:basedOn w:val="84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2"/>
    <w:basedOn w:val="84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2 - Accent 1"/>
    <w:basedOn w:val="84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2 - Accent 2"/>
    <w:basedOn w:val="84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3"/>
    <w:basedOn w:val="84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4"/>
    <w:basedOn w:val="84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5"/>
    <w:basedOn w:val="84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6"/>
    <w:basedOn w:val="84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3"/>
    <w:basedOn w:val="84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3 - Accent 1"/>
    <w:basedOn w:val="84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3 - Accent 2"/>
    <w:basedOn w:val="84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3"/>
    <w:basedOn w:val="84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4"/>
    <w:basedOn w:val="84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5"/>
    <w:basedOn w:val="84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6"/>
    <w:basedOn w:val="84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4"/>
    <w:basedOn w:val="84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10" w:customStyle="1">
    <w:name w:val="Grid Table 4 - Accent 1"/>
    <w:basedOn w:val="84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11" w:customStyle="1">
    <w:name w:val="Grid Table 4 - Accent 2"/>
    <w:basedOn w:val="84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12" w:customStyle="1">
    <w:name w:val="Grid Table 4 - Accent 3"/>
    <w:basedOn w:val="84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13" w:customStyle="1">
    <w:name w:val="Grid Table 4 - Accent 4"/>
    <w:basedOn w:val="84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14" w:customStyle="1">
    <w:name w:val="Grid Table 4 - Accent 5"/>
    <w:basedOn w:val="84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15" w:customStyle="1">
    <w:name w:val="Grid Table 4 - Accent 6"/>
    <w:basedOn w:val="84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16" w:customStyle="1">
    <w:name w:val="Grid Table 5 Dark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17" w:customStyle="1">
    <w:name w:val="Grid Table 5 Dark- Accent 1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18" w:customStyle="1">
    <w:name w:val="Grid Table 5 Dark - Accent 2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19" w:customStyle="1">
    <w:name w:val="Grid Table 5 Dark - Accent 3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20" w:customStyle="1">
    <w:name w:val="Grid Table 5 Dark- Accent 4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21" w:customStyle="1">
    <w:name w:val="Grid Table 5 Dark - Accent 5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22" w:customStyle="1">
    <w:name w:val="Grid Table 5 Dark - Accent 6"/>
    <w:basedOn w:val="84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23" w:customStyle="1">
    <w:name w:val="Grid Table 6 Colorful"/>
    <w:basedOn w:val="84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4" w:customStyle="1">
    <w:name w:val="Grid Table 6 Colorful - Accent 1"/>
    <w:basedOn w:val="84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25" w:customStyle="1">
    <w:name w:val="Grid Table 6 Colorful - Accent 2"/>
    <w:basedOn w:val="84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26" w:customStyle="1">
    <w:name w:val="Grid Table 6 Colorful - Accent 3"/>
    <w:basedOn w:val="84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27" w:customStyle="1">
    <w:name w:val="Grid Table 6 Colorful - Accent 4"/>
    <w:basedOn w:val="84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28" w:customStyle="1">
    <w:name w:val="Grid Table 6 Colorful - Accent 5"/>
    <w:basedOn w:val="84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9" w:customStyle="1">
    <w:name w:val="Grid Table 6 Colorful - Accent 6"/>
    <w:basedOn w:val="84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0" w:customStyle="1">
    <w:name w:val="Grid Table 7 Colorful"/>
    <w:basedOn w:val="84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Grid Table 7 Colorful - Accent 1"/>
    <w:basedOn w:val="84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Grid Table 7 Colorful - Accent 2"/>
    <w:basedOn w:val="84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3"/>
    <w:basedOn w:val="84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4"/>
    <w:basedOn w:val="84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5"/>
    <w:basedOn w:val="84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6"/>
    <w:basedOn w:val="84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List Table 1 Light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1 Light - Accent 1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1 Light - Accent 2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3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4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5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6"/>
    <w:basedOn w:val="8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2"/>
    <w:basedOn w:val="84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5" w:customStyle="1">
    <w:name w:val="List Table 2 - Accent 1"/>
    <w:basedOn w:val="84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46" w:customStyle="1">
    <w:name w:val="List Table 2 - Accent 2"/>
    <w:basedOn w:val="84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47" w:customStyle="1">
    <w:name w:val="List Table 2 - Accent 3"/>
    <w:basedOn w:val="84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48" w:customStyle="1">
    <w:name w:val="List Table 2 - Accent 4"/>
    <w:basedOn w:val="84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49" w:customStyle="1">
    <w:name w:val="List Table 2 - Accent 5"/>
    <w:basedOn w:val="84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50" w:customStyle="1">
    <w:name w:val="List Table 2 - Accent 6"/>
    <w:basedOn w:val="84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51" w:customStyle="1">
    <w:name w:val="List Table 3"/>
    <w:basedOn w:val="84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3 - Accent 1"/>
    <w:basedOn w:val="84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3 - Accent 2"/>
    <w:basedOn w:val="84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3"/>
    <w:basedOn w:val="84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4"/>
    <w:basedOn w:val="84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5"/>
    <w:basedOn w:val="84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6"/>
    <w:basedOn w:val="84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4"/>
    <w:basedOn w:val="84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4 - Accent 1"/>
    <w:basedOn w:val="84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4 - Accent 2"/>
    <w:basedOn w:val="84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3"/>
    <w:basedOn w:val="84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4"/>
    <w:basedOn w:val="84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5"/>
    <w:basedOn w:val="84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6"/>
    <w:basedOn w:val="84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5 Dark"/>
    <w:basedOn w:val="84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6" w:customStyle="1">
    <w:name w:val="List Table 5 Dark - Accent 1"/>
    <w:basedOn w:val="84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7" w:customStyle="1">
    <w:name w:val="List Table 5 Dark - Accent 2"/>
    <w:basedOn w:val="84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 w:customStyle="1">
    <w:name w:val="List Table 5 Dark - Accent 3"/>
    <w:basedOn w:val="84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9" w:customStyle="1">
    <w:name w:val="List Table 5 Dark - Accent 4"/>
    <w:basedOn w:val="84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0" w:customStyle="1">
    <w:name w:val="List Table 5 Dark - Accent 5"/>
    <w:basedOn w:val="84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 w:customStyle="1">
    <w:name w:val="List Table 5 Dark - Accent 6"/>
    <w:basedOn w:val="84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List Table 6 Colorful"/>
    <w:basedOn w:val="84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73" w:customStyle="1">
    <w:name w:val="List Table 6 Colorful - Accent 1"/>
    <w:basedOn w:val="84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74" w:customStyle="1">
    <w:name w:val="List Table 6 Colorful - Accent 2"/>
    <w:basedOn w:val="84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75" w:customStyle="1">
    <w:name w:val="List Table 6 Colorful - Accent 3"/>
    <w:basedOn w:val="84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76" w:customStyle="1">
    <w:name w:val="List Table 6 Colorful - Accent 4"/>
    <w:basedOn w:val="84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77" w:customStyle="1">
    <w:name w:val="List Table 6 Colorful - Accent 5"/>
    <w:basedOn w:val="84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78" w:customStyle="1">
    <w:name w:val="List Table 6 Colorful - Accent 6"/>
    <w:basedOn w:val="84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79" w:customStyle="1">
    <w:name w:val="List Table 7 Colorful"/>
    <w:basedOn w:val="84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0" w:customStyle="1">
    <w:name w:val="List Table 7 Colorful - Accent 1"/>
    <w:basedOn w:val="84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1" w:customStyle="1">
    <w:name w:val="List Table 7 Colorful - Accent 2"/>
    <w:basedOn w:val="84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3"/>
    <w:basedOn w:val="84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4"/>
    <w:basedOn w:val="84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5"/>
    <w:basedOn w:val="84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6"/>
    <w:basedOn w:val="84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ned - Accent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7" w:customStyle="1">
    <w:name w:val="Lined - Accent 1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88" w:customStyle="1">
    <w:name w:val="Lined - Accent 2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89" w:customStyle="1">
    <w:name w:val="Lined - Accent 3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90" w:customStyle="1">
    <w:name w:val="Lined - Accent 4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91" w:customStyle="1">
    <w:name w:val="Lined - Accent 5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92" w:customStyle="1">
    <w:name w:val="Lined - Accent 6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93" w:customStyle="1">
    <w:name w:val="Bordered &amp; Lined - Accent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94" w:customStyle="1">
    <w:name w:val="Bordered &amp; Lined - Accent 1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95" w:customStyle="1">
    <w:name w:val="Bordered &amp; Lined - Accent 2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96" w:customStyle="1">
    <w:name w:val="Bordered &amp; Lined - Accent 3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97" w:customStyle="1">
    <w:name w:val="Bordered &amp; Lined - Accent 4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98" w:customStyle="1">
    <w:name w:val="Bordered &amp; Lined - Accent 5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99" w:customStyle="1">
    <w:name w:val="Bordered &amp; Lined - Accent 6"/>
    <w:basedOn w:val="84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00" w:customStyle="1">
    <w:name w:val="Bordered"/>
    <w:basedOn w:val="84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01" w:customStyle="1">
    <w:name w:val="Bordered - Accent 1"/>
    <w:basedOn w:val="84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02" w:customStyle="1">
    <w:name w:val="Bordered - Accent 2"/>
    <w:basedOn w:val="84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03" w:customStyle="1">
    <w:name w:val="Bordered - Accent 3"/>
    <w:basedOn w:val="84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04" w:customStyle="1">
    <w:name w:val="Bordered - Accent 4"/>
    <w:basedOn w:val="84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05" w:customStyle="1">
    <w:name w:val="Bordered - Accent 5"/>
    <w:basedOn w:val="84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06" w:customStyle="1">
    <w:name w:val="Bordered - Accent 6"/>
    <w:basedOn w:val="84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007">
    <w:name w:val="Hyperlink"/>
    <w:uiPriority w:val="99"/>
    <w:unhideWhenUsed/>
    <w:rPr>
      <w:color w:val="0000ff" w:themeColor="hyperlink"/>
      <w:u w:val="single"/>
    </w:rPr>
  </w:style>
  <w:style w:type="character" w:styleId="1008" w:customStyle="1">
    <w:name w:val="Текст сноски Знак1"/>
    <w:link w:val="1092"/>
    <w:uiPriority w:val="99"/>
    <w:rPr>
      <w:sz w:val="18"/>
    </w:rPr>
  </w:style>
  <w:style w:type="character" w:styleId="1009">
    <w:name w:val="footnote reference"/>
    <w:basedOn w:val="842"/>
    <w:uiPriority w:val="99"/>
    <w:unhideWhenUsed/>
    <w:rPr>
      <w:vertAlign w:val="superscript"/>
    </w:rPr>
  </w:style>
  <w:style w:type="paragraph" w:styleId="1010">
    <w:name w:val="endnote text"/>
    <w:basedOn w:val="832"/>
    <w:link w:val="1011"/>
    <w:uiPriority w:val="99"/>
    <w:semiHidden/>
    <w:unhideWhenUsed/>
    <w:pPr>
      <w:spacing w:after="0" w:line="240" w:lineRule="auto"/>
    </w:pPr>
    <w:rPr>
      <w:sz w:val="20"/>
    </w:rPr>
  </w:style>
  <w:style w:type="character" w:styleId="1011" w:customStyle="1">
    <w:name w:val="Текст концевой сноски Знак"/>
    <w:link w:val="1010"/>
    <w:uiPriority w:val="99"/>
    <w:rPr>
      <w:sz w:val="20"/>
    </w:rPr>
  </w:style>
  <w:style w:type="character" w:styleId="1012">
    <w:name w:val="endnote reference"/>
    <w:basedOn w:val="842"/>
    <w:uiPriority w:val="99"/>
    <w:semiHidden/>
    <w:unhideWhenUsed/>
    <w:rPr>
      <w:vertAlign w:val="superscript"/>
    </w:rPr>
  </w:style>
  <w:style w:type="paragraph" w:styleId="1013">
    <w:name w:val="toc 1"/>
    <w:basedOn w:val="832"/>
    <w:next w:val="832"/>
    <w:uiPriority w:val="39"/>
    <w:unhideWhenUsed/>
    <w:pPr>
      <w:spacing w:after="57"/>
    </w:pPr>
  </w:style>
  <w:style w:type="paragraph" w:styleId="1014">
    <w:name w:val="toc 2"/>
    <w:basedOn w:val="832"/>
    <w:next w:val="832"/>
    <w:uiPriority w:val="39"/>
    <w:unhideWhenUsed/>
    <w:pPr>
      <w:ind w:left="283"/>
      <w:spacing w:after="57"/>
    </w:pPr>
  </w:style>
  <w:style w:type="paragraph" w:styleId="1015">
    <w:name w:val="toc 3"/>
    <w:basedOn w:val="832"/>
    <w:next w:val="832"/>
    <w:uiPriority w:val="39"/>
    <w:unhideWhenUsed/>
    <w:pPr>
      <w:ind w:left="567"/>
      <w:spacing w:after="57"/>
    </w:pPr>
  </w:style>
  <w:style w:type="paragraph" w:styleId="1016">
    <w:name w:val="toc 4"/>
    <w:basedOn w:val="832"/>
    <w:next w:val="832"/>
    <w:uiPriority w:val="39"/>
    <w:unhideWhenUsed/>
    <w:pPr>
      <w:ind w:left="850"/>
      <w:spacing w:after="57"/>
    </w:pPr>
  </w:style>
  <w:style w:type="paragraph" w:styleId="1017">
    <w:name w:val="toc 5"/>
    <w:basedOn w:val="832"/>
    <w:next w:val="832"/>
    <w:uiPriority w:val="39"/>
    <w:unhideWhenUsed/>
    <w:pPr>
      <w:ind w:left="1134"/>
      <w:spacing w:after="57"/>
    </w:pPr>
  </w:style>
  <w:style w:type="paragraph" w:styleId="1018">
    <w:name w:val="toc 6"/>
    <w:basedOn w:val="832"/>
    <w:next w:val="832"/>
    <w:uiPriority w:val="39"/>
    <w:unhideWhenUsed/>
    <w:pPr>
      <w:ind w:left="1417"/>
      <w:spacing w:after="57"/>
    </w:pPr>
  </w:style>
  <w:style w:type="paragraph" w:styleId="1019">
    <w:name w:val="toc 7"/>
    <w:basedOn w:val="832"/>
    <w:next w:val="832"/>
    <w:uiPriority w:val="39"/>
    <w:unhideWhenUsed/>
    <w:pPr>
      <w:ind w:left="1701"/>
      <w:spacing w:after="57"/>
    </w:pPr>
  </w:style>
  <w:style w:type="paragraph" w:styleId="1020">
    <w:name w:val="toc 8"/>
    <w:basedOn w:val="832"/>
    <w:next w:val="832"/>
    <w:uiPriority w:val="39"/>
    <w:unhideWhenUsed/>
    <w:pPr>
      <w:ind w:left="1984"/>
      <w:spacing w:after="57"/>
    </w:pPr>
  </w:style>
  <w:style w:type="paragraph" w:styleId="1021">
    <w:name w:val="toc 9"/>
    <w:basedOn w:val="832"/>
    <w:next w:val="832"/>
    <w:uiPriority w:val="39"/>
    <w:unhideWhenUsed/>
    <w:pPr>
      <w:ind w:left="2268"/>
      <w:spacing w:after="57"/>
    </w:pPr>
  </w:style>
  <w:style w:type="paragraph" w:styleId="1022">
    <w:name w:val="TOC Heading"/>
    <w:uiPriority w:val="39"/>
    <w:unhideWhenUsed/>
  </w:style>
  <w:style w:type="paragraph" w:styleId="1023">
    <w:name w:val="table of figures"/>
    <w:basedOn w:val="832"/>
    <w:next w:val="832"/>
    <w:uiPriority w:val="99"/>
    <w:unhideWhenUsed/>
    <w:pPr>
      <w:spacing w:after="0"/>
    </w:pPr>
  </w:style>
  <w:style w:type="character" w:styleId="1024" w:customStyle="1">
    <w:name w:val="Верхний колонтитул Знак"/>
    <w:basedOn w:val="842"/>
    <w:uiPriority w:val="99"/>
    <w:qFormat/>
    <w:rPr>
      <w:rFonts w:ascii="Calibri" w:hAnsi="Calibri" w:eastAsia="Times New Roman" w:cs="Times New Roman"/>
      <w:lang w:val="en-US"/>
    </w:rPr>
  </w:style>
  <w:style w:type="character" w:styleId="1025" w:customStyle="1">
    <w:name w:val="Нижний колонтитул Знак"/>
    <w:basedOn w:val="842"/>
    <w:uiPriority w:val="99"/>
    <w:qFormat/>
    <w:rPr>
      <w:rFonts w:ascii="Calibri" w:hAnsi="Calibri" w:eastAsia="Times New Roman" w:cs="Times New Roman"/>
      <w:lang w:val="en-US"/>
    </w:rPr>
  </w:style>
  <w:style w:type="character" w:styleId="1026" w:customStyle="1">
    <w:name w:val="Текст выноски Знак"/>
    <w:basedOn w:val="842"/>
    <w:uiPriority w:val="99"/>
    <w:semiHidden/>
    <w:qFormat/>
    <w:rPr>
      <w:rFonts w:ascii="Tahoma" w:hAnsi="Tahoma" w:eastAsia="Times New Roman" w:cs="Tahoma"/>
      <w:sz w:val="16"/>
      <w:szCs w:val="16"/>
      <w:lang w:val="en-US"/>
    </w:rPr>
  </w:style>
  <w:style w:type="character" w:styleId="1027">
    <w:name w:val="annotation reference"/>
    <w:basedOn w:val="842"/>
    <w:uiPriority w:val="99"/>
    <w:semiHidden/>
    <w:unhideWhenUsed/>
    <w:qFormat/>
    <w:rPr>
      <w:sz w:val="16"/>
      <w:szCs w:val="16"/>
    </w:rPr>
  </w:style>
  <w:style w:type="character" w:styleId="1028" w:customStyle="1">
    <w:name w:val="Текст примечания Знак"/>
    <w:basedOn w:val="842"/>
    <w:uiPriority w:val="99"/>
    <w:semiHidden/>
    <w:qFormat/>
    <w:rPr>
      <w:rFonts w:ascii="Calibri" w:hAnsi="Calibri" w:eastAsia="Times New Roman" w:cs="Times New Roman"/>
      <w:sz w:val="20"/>
      <w:szCs w:val="20"/>
      <w:lang w:val="en-US"/>
    </w:rPr>
  </w:style>
  <w:style w:type="character" w:styleId="1029" w:customStyle="1">
    <w:name w:val="Тема примечания Знак"/>
    <w:basedOn w:val="1028"/>
    <w:uiPriority w:val="99"/>
    <w:semiHidden/>
    <w:qFormat/>
    <w:rPr>
      <w:rFonts w:ascii="Calibri" w:hAnsi="Calibri" w:eastAsia="Times New Roman" w:cs="Times New Roman"/>
      <w:b/>
      <w:bCs/>
      <w:sz w:val="20"/>
      <w:szCs w:val="20"/>
      <w:lang w:val="en-US"/>
    </w:rPr>
  </w:style>
  <w:style w:type="character" w:styleId="1030" w:customStyle="1">
    <w:name w:val="Заголовок 1 Знак"/>
    <w:basedOn w:val="842"/>
    <w:uiPriority w:val="9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1031" w:customStyle="1">
    <w:name w:val="Текст сноски Знак"/>
    <w:basedOn w:val="842"/>
    <w:uiPriority w:val="99"/>
    <w:semiHidden/>
    <w:qFormat/>
    <w:rPr>
      <w:sz w:val="20"/>
      <w:szCs w:val="20"/>
    </w:rPr>
  </w:style>
  <w:style w:type="character" w:styleId="1032" w:customStyle="1">
    <w:name w:val="Символ сноски"/>
    <w:qFormat/>
    <w:rPr>
      <w:vertAlign w:val="superscript"/>
    </w:rPr>
  </w:style>
  <w:style w:type="character" w:styleId="1033" w:customStyle="1">
    <w:name w:val="Интернет-ссылка"/>
    <w:basedOn w:val="842"/>
    <w:uiPriority w:val="99"/>
    <w:unhideWhenUsed/>
    <w:rPr>
      <w:color w:val="0000ff" w:themeColor="hyperlink"/>
      <w:u w:val="single"/>
    </w:rPr>
  </w:style>
  <w:style w:type="character" w:styleId="1034" w:customStyle="1">
    <w:name w:val="ListLabel 1"/>
    <w:qFormat/>
    <w:rPr>
      <w:rFonts w:cs="Courier New"/>
    </w:rPr>
  </w:style>
  <w:style w:type="character" w:styleId="1035" w:customStyle="1">
    <w:name w:val="ListLabel 2"/>
    <w:qFormat/>
    <w:rPr>
      <w:rFonts w:cs="Courier New"/>
    </w:rPr>
  </w:style>
  <w:style w:type="character" w:styleId="1036" w:customStyle="1">
    <w:name w:val="ListLabel 3"/>
    <w:qFormat/>
    <w:rPr>
      <w:rFonts w:cs="Courier New"/>
    </w:rPr>
  </w:style>
  <w:style w:type="character" w:styleId="1037" w:customStyle="1">
    <w:name w:val="ListLabel 4"/>
    <w:qFormat/>
    <w:rPr>
      <w:rFonts w:cs="Courier New"/>
    </w:rPr>
  </w:style>
  <w:style w:type="character" w:styleId="1038" w:customStyle="1">
    <w:name w:val="ListLabel 5"/>
    <w:qFormat/>
    <w:rPr>
      <w:rFonts w:cs="Courier New"/>
    </w:rPr>
  </w:style>
  <w:style w:type="character" w:styleId="1039" w:customStyle="1">
    <w:name w:val="ListLabel 6"/>
    <w:qFormat/>
    <w:rPr>
      <w:rFonts w:cs="Courier New"/>
    </w:rPr>
  </w:style>
  <w:style w:type="character" w:styleId="1040" w:customStyle="1">
    <w:name w:val="ListLabel 7"/>
    <w:qFormat/>
    <w:rPr>
      <w:rFonts w:eastAsia="Arial Unicode MS" w:cs="Times New Roman"/>
      <w:color w:val="auto"/>
      <w:sz w:val="22"/>
    </w:rPr>
  </w:style>
  <w:style w:type="character" w:styleId="1041" w:customStyle="1">
    <w:name w:val="ListLabel 8"/>
    <w:qFormat/>
    <w:rPr>
      <w:rFonts w:cs="Courier New"/>
    </w:rPr>
  </w:style>
  <w:style w:type="character" w:styleId="1042" w:customStyle="1">
    <w:name w:val="ListLabel 9"/>
    <w:qFormat/>
    <w:rPr>
      <w:rFonts w:cs="Courier New"/>
    </w:rPr>
  </w:style>
  <w:style w:type="character" w:styleId="1043" w:customStyle="1">
    <w:name w:val="ListLabel 10"/>
    <w:qFormat/>
    <w:rPr>
      <w:rFonts w:cs="Courier New"/>
    </w:rPr>
  </w:style>
  <w:style w:type="character" w:styleId="1044" w:customStyle="1">
    <w:name w:val="ListLabel 11"/>
    <w:qFormat/>
    <w:rPr>
      <w:rFonts w:eastAsia="Arial Unicode MS" w:cs="Times New Roman"/>
      <w:color w:val="auto"/>
      <w:sz w:val="22"/>
    </w:rPr>
  </w:style>
  <w:style w:type="character" w:styleId="1045" w:customStyle="1">
    <w:name w:val="ListLabel 12"/>
    <w:qFormat/>
    <w:rPr>
      <w:rFonts w:cs="Courier New"/>
    </w:rPr>
  </w:style>
  <w:style w:type="character" w:styleId="1046" w:customStyle="1">
    <w:name w:val="ListLabel 13"/>
    <w:qFormat/>
    <w:rPr>
      <w:rFonts w:cs="Courier New"/>
    </w:rPr>
  </w:style>
  <w:style w:type="character" w:styleId="1047" w:customStyle="1">
    <w:name w:val="ListLabel 14"/>
    <w:qFormat/>
    <w:rPr>
      <w:rFonts w:cs="Courier New"/>
    </w:rPr>
  </w:style>
  <w:style w:type="character" w:styleId="1048" w:customStyle="1">
    <w:name w:val="ListLabel 15"/>
    <w:qFormat/>
    <w:rPr>
      <w:rFonts w:ascii="Times New Roman" w:hAnsi="Times New Roman" w:eastAsia="Arial Unicode MS" w:cs="Times New Roman"/>
      <w:color w:val="auto"/>
      <w:sz w:val="22"/>
    </w:rPr>
  </w:style>
  <w:style w:type="character" w:styleId="1049" w:customStyle="1">
    <w:name w:val="ListLabel 16"/>
    <w:qFormat/>
    <w:rPr>
      <w:b/>
      <w:spacing w:val="-6"/>
    </w:rPr>
  </w:style>
  <w:style w:type="character" w:styleId="1050" w:customStyle="1">
    <w:name w:val="ListLabel 17"/>
    <w:qFormat/>
    <w:rPr>
      <w:rFonts w:cs="Times New Roman"/>
      <w:sz w:val="24"/>
    </w:rPr>
  </w:style>
  <w:style w:type="character" w:styleId="1051" w:customStyle="1">
    <w:name w:val="ListLabel 18"/>
    <w:qFormat/>
    <w:rPr>
      <w:rFonts w:cs="Times New Roman"/>
      <w:sz w:val="24"/>
    </w:rPr>
  </w:style>
  <w:style w:type="character" w:styleId="1052" w:customStyle="1">
    <w:name w:val="ListLabel 19"/>
    <w:qFormat/>
    <w:rPr>
      <w:rFonts w:cs="Times New Roman"/>
      <w:sz w:val="24"/>
    </w:rPr>
  </w:style>
  <w:style w:type="character" w:styleId="1053" w:customStyle="1">
    <w:name w:val="ListLabel 20"/>
    <w:qFormat/>
    <w:rPr>
      <w:rFonts w:cs="Times New Roman"/>
      <w:sz w:val="24"/>
    </w:rPr>
  </w:style>
  <w:style w:type="character" w:styleId="1054" w:customStyle="1">
    <w:name w:val="ListLabel 21"/>
    <w:qFormat/>
    <w:rPr>
      <w:rFonts w:cs="Times New Roman"/>
      <w:sz w:val="24"/>
    </w:rPr>
  </w:style>
  <w:style w:type="character" w:styleId="1055" w:customStyle="1">
    <w:name w:val="ListLabel 22"/>
    <w:qFormat/>
    <w:rPr>
      <w:rFonts w:cs="Times New Roman"/>
      <w:sz w:val="24"/>
    </w:rPr>
  </w:style>
  <w:style w:type="character" w:styleId="1056" w:customStyle="1">
    <w:name w:val="ListLabel 23"/>
    <w:qFormat/>
    <w:rPr>
      <w:rFonts w:cs="Times New Roman"/>
      <w:sz w:val="24"/>
    </w:rPr>
  </w:style>
  <w:style w:type="character" w:styleId="1057" w:customStyle="1">
    <w:name w:val="ListLabel 24"/>
    <w:qFormat/>
    <w:rPr>
      <w:rFonts w:cs="Times New Roman"/>
      <w:sz w:val="24"/>
    </w:rPr>
  </w:style>
  <w:style w:type="character" w:styleId="1058" w:customStyle="1">
    <w:name w:val="ListLabel 25"/>
    <w:qFormat/>
    <w:rPr>
      <w:rFonts w:ascii="Times New Roman" w:hAnsi="Times New Roman" w:cs="Symbol"/>
      <w:sz w:val="24"/>
    </w:rPr>
  </w:style>
  <w:style w:type="character" w:styleId="1059" w:customStyle="1">
    <w:name w:val="ListLabel 26"/>
    <w:qFormat/>
    <w:rPr>
      <w:rFonts w:cs="Courier New"/>
    </w:rPr>
  </w:style>
  <w:style w:type="character" w:styleId="1060" w:customStyle="1">
    <w:name w:val="ListLabel 27"/>
    <w:qFormat/>
    <w:rPr>
      <w:rFonts w:cs="Wingdings"/>
    </w:rPr>
  </w:style>
  <w:style w:type="character" w:styleId="1061" w:customStyle="1">
    <w:name w:val="ListLabel 28"/>
    <w:qFormat/>
    <w:rPr>
      <w:rFonts w:cs="Symbol"/>
    </w:rPr>
  </w:style>
  <w:style w:type="character" w:styleId="1062" w:customStyle="1">
    <w:name w:val="ListLabel 29"/>
    <w:qFormat/>
    <w:rPr>
      <w:rFonts w:cs="Courier New"/>
    </w:rPr>
  </w:style>
  <w:style w:type="character" w:styleId="1063" w:customStyle="1">
    <w:name w:val="ListLabel 30"/>
    <w:qFormat/>
    <w:rPr>
      <w:rFonts w:cs="Wingdings"/>
    </w:rPr>
  </w:style>
  <w:style w:type="character" w:styleId="1064" w:customStyle="1">
    <w:name w:val="ListLabel 31"/>
    <w:qFormat/>
    <w:rPr>
      <w:rFonts w:cs="Symbol"/>
    </w:rPr>
  </w:style>
  <w:style w:type="character" w:styleId="1065" w:customStyle="1">
    <w:name w:val="ListLabel 32"/>
    <w:qFormat/>
    <w:rPr>
      <w:rFonts w:cs="Courier New"/>
    </w:rPr>
  </w:style>
  <w:style w:type="character" w:styleId="1066" w:customStyle="1">
    <w:name w:val="ListLabel 33"/>
    <w:qFormat/>
    <w:rPr>
      <w:rFonts w:cs="Wingdings"/>
    </w:rPr>
  </w:style>
  <w:style w:type="character" w:styleId="1067" w:customStyle="1">
    <w:name w:val="ListLabel 34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068" w:customStyle="1">
    <w:name w:val="ListLabel 35"/>
    <w:qFormat/>
    <w:rPr>
      <w:rFonts w:ascii="Times New Roman" w:hAnsi="Times New Roman" w:eastAsia="Times New Roman" w:cs="Times New Roman"/>
      <w:color w:val="0000ff"/>
      <w:sz w:val="24"/>
      <w:szCs w:val="24"/>
      <w:u w:val="single"/>
      <w:lang w:val="en-US" w:eastAsia="ru-RU"/>
    </w:rPr>
  </w:style>
  <w:style w:type="character" w:styleId="1069" w:customStyle="1">
    <w:name w:val="ListLabel 36"/>
    <w:qFormat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1070" w:customStyle="1">
    <w:name w:val="ListLabel 37"/>
    <w:qFormat/>
    <w:rPr>
      <w:rFonts w:ascii="Times New Roman" w:hAnsi="Times New Roman" w:cs="Times New Roman"/>
      <w:bCs/>
      <w:lang w:val="en-US"/>
    </w:rPr>
  </w:style>
  <w:style w:type="character" w:styleId="1071" w:customStyle="1">
    <w:name w:val="ListLabel 38"/>
    <w:qFormat/>
    <w:rPr>
      <w:rFonts w:ascii="Times New Roman" w:hAnsi="Times New Roman" w:cs="Times New Roman"/>
      <w:bCs/>
    </w:rPr>
  </w:style>
  <w:style w:type="character" w:styleId="1072" w:customStyle="1">
    <w:name w:val="Привязка сноски"/>
    <w:rPr>
      <w:vertAlign w:val="superscript"/>
    </w:rPr>
  </w:style>
  <w:style w:type="character" w:styleId="1073" w:customStyle="1">
    <w:name w:val="Привязка концевой сноски"/>
    <w:rPr>
      <w:vertAlign w:val="superscript"/>
    </w:rPr>
  </w:style>
  <w:style w:type="character" w:styleId="1074" w:customStyle="1">
    <w:name w:val="Символ концевой сноски"/>
    <w:qFormat/>
  </w:style>
  <w:style w:type="paragraph" w:styleId="1075" w:customStyle="1">
    <w:name w:val="Заголовок"/>
    <w:basedOn w:val="832"/>
    <w:next w:val="1076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1076">
    <w:name w:val="Body Text"/>
    <w:basedOn w:val="832"/>
    <w:pPr>
      <w:spacing w:after="140"/>
    </w:pPr>
  </w:style>
  <w:style w:type="paragraph" w:styleId="1077">
    <w:name w:val="List"/>
    <w:basedOn w:val="1076"/>
    <w:rPr>
      <w:rFonts w:cs="Arial Unicode MS"/>
    </w:rPr>
  </w:style>
  <w:style w:type="paragraph" w:styleId="1078">
    <w:name w:val="Caption"/>
    <w:basedOn w:val="832"/>
    <w:qFormat/>
    <w:pPr>
      <w:spacing w:before="120" w:after="120"/>
      <w:suppressLineNumbers/>
    </w:pPr>
    <w:rPr>
      <w:rFonts w:cs="Arial Unicode MS"/>
      <w:i/>
      <w:iCs/>
      <w:sz w:val="24"/>
      <w:szCs w:val="24"/>
    </w:rPr>
  </w:style>
  <w:style w:type="paragraph" w:styleId="1079">
    <w:name w:val="index heading"/>
    <w:basedOn w:val="832"/>
    <w:qFormat/>
    <w:pPr>
      <w:suppressLineNumbers/>
    </w:pPr>
    <w:rPr>
      <w:rFonts w:cs="Arial Unicode MS"/>
    </w:rPr>
  </w:style>
  <w:style w:type="paragraph" w:styleId="1080">
    <w:name w:val="Header"/>
    <w:basedOn w:val="832"/>
    <w:link w:val="87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1081">
    <w:name w:val="Footer"/>
    <w:basedOn w:val="832"/>
    <w:link w:val="88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1082">
    <w:name w:val="Balloon Text"/>
    <w:basedOn w:val="832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83" w:customStyle="1">
    <w:name w:val="Таблица шапка"/>
    <w:basedOn w:val="832"/>
    <w:qFormat/>
    <w:pPr>
      <w:ind w:left="57" w:right="57"/>
      <w:keepNext/>
      <w:spacing w:before="40" w:after="40" w:line="240" w:lineRule="auto"/>
    </w:pPr>
    <w:rPr>
      <w:rFonts w:ascii="Times New Roman" w:hAnsi="Times New Roman"/>
      <w:szCs w:val="20"/>
      <w:lang w:eastAsia="ru-RU"/>
    </w:rPr>
  </w:style>
  <w:style w:type="paragraph" w:styleId="1084" w:customStyle="1">
    <w:name w:val="Таблица текст"/>
    <w:basedOn w:val="832"/>
    <w:qFormat/>
    <w:pPr>
      <w:ind w:left="57" w:right="57"/>
      <w:spacing w:before="40" w:after="40" w:line="240" w:lineRule="auto"/>
    </w:pPr>
    <w:rPr>
      <w:rFonts w:ascii="Times New Roman" w:hAnsi="Times New Roman"/>
      <w:sz w:val="24"/>
      <w:szCs w:val="20"/>
      <w:lang w:eastAsia="ru-RU"/>
    </w:rPr>
  </w:style>
  <w:style w:type="paragraph" w:styleId="1085">
    <w:name w:val="annotation text"/>
    <w:basedOn w:val="832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1086">
    <w:name w:val="annotation subject"/>
    <w:basedOn w:val="1085"/>
    <w:next w:val="1085"/>
    <w:uiPriority w:val="99"/>
    <w:semiHidden/>
    <w:unhideWhenUsed/>
    <w:qFormat/>
    <w:rPr>
      <w:b/>
      <w:bCs/>
    </w:rPr>
  </w:style>
  <w:style w:type="paragraph" w:styleId="1087">
    <w:name w:val="Revision"/>
    <w:uiPriority w:val="99"/>
    <w:semiHidden/>
    <w:qFormat/>
    <w:rPr>
      <w:rFonts w:eastAsia="Times New Roman" w:cs="Times New Roman"/>
      <w:lang w:val="en-US"/>
    </w:rPr>
  </w:style>
  <w:style w:type="paragraph" w:styleId="1088">
    <w:name w:val="List Paragraph"/>
    <w:basedOn w:val="832"/>
    <w:uiPriority w:val="34"/>
    <w:qFormat/>
    <w:pPr>
      <w:contextualSpacing/>
      <w:ind w:left="720"/>
    </w:pPr>
  </w:style>
  <w:style w:type="paragraph" w:styleId="1089" w:customStyle="1">
    <w:name w:val="Основной текст1"/>
    <w:qFormat/>
    <w:pPr>
      <w:jc w:val="both"/>
    </w:pPr>
    <w:rPr>
      <w:rFonts w:ascii="Times New Roman" w:hAnsi="Times New Roman" w:eastAsia="Times New Roman" w:cs="Times New Roman"/>
      <w:bCs/>
      <w:color w:val="000000"/>
      <w:sz w:val="20"/>
      <w:szCs w:val="20"/>
      <w:lang w:eastAsia="ru-RU"/>
    </w:rPr>
  </w:style>
  <w:style w:type="paragraph" w:styleId="1090" w:customStyle="1">
    <w:name w:val="Основной текст2"/>
    <w:qFormat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ru-RU"/>
    </w:rPr>
  </w:style>
  <w:style w:type="paragraph" w:styleId="1091">
    <w:name w:val="No Spacing"/>
    <w:qFormat/>
    <w:rPr>
      <w:rFonts w:eastAsia="Times New Roman" w:cs="Calibri"/>
      <w:lang w:eastAsia="zh-CN"/>
    </w:rPr>
  </w:style>
  <w:style w:type="paragraph" w:styleId="1092">
    <w:name w:val="footnote text"/>
    <w:basedOn w:val="832"/>
    <w:link w:val="1008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1093">
    <w:name w:val="Table Grid"/>
    <w:basedOn w:val="84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94" w:customStyle="1">
    <w:name w:val="Без интервала;Основной;Основа;Без интервал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Times New Roman" w:cs="Calibri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consultantplus://offline/main?base=LAW;n=112770;fld=134" TargetMode="External"/><Relationship Id="rId12" Type="http://schemas.openxmlformats.org/officeDocument/2006/relationships/hyperlink" Target="consultantplus://offline/main?base=LAW;n=116659;fld=134" TargetMode="External"/><Relationship Id="rId13" Type="http://schemas.openxmlformats.org/officeDocument/2006/relationships/hyperlink" Target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A842D-9097-4B83-9A18-02744712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Баканова Ольга Геннадьевна</dc:creator>
  <dc:language>ru-RU</dc:language>
  <cp:revision>9</cp:revision>
  <dcterms:created xsi:type="dcterms:W3CDTF">2026-03-27T13:23:00Z</dcterms:created>
  <dcterms:modified xsi:type="dcterms:W3CDTF">2026-08-28T09:14:20Z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