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7"/>
        <w:ind w:left="0" w:right="0" w:firstLine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МУНИЦИПАЛЬНЫЙ КОНТРАКТ №________________ </w:t>
      </w:r>
      <w:r>
        <w:rPr>
          <w:sz w:val="24"/>
          <w:szCs w:val="24"/>
        </w:rPr>
      </w:r>
      <w:r/>
    </w:p>
    <w:p>
      <w:pPr>
        <w:pStyle w:val="927"/>
        <w:ind w:left="0" w:right="0" w:firstLine="709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  <w:lang w:val="ru-RU"/>
        </w:rPr>
      </w:r>
      <w:r>
        <w:rPr>
          <w:b w:val="0"/>
          <w:sz w:val="24"/>
          <w:szCs w:val="24"/>
        </w:rPr>
      </w:r>
      <w:r/>
    </w:p>
    <w:p>
      <w:pPr>
        <w:pStyle w:val="829"/>
        <w:spacing w:before="0" w:after="0" w:line="240" w:lineRule="auto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г. Сланцы </w:t>
        <w:tab/>
        <w:tab/>
        <w:tab/>
        <w:tab/>
        <w:tab/>
        <w:tab/>
        <w:tab/>
        <w:tab/>
        <w:t xml:space="preserve">«____»_________ 2026 года</w:t>
      </w:r>
      <w:r>
        <w:rPr>
          <w:sz w:val="24"/>
          <w:szCs w:val="24"/>
        </w:rPr>
      </w:r>
      <w:r/>
    </w:p>
    <w:p>
      <w:pPr>
        <w:jc w:val="cente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widowControl w:val="off"/>
        <w:rPr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Администрация муниципального образования Сланцевский муниципальный район Ленинградской области (далее – администрация Сланцевского муниципального района),  именуемая в дальнейшем «Заказчик», от имени </w:t>
      </w: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Сланцевского городского поселения Сланцевского муниципального района Ленинградской области, в лице заместителя главы администрации Сланцевский муниципальный район Ленинградской области Гришакова Вячеслава Евгеньевича, действующего на основании </w:t>
      </w: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доверенности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 09.01.2026 № 1</w:t>
      </w: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,</w:t>
      </w: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 с одной стороны</w:t>
      </w:r>
      <w:r>
        <w:rPr>
          <w:rFonts w:ascii="Times New Roman" w:hAnsi="Times New Roman" w:eastAsia="SimSun" w:cs="Times New Roman"/>
          <w:bCs/>
          <w:iCs/>
          <w:spacing w:val="-6"/>
          <w:sz w:val="24"/>
          <w:szCs w:val="24"/>
          <w:lang w:eastAsia="hi-IN" w:bidi="hi-IN"/>
        </w:rPr>
        <w:t xml:space="preserve"> и 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именуемое в дальнейшем «Исполнитель», в лице __________________________________, действующего на основании _____________ с другой стороны</w:t>
      </w:r>
      <w:r>
        <w:rPr>
          <w:rFonts w:ascii="Times New Roman" w:hAnsi="Times New Roman" w:eastAsia="SimSun" w:cs="Times New Roman"/>
          <w:bCs/>
          <w:spacing w:val="-6"/>
          <w:sz w:val="24"/>
          <w:szCs w:val="24"/>
          <w:lang w:eastAsia="hi-IN" w:bidi="hi-IN"/>
        </w:rPr>
        <w:t xml:space="preserve">, </w:t>
      </w:r>
      <w:r>
        <w:rPr>
          <w:rFonts w:ascii="Times New Roman" w:hAnsi="Times New Roman" w:eastAsia="SimSun" w:cs="Times New Roman"/>
          <w:bCs/>
          <w:sz w:val="24"/>
          <w:szCs w:val="24"/>
          <w:lang w:eastAsia="hi-IN" w:bidi="hi-IN"/>
        </w:rPr>
        <w:t xml:space="preserve">в дальнейшем вместе именуемые «Стороны»,</w:t>
      </w:r>
      <w:r>
        <w:rPr>
          <w:rFonts w:ascii="Times New Roman" w:hAnsi="Times New Roman" w:eastAsia="SimSun" w:cs="Times New Roman"/>
          <w:sz w:val="24"/>
          <w:szCs w:val="24"/>
          <w:lang w:eastAsia="hi-IN" w:bidi="hi-IN"/>
        </w:rPr>
        <w:t xml:space="preserve"> и каждый в отдельности «Сторона», заключили настоящий муниципальный контракт (далее - Контракт) о нижеследующем:</w:t>
      </w:r>
      <w:r>
        <w:rPr>
          <w:sz w:val="24"/>
          <w:szCs w:val="24"/>
        </w:rPr>
      </w:r>
      <w:r/>
    </w:p>
    <w:p>
      <w:pPr>
        <w:pStyle w:val="829"/>
        <w:jc w:val="center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829"/>
        <w:jc w:val="center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1.ПРЕДМЕТ КОНТРАКТА</w:t>
      </w:r>
      <w:r>
        <w:rPr>
          <w:sz w:val="24"/>
          <w:szCs w:val="24"/>
        </w:rPr>
      </w:r>
      <w:r/>
    </w:p>
    <w:p>
      <w:pPr>
        <w:pStyle w:val="946"/>
        <w:numPr>
          <w:ilvl w:val="1"/>
          <w:numId w:val="2"/>
        </w:numPr>
        <w:ind w:left="0" w:right="0" w:firstLine="567"/>
        <w:jc w:val="both"/>
        <w:tabs>
          <w:tab w:val="left" w:pos="1134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Настоящий Контракт заключен в соответствии с п. 4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  <w:r>
        <w:rPr>
          <w:sz w:val="24"/>
          <w:szCs w:val="24"/>
        </w:rPr>
      </w:r>
      <w:r/>
    </w:p>
    <w:p>
      <w:pPr>
        <w:pStyle w:val="946"/>
        <w:numPr>
          <w:ilvl w:val="1"/>
          <w:numId w:val="2"/>
        </w:numPr>
        <w:ind w:left="0" w:right="0" w:firstLine="567"/>
        <w:jc w:val="both"/>
        <w:tabs>
          <w:tab w:val="left" w:pos="1134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Исполнитель по заданию Заказчика обязуется оказать услуги по разработке схемы водоснабжения и водоотведения Сланцевского городского поселения Сланцевского муниципального района Ленинградской области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  <w:r>
        <w:rPr>
          <w:sz w:val="24"/>
          <w:szCs w:val="24"/>
        </w:rPr>
      </w:r>
      <w:r/>
    </w:p>
    <w:p>
      <w:pPr>
        <w:pStyle w:val="946"/>
        <w:numPr>
          <w:ilvl w:val="1"/>
          <w:numId w:val="2"/>
        </w:numPr>
        <w:ind w:left="0" w:right="0" w:firstLine="567"/>
        <w:jc w:val="both"/>
        <w:tabs>
          <w:tab w:val="left" w:pos="1134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Состав, объём, содержание и стоимость Услуг определены в техническом задании (Приложение к Контракту), являющемся неотъемлемой частью настоящего Контракта. </w:t>
      </w:r>
      <w:r>
        <w:rPr>
          <w:sz w:val="24"/>
          <w:szCs w:val="24"/>
        </w:rPr>
      </w:r>
      <w:r/>
    </w:p>
    <w:p>
      <w:pPr>
        <w:pStyle w:val="946"/>
        <w:numPr>
          <w:ilvl w:val="1"/>
          <w:numId w:val="2"/>
        </w:numPr>
        <w:ind w:left="0" w:right="0" w:firstLine="567"/>
        <w:jc w:val="both"/>
        <w:tabs>
          <w:tab w:val="left" w:pos="1134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Срок оказания Услуг: с момента подписания настоящего Контракта в течении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календарных дней.</w:t>
      </w:r>
      <w:r>
        <w:rPr>
          <w:sz w:val="24"/>
          <w:szCs w:val="24"/>
        </w:rPr>
      </w:r>
      <w:r/>
    </w:p>
    <w:p>
      <w:pPr>
        <w:pStyle w:val="946"/>
        <w:ind w:left="0" w:right="0" w:firstLine="567"/>
        <w:jc w:val="both"/>
        <w:rPr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1.5. Место оказания Услуг:</w:t>
      </w:r>
      <w:r>
        <w:rPr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Ленинградская область, Сланцевский район, Сланцевское город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ское поселение.</w:t>
      </w:r>
      <w:r>
        <w:rPr>
          <w:color w:val="000000" w:themeColor="text1"/>
          <w:sz w:val="24"/>
          <w:szCs w:val="24"/>
        </w:rPr>
      </w:r>
      <w:r/>
    </w:p>
    <w:p>
      <w:pPr>
        <w:pStyle w:val="946"/>
        <w:ind w:left="0" w:right="0" w:firstLine="567"/>
        <w:jc w:val="both"/>
        <w:rPr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1.6. Идентификационный код закупки (ИКЗ) </w:t>
      </w:r>
      <w:r>
        <w:rPr>
          <w:color w:val="000000" w:themeColor="text1"/>
          <w:sz w:val="24"/>
          <w:szCs w:val="24"/>
        </w:rPr>
      </w:r>
      <w:hyperlink r:id="rId9" w:tooltip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w:history="1"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white"/>
            <w:u w:val="none"/>
          </w:rPr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4</w:t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810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</w:hyperlink>
      <w:r>
        <w:rPr>
          <w:color w:val="000000" w:themeColor="text1"/>
          <w:sz w:val="24"/>
          <w:szCs w:val="24"/>
        </w:rPr>
      </w:r>
      <w:r/>
    </w:p>
    <w:p>
      <w:pPr>
        <w:pStyle w:val="954"/>
        <w:ind w:left="0" w:right="0" w:firstLine="567"/>
        <w:jc w:val="both"/>
        <w:keepNext/>
        <w:spacing w:before="0" w:after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1.7. ОКПД 2: 74.90.19.190</w:t>
      </w:r>
      <w:r>
        <w:rPr>
          <w:sz w:val="24"/>
          <w:szCs w:val="24"/>
        </w:rPr>
      </w:r>
      <w:r/>
    </w:p>
    <w:p>
      <w:pPr>
        <w:pStyle w:val="954"/>
        <w:ind w:left="0" w:right="0" w:firstLine="0"/>
        <w:jc w:val="center"/>
        <w:keepNext/>
        <w:spacing w:before="0"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ru-RU"/>
        </w:rPr>
      </w:r>
      <w:r>
        <w:rPr>
          <w:rFonts w:cs="Times New Roman"/>
          <w:b/>
          <w:bCs/>
          <w:sz w:val="24"/>
          <w:szCs w:val="24"/>
        </w:rPr>
      </w:r>
      <w:r/>
    </w:p>
    <w:p>
      <w:pPr>
        <w:pStyle w:val="941"/>
        <w:ind w:left="0" w:right="0" w:firstLine="709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2. ЦЕНА КОНТРАКТА И ПОРЯДОК РАСЧЁТОВ</w:t>
      </w:r>
      <w:r>
        <w:rPr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2.1. Цена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стоящего контракта составляет: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29"/>
        <w:ind w:left="0" w:right="0" w:firstLine="567"/>
        <w:jc w:val="both"/>
        <w:spacing w:before="0" w:after="0" w:afterAutospacing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Цена конт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Цена Контракта включает в себя все затраты, издержки и иные расходы Исполнителя, в том числе сопутствующие, связанные с исполнением настоящего Контракта.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Источник финансирования - бюджет Сланцевского городского поселения Сланцевского муниципального района Ленинградской области.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2.2. Цена Контракта является твёрдой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и определяется на весь срок исполнения Контракта, за исключением случаев, предусмотренных ст. 95  ФЗ № 44-ФЗ.</w:t>
      </w:r>
      <w:r/>
    </w:p>
    <w:p>
      <w:pPr>
        <w:pStyle w:val="829"/>
        <w:ind w:left="0" w:right="0" w:firstLine="567"/>
        <w:jc w:val="both"/>
        <w:spacing w:before="0" w:after="0" w:line="240" w:lineRule="auto"/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2.3. Оплата за оказанные Услуги производится единовременно исходя из фактически оказанных объемов Услуг, в течение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семи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 рабочих дней с даты подписания Заказчиком документа о приемке, на основании счета, счета-фактуры, иной необходимой приемно-сдаточной документации Исполнителя.</w:t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2.4. Оплата по Контракту осуществляется в соответствии с правилами казначейского исполнения бюджета, путем б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езналичного перевода денежных средств в валюте Российской Федерации (рубль) на расчетный счет Исполнителя, указанный в </w:t>
      </w:r>
      <w:r>
        <w:rPr>
          <w:color w:val="000000" w:themeColor="text1"/>
          <w:sz w:val="24"/>
          <w:szCs w:val="24"/>
        </w:rPr>
        <w:fldChar w:fldCharType="begin"/>
      </w:r>
      <w:r>
        <w:rPr>
          <w:color w:val="000000" w:themeColor="text1"/>
          <w:sz w:val="24"/>
          <w:szCs w:val="24"/>
        </w:rPr>
        <w:instrText xml:space="preserve"> HYPERLINK "consultantplus://offline/ref=1DFEC7638300A505F27E29B58ADA737C300DA16B3A3140B8B745165F41671B562F761484C56C73FE16J"</w:instrText>
      </w:r>
      <w:r>
        <w:rPr>
          <w:color w:val="000000" w:themeColor="text1"/>
          <w:sz w:val="24"/>
          <w:szCs w:val="24"/>
        </w:rPr>
        <w:fldChar w:fldCharType="separate"/>
      </w:r>
      <w:r>
        <w:rPr>
          <w:rStyle w:val="957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пункте 1</w:t>
      </w:r>
      <w:r>
        <w:rPr>
          <w:color w:val="000000" w:themeColor="text1"/>
          <w:sz w:val="24"/>
          <w:szCs w:val="24"/>
        </w:rPr>
        <w:fldChar w:fldCharType="end"/>
      </w:r>
      <w:r>
        <w:rPr>
          <w:rStyle w:val="957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  <w:r>
        <w:rPr>
          <w:color w:val="000000" w:themeColor="text1"/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tabs>
          <w:tab w:val="left" w:pos="540" w:leader="none"/>
          <w:tab w:val="left" w:pos="700" w:leader="none"/>
        </w:tabs>
        <w:rPr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2.5. Исполнитель не вправе требовать от Заказчика оплаты Услуг, которые были оказаны им без письменного согласования с Заказчиком.</w:t>
      </w:r>
      <w:r>
        <w:rPr>
          <w:color w:val="000000" w:themeColor="text1"/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2.6. Заказчик не несёт ответственности перед Исполнителем за несвоеврем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енное перечисление последнему денежных средств, в случаях задержки или приостановления бюджетного финансирования.</w:t>
      </w:r>
      <w:r/>
    </w:p>
    <w:p>
      <w:pPr>
        <w:pStyle w:val="829"/>
        <w:jc w:val="cente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</w:rPr>
      </w:r>
      <w:r/>
    </w:p>
    <w:p>
      <w:pPr>
        <w:pStyle w:val="829"/>
        <w:jc w:val="center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3. ПРАВА И ОБЯЗАННОСТИ СТОРОН</w:t>
      </w:r>
      <w:r>
        <w:rPr>
          <w:sz w:val="24"/>
          <w:szCs w:val="24"/>
        </w:rPr>
      </w:r>
      <w:r/>
    </w:p>
    <w:p>
      <w:pPr>
        <w:pStyle w:val="941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3.1. Стороны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на время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оказания Услуг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 настоящему Контракту, назнача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ют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сво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представител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разрешения всех возникающих вопросов.</w:t>
      </w:r>
      <w:r>
        <w:rPr>
          <w:sz w:val="24"/>
          <w:szCs w:val="24"/>
        </w:rPr>
      </w:r>
      <w:r/>
    </w:p>
    <w:p>
      <w:pPr>
        <w:pStyle w:val="941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3.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Заказчик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обязан: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/>
    </w:p>
    <w:p>
      <w:pPr>
        <w:pStyle w:val="946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3.2.1. Принять оказанные Услуги согласно  п. 4 настоящего Контракта.</w:t>
      </w:r>
      <w:r>
        <w:rPr>
          <w:sz w:val="24"/>
          <w:szCs w:val="24"/>
        </w:rPr>
      </w:r>
      <w:r/>
    </w:p>
    <w:p>
      <w:pPr>
        <w:pStyle w:val="941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 Производить оплату за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оказанные Услуги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согласно п. 2 настоящего Контракта.</w:t>
      </w:r>
      <w:r>
        <w:rPr>
          <w:sz w:val="24"/>
          <w:szCs w:val="24"/>
        </w:rPr>
      </w:r>
      <w:r/>
    </w:p>
    <w:p>
      <w:pPr>
        <w:pStyle w:val="941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В случае обнаружения при осуществлении контроля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оказания Услуг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отступлений от условий Контракта, которые могут ухудшить качество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результат оказываемых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Услуг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или обнаружения иных недостатков, немедленно заявить об этом Исполнител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ю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sz w:val="24"/>
          <w:szCs w:val="24"/>
        </w:rPr>
      </w:r>
      <w:r/>
    </w:p>
    <w:p>
      <w:pPr>
        <w:pStyle w:val="941"/>
        <w:ind w:left="0" w:right="0" w:firstLine="567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3.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3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Исполнитель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обязан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</w:t>
      </w:r>
      <w:r>
        <w:rPr>
          <w:sz w:val="24"/>
          <w:szCs w:val="24"/>
        </w:rPr>
      </w:r>
      <w:r/>
    </w:p>
    <w:p>
      <w:pPr>
        <w:pStyle w:val="946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3.3.1. Своевременно, качественно и надлежащим образом оказывать Услуги в соответствии с требованиями и условиями настоящего Контракта и действующим законодательством РФ.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3.3.2. Немедленно письменно предупредить Заказчика при обнаружении не зависящих от Исполнителя обстоятельств, которые грозят нарушению годности результатов оказываемых Услуг, либо создают невозможность их оказания в срок.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both"/>
        <w:widowControl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3.3.3. Обеспечить Заказчику возможность контроля оказания Услуг, в том числе представлять по его требованию соответствующий отчёт.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3.3.4. Обеспечить выполнение необходимых мероприятий по технике безопасности, охране окружающей среды, противопожарные мероприятия.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3.3.5. Обеспечить соответствие результатов услуг требованиям качества, безопасности жизни и здоровья, установленным действующим законодательством РФ.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3.3.6. Гарантировать качество материалов, средств, техники, наличие сертификатов, технических паспортов и других соответствующих документов, используемых при оказании Услуг.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3.3.7. Выполнять указания Заказчика, представленные в письменном виде.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3.3.8. Нести ответственность за сохранность предоставленного Заказчиком имущества, оказавшегося во владении Исполнителя в связи с исполнением настоящего Контракта.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3.3.9. Не допускать повреждения имущества третьих лиц при оказании Услуг.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3.3.10. Исполнять иные обязательства, предусмотренные настоящим Контрактом и действующим гражданским законодательством РФ.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3.3.11. Соответствовать требованиям, установленным в ст. 31 ФЗ № 44 ФЗ.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3.3.12. Исполнитель несет ответственность за подлинность и достоверность всех представленных документов.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both"/>
        <w:widowControl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3.4. Заказчик вправе: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3.4.1.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3.4.2. Осуществлять контроль за ходом и 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ачеством оказываемых Услуг, соблюдением сроков их оказания и соответствием установленной настоящим Контрактом цене, а также за качеством используемых материалов, средств, техники, не вмешиваясь при этом в оперативно-хозяйственную деятельность Исполнителя. 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both"/>
        <w:widowControl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3.5. Исполнитель вправе: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both"/>
        <w:widowControl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3.5.1. Требовать полной оплаты по настоящему Контракту в случае полного и своевременного исполнения обязательств по настоящему Контракту.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3.6. В случае существенных нарушений ус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ловий Контракта Исполнителем, Заказчик расторгает Контракт в установленном законом порядке и направляет информацию об Исполнителе, как о ненадлежащем поставщике в Федеральную антимонопольную службу, с целью включения в реестр недобросовестных исполнителей.</w:t>
      </w:r>
      <w:r>
        <w:rPr>
          <w:sz w:val="24"/>
          <w:szCs w:val="24"/>
        </w:rPr>
      </w:r>
      <w:r/>
    </w:p>
    <w:p>
      <w:pPr>
        <w:pStyle w:val="936"/>
        <w:ind w:left="0" w:right="0" w:firstLine="567"/>
        <w:jc w:val="center"/>
        <w:widowControl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939"/>
        <w:jc w:val="center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4. ПОРЯДОК СДАЧИ И ПРИЁМКИ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ОКАЗАННЫХ УСЛУГ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 По завершении оказания услуг Исполнитель в течении 1 рабочего дня письменно уведомляет Заказчика о готовно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сти к сдаче результата оказанных услуг и направляет ему нарочным акт приемки оказанных Услуг, счет, счет-фактуру и иную необходимую приемо-сдаточную документацию, согласно приложения к настоящему контракту, подписанную Исполнителем, в 2 (двух) экземплярах.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 Сдача Исполнителем оказанных услуг по настоящему Контракту и приемка их Заказчиком проводится в соответствии с требованиями действующего законодательства.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4.3.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 позднее 5 (пяти) рабочих дней после получения от Исполнителя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документов, предусмотренных п. 4.1. настоящего Контракта, Заказчик рассматривает результаты и осуществляет приёмку оказанных Услуг по Контракту на предмет соответствия их объёма, качества, требованиям, изложенным в настоящем Контракте и приложениях к нему,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направляет Исполнителю подписанный 1 (один) экземпляр акта приёмки оказанных Услуг или мотивированный отказ от принятия оказанных Услуг с перечнем выявленных недостатков, необходимых доработок и сроком их устранения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В случае отказа Заказчика от принятия оказанных Услуг, в связи с необходимостью устранения недостатков или выполнения доработок, Исполнитель обязуется в срок, установленный Заказчиком, устранить указанные недостатки или произвести доработки за свой счет.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4.4. Заказчик проводит экспертизу результатов фактически оказанных услуг с привлечением экспертов, экспертных организаций, либо силами Заказчика.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4.5. Подписанный Заказчиком акт приёмки оказанных Услуг, является основанием для оплаты Исполнителю результата оказанных Услуг.</w:t>
      </w:r>
      <w:r>
        <w:rPr>
          <w:sz w:val="24"/>
          <w:szCs w:val="24"/>
        </w:rPr>
      </w:r>
      <w:r/>
    </w:p>
    <w:p>
      <w:pPr>
        <w:pStyle w:val="941"/>
        <w:jc w:val="center"/>
        <w:tabs>
          <w:tab w:val="left" w:pos="25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941"/>
        <w:jc w:val="center"/>
        <w:tabs>
          <w:tab w:val="left" w:pos="2520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5. ОТВЕТСТВЕННОСТЬ СТОРОН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a"/>
          <w:sz w:val="24"/>
          <w:szCs w:val="24"/>
          <w:lang w:val="ru-RU"/>
        </w:rPr>
        <w:t xml:space="preserve">5.1.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5.2. Ответственность Заказчика: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Исполнитель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ffffff"/>
          <w:lang w:val="ru-RU"/>
        </w:rPr>
        <w:t xml:space="preserve">вправе потребовать уплаты неустоек (штрафов, пеней).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5.2.2. Пеня начисляется за каждый день просрочки исполнения обязательства, предусмотренного настоящим контрактом, начиная со дня, следующего после дн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я истечения установленного настоящим контрактом срока исполнения обязательства. Такая пеня устанавливается  контрактом в размере 1/300 действующей на дату уплаты пеней ключевой ставки Центрального  Банка Российской Федерации  от не уплаченной в срок суммы.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5.2.3. За каждый факт неисполнения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З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Исполнитель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вправе взыскать с Заказчика штраф в размере 1000 (одна тысяча) рублей 00 копеек.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5.3. Ответственность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Исполнителя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: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rFonts w:ascii="Times New Roman" w:hAnsi="Times New Roman" w:eastAsia="Times New Roman CYR" w:cs="Times New Roman"/>
          <w:b w:val="0"/>
          <w:bCs w:val="0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5.3.1.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В случае просрочки исполнения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обязательств, предусмотренных контрактом,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З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аказчик направляет 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Исполнителю</w:t>
      </w: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требование об уплате неустоек (штрафов, пеней).</w:t>
      </w:r>
      <w:r>
        <w:rPr>
          <w:rFonts w:ascii="Times New Roman" w:hAnsi="Times New Roman" w:cs="Times New Roman"/>
        </w:rPr>
      </w:r>
      <w:r/>
    </w:p>
    <w:p>
      <w:pPr>
        <w:ind w:left="0" w:right="0" w:firstLine="567"/>
        <w:jc w:val="both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 CYR" w:cs="Times New Roman"/>
          <w:b w:val="0"/>
          <w:color w:val="000000"/>
          <w:sz w:val="24"/>
          <w:szCs w:val="24"/>
          <w:shd w:val="clear" w:color="auto" w:fill="auto"/>
          <w:lang w:val="ru-RU"/>
        </w:rPr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5.3.2. Пеня начисляется за каждый день просрочки исполнения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cs="Times New Roman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5.3.3. За каждый факт неисполнения или ненадлежащего исполнения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Исполнитель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уплачивает Заказчику штраф в размере 10 %  цены контракта (этапа) _________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(_________________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) руб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лей ______ копеек.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5.3.4. За каждый факт неисполнения или ненадлежащего исполнения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Исполнитель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уплачивает Заказчику штраф в размере 1000 (одна тысяча) руб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лей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00 коп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еек.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5.4. Общая сумма начисленных штрафов за неисполнение или ненадлежащее исполнение 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Исполнителем</w:t>
      </w: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color w:val="000000"/>
          <w:sz w:val="24"/>
          <w:szCs w:val="24"/>
          <w:shd w:val="clear" w:color="auto" w:fill="auto"/>
          <w:lang w:val="ru-RU"/>
        </w:rPr>
        <w:t xml:space="preserve">5.5.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5.6. В случае неисполнения или ненад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лежащего исполнения Исполнителем обязательства (в том числе просрочки исполнения обязательства Исполнителем),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5.7.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случае невыполнения Исполнителем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и потребовать полного возмещения убытков и упущенную выгоду.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5.8. В случае если Заказчик понес убытки вследствие ненадлежащего исполнения Исполнителем своих обязательств по настоящему контракту, Исполнитель обязан возместить такие убытки Заказчику независимо от уплаты неустойки.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5.9. 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5.10. В случае расторжения контракта в связи с ненадлежащим исполнением Исполнителем своих обяз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ательств (в том числе по соглашению Сторон) последний в течение 5 (пяти) рабочих дней с даты расторжения контракта или подписания соглашения о расторжении контракта уплачивает Заказчику неустойку, определенную в соответствии с п. 5.3. настоящего контракта.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5.11.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  <w:r>
        <w:rPr>
          <w:sz w:val="24"/>
          <w:szCs w:val="24"/>
        </w:rPr>
      </w:r>
      <w:r/>
    </w:p>
    <w:p>
      <w:pPr>
        <w:pStyle w:val="941"/>
        <w:ind w:left="0" w:righ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941"/>
        <w:ind w:left="0" w:right="0" w:firstLine="709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6. ГАРАНТИИ</w:t>
      </w:r>
      <w:r>
        <w:rPr>
          <w:sz w:val="24"/>
          <w:szCs w:val="24"/>
        </w:rPr>
      </w:r>
      <w:r/>
    </w:p>
    <w:p>
      <w:pPr>
        <w:pStyle w:val="829"/>
        <w:ind w:left="0" w:right="-1" w:firstLine="567"/>
        <w:jc w:val="both"/>
        <w:spacing w:before="0" w:after="0" w:line="240" w:lineRule="auto"/>
        <w:tabs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6.1.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Услуг.</w:t>
      </w:r>
      <w:r>
        <w:rPr>
          <w:sz w:val="24"/>
          <w:szCs w:val="24"/>
        </w:rPr>
      </w:r>
      <w:r/>
    </w:p>
    <w:p>
      <w:pPr>
        <w:pStyle w:val="829"/>
        <w:ind w:left="0" w:right="-1" w:firstLine="567"/>
        <w:jc w:val="both"/>
        <w:spacing w:before="0" w:after="0" w:line="240" w:lineRule="auto"/>
        <w:tabs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6.2. Если в период гарантийного срока обнаружатся недостатки,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то Исполнитель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  <w:r>
        <w:rPr>
          <w:sz w:val="24"/>
          <w:szCs w:val="24"/>
        </w:rPr>
      </w:r>
      <w:r/>
    </w:p>
    <w:p>
      <w:pPr>
        <w:pStyle w:val="829"/>
        <w:ind w:left="0" w:right="-1" w:firstLine="567"/>
        <w:jc w:val="both"/>
        <w:spacing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6.3.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Контракту.</w:t>
      </w:r>
      <w:r>
        <w:rPr>
          <w:sz w:val="24"/>
          <w:szCs w:val="24"/>
        </w:rPr>
      </w:r>
      <w:r/>
    </w:p>
    <w:p>
      <w:pPr>
        <w:pStyle w:val="942"/>
        <w:numPr>
          <w:ilvl w:val="0"/>
          <w:numId w:val="0"/>
        </w:numPr>
        <w:ind w:left="0" w:right="0" w:firstLine="0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7.</w:t>
      </w:r>
      <w:bookmarkStart w:id="0" w:name="_Ref131934169"/>
      <w:r>
        <w:rPr>
          <w:sz w:val="24"/>
          <w:szCs w:val="24"/>
          <w:lang w:val="ru-RU"/>
        </w:rPr>
        <w:t xml:space="preserve"> обстоятельства непреодолимой силы</w:t>
      </w:r>
      <w:bookmarkEnd w:id="0"/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7.1. </w:t>
      </w:r>
      <w:bookmarkStart w:id="1" w:name="_Ref131929059"/>
      <w:r>
        <w:rPr>
          <w:rFonts w:ascii="Times New Roman" w:hAnsi="Times New Roman" w:cs="Times New Roman"/>
          <w:sz w:val="24"/>
          <w:szCs w:val="24"/>
          <w:lang w:val="ru-RU"/>
        </w:rPr>
        <w:t xml:space="preserve">Стороны освобождаются от ответственности за полное или частичное неисполнение своих обязательств по настоящему Контракту,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1"/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</w:r>
      <w:bookmarkStart w:id="2" w:name="_Ref495908536"/>
      <w:r>
        <w:rPr>
          <w:rFonts w:ascii="Times New Roman" w:hAnsi="Times New Roman" w:cs="Times New Roman"/>
          <w:sz w:val="24"/>
          <w:szCs w:val="24"/>
          <w:lang w:val="ru-RU"/>
        </w:rPr>
        <w:t xml:space="preserve">7.2. Сторона, подвергшаяся действию обстоятельств непреодо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2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</w:r>
      <w:bookmarkStart w:id="3" w:name="_Ref495908541"/>
      <w:r>
        <w:rPr>
          <w:rFonts w:ascii="Times New Roman" w:hAnsi="Times New Roman" w:cs="Times New Roman"/>
          <w:sz w:val="24"/>
          <w:szCs w:val="24"/>
          <w:lang w:val="ru-RU"/>
        </w:rPr>
        <w:t xml:space="preserve"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3"/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7.4. Если обстоятельства непреодолимой силы будут существовать свыше 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r>
        <w:rPr>
          <w:sz w:val="24"/>
          <w:szCs w:val="24"/>
        </w:rPr>
      </w:r>
      <w:r/>
    </w:p>
    <w:p>
      <w:pPr>
        <w:pStyle w:val="942"/>
        <w:numPr>
          <w:ilvl w:val="0"/>
          <w:numId w:val="0"/>
        </w:numPr>
        <w:ind w:left="432" w:right="0" w:firstLine="709"/>
        <w:spacing w:before="0" w:after="0"/>
        <w:rPr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</w:rPr>
      </w:r>
      <w:r/>
    </w:p>
    <w:p>
      <w:pPr>
        <w:pStyle w:val="942"/>
        <w:numPr>
          <w:ilvl w:val="0"/>
          <w:numId w:val="0"/>
        </w:numPr>
        <w:ind w:left="432" w:right="0" w:firstLine="709"/>
        <w:spacing w:before="0" w:after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8. ПОРЯДОК УРЕГУЛИРОВАНИЯ СПОРОВ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8.1. Стороны принимают все меры 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 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десяти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 рабочих дней с момента их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получения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8.2. В случае не достижения взаимного согласия все споры, разногласия или требования, возникающие из 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8.3. К отношениям Сторон по настоящему Контракту и в связи с ним применяется законодательство Российской Федерации.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0"/>
        <w:jc w:val="center"/>
        <w:spacing w:before="0" w:after="0"/>
        <w:tabs>
          <w:tab w:val="left" w:pos="708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829"/>
        <w:jc w:val="center"/>
        <w:spacing w:before="0" w:after="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9. ИЗМЕНЕНИЕ, РАСТОРЖЕНИЕ КОНТРАКТА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9.1. Изменение существенных условий муниципального контракта при его исполнении не допускается, за исключением случаев, предусмотренных статьями 34, 95 Федерального закона № 44-ФЗ. 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9.2.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9.3. Настоящий Контракт может быть расторгнут: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- по соглашению Сторон;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- в судебном порядке;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- в связи с односторонним отказом Заказчика от исполнения контракта по основаниям, предусмотренным Гражданским кодексом Российской Федерации, статьей 95 Федерального закона № 44-ФЗ.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8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9.5.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Изменения и дополнения настоящего контракта возможны по соглашению Сторон в рамках действующего законодательства в сфере осуществления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закупок.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  <w:r>
        <w:rPr>
          <w:sz w:val="24"/>
          <w:szCs w:val="24"/>
        </w:rPr>
      </w:r>
      <w:r/>
    </w:p>
    <w:p>
      <w:pPr>
        <w:pStyle w:val="829"/>
        <w:ind w:left="0" w:right="0" w:firstLine="708"/>
        <w:jc w:val="center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829"/>
        <w:ind w:left="0" w:right="0" w:firstLine="708"/>
        <w:jc w:val="center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10. АНТИКОРРУПЦИОННАЯ ОГОВОРКА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10.1. При исполнении своих обязательств по Контракту Стороны, их аффилированнные лица, работники или посредники не выплачивают, не предлагают выплатить 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или посредников с целью получить какие- либо неправомерные преимущества или с иной неправомерной целью.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10.2. При исполнении своих обязательств по Контракту Стророны, их аффилированные лица, / работники или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10.3. В случае появления у Стороны информации, что произошло или может произойти нарушение как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  <w:r>
        <w:rPr>
          <w:sz w:val="24"/>
          <w:szCs w:val="24"/>
        </w:rPr>
      </w:r>
      <w:r/>
    </w:p>
    <w:p>
      <w:pPr>
        <w:pStyle w:val="829"/>
        <w:ind w:left="0" w:right="0" w:firstLine="567"/>
        <w:jc w:val="both"/>
        <w:spacing w:before="0"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rPr>
          <w:sz w:val="24"/>
          <w:szCs w:val="24"/>
        </w:rPr>
      </w:r>
      <w:r/>
    </w:p>
    <w:p>
      <w:pPr>
        <w:pStyle w:val="829"/>
        <w:jc w:val="center"/>
        <w:spacing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829"/>
        <w:jc w:val="center"/>
        <w:spacing w:before="0" w:after="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11. ЗАКЛЮЧИТЕЛЬНЫЕ ПОЛОЖЕНИЯ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9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11.1. Настоящий Контракт вступает в силу и становится обязательным для Сторон с момента его подписания обеими Сторонами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 действует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 30 декабря 202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6 года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а в части взаиморасчётов до полного исполнения Сторонами своих обязательств.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  <w:r>
        <w:rPr>
          <w:sz w:val="24"/>
          <w:szCs w:val="24"/>
        </w:rPr>
      </w:r>
      <w:r/>
    </w:p>
    <w:p>
      <w:pPr>
        <w:pStyle w:val="944"/>
        <w:contextualSpacing/>
        <w:ind w:left="0" w:right="0" w:firstLine="567"/>
        <w:spacing w:before="0" w:after="0"/>
        <w:tabs>
          <w:tab w:val="left" w:pos="709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11.3.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Настоящий Контракт составлен в двух экз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Исполнителя и Заказчика электронными цифровыми подписями уполномоченных лиц.</w:t>
      </w:r>
      <w:r>
        <w:rPr>
          <w:sz w:val="24"/>
          <w:szCs w:val="24"/>
        </w:rPr>
      </w:r>
      <w:r/>
    </w:p>
    <w:p>
      <w:pPr>
        <w:pStyle w:val="829"/>
        <w:jc w:val="center"/>
        <w:spacing w:before="0" w:after="0" w:afterAutospacing="0" w:line="240" w:lineRule="auto"/>
        <w:widowControl w:val="off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  <w:lang w:eastAsia="hi-IN" w:bidi="hi-IN"/>
        </w:rPr>
      </w:r>
      <w:r>
        <w:rPr>
          <w:rFonts w:ascii="Times New Roman" w:hAnsi="Times New Roman" w:eastAsia="SimSun" w:cs="Times New Roman"/>
          <w:b/>
          <w:bCs/>
          <w:sz w:val="24"/>
          <w:szCs w:val="24"/>
        </w:rPr>
      </w:r>
      <w:r/>
    </w:p>
    <w:p>
      <w:pPr>
        <w:pStyle w:val="829"/>
        <w:jc w:val="center"/>
        <w:spacing w:before="0" w:after="0" w:line="240" w:lineRule="auto"/>
        <w:widowControl w:val="off"/>
        <w:rPr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  <w:lang w:eastAsia="hi-IN" w:bidi="hi-IN"/>
        </w:rPr>
        <w:t xml:space="preserve">12. АДРЕСА, РЕКВИЗИТЫ И ПОДПИСИ СТОРОН</w:t>
      </w:r>
      <w:r>
        <w:rPr>
          <w:sz w:val="24"/>
          <w:szCs w:val="24"/>
        </w:rPr>
      </w:r>
      <w:r/>
    </w:p>
    <w:tbl>
      <w:tblPr>
        <w:tblW w:w="0" w:type="auto"/>
        <w:tblInd w:w="-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95"/>
        <w:gridCol w:w="5385"/>
      </w:tblGrid>
      <w:tr>
        <w:trPr>
          <w:trHeight w:val="70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95" w:type="dxa"/>
            <w:vAlign w:val="top"/>
            <w:textDirection w:val="lrTb"/>
            <w:noWrap w:val="false"/>
          </w:tcPr>
          <w:p>
            <w:pPr>
              <w:pStyle w:val="829"/>
              <w:ind w:left="0" w:right="0" w:firstLine="0"/>
              <w:spacing w:before="0" w:after="0" w:line="240" w:lineRule="auto"/>
              <w:widowControl w:val="off"/>
              <w:tabs>
                <w:tab w:val="left" w:pos="3655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 w:themeColor="text1"/>
                <w:sz w:val="24"/>
                <w:szCs w:val="24"/>
                <w:lang w:eastAsia="hi-IN" w:bidi="hi-IN"/>
              </w:rPr>
              <w:t xml:space="preserve">Заказчик: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pStyle w:val="829"/>
              <w:ind w:left="0" w:right="0" w:firstLine="0"/>
              <w:jc w:val="left"/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Администрация муниципального образования Сланцевский муниципальный район Ленинградской  области от имени  Сланцевского городского поселения Сланцевского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pStyle w:val="829"/>
              <w:ind w:left="0" w:right="0" w:firstLine="0"/>
              <w:jc w:val="left"/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Адрес: 188560, Ленинградская обл., г. Сланцы, пер. Почтовый, д. 3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Реквизиты: ИНН 4713008137,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КПП 470701001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Комитет финансов (Администрация Сланцевского муниципального района, л/с 401000000757)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КС 03231643416421014500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ОКЦ №1 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СЗ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ГУ Банка России//УФК по Ленинградской области г. Санкт-Петербург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ЕКС 40102810745370000098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БИК 044030098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ОГРН 1054700454940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ОКПО 43497407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ОКВЭД 84.11.3,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  <w:t xml:space="preserve">ОКТМО-41 642 101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14:ligatures w14:val="none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85" w:type="dxa"/>
            <w:vAlign w:val="top"/>
            <w:textDirection w:val="lrTb"/>
            <w:noWrap w:val="false"/>
          </w:tcPr>
          <w:p>
            <w:pPr>
              <w:pStyle w:val="829"/>
              <w:ind w:left="0" w:right="0" w:firstLine="0"/>
              <w:spacing w:before="0" w:after="0" w:line="240" w:lineRule="auto"/>
              <w:widowControl w:val="off"/>
              <w:tabs>
                <w:tab w:val="left" w:pos="3655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 w:themeColor="text1"/>
                <w:sz w:val="24"/>
                <w:szCs w:val="24"/>
                <w:lang w:eastAsia="hi-IN" w:bidi="hi-IN"/>
              </w:rPr>
              <w:t xml:space="preserve">Исполнитель: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/>
          </w:p>
          <w:p>
            <w:pPr>
              <w:pStyle w:val="829"/>
              <w:ind w:left="0" w:right="0" w:firstLine="0"/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u-RU"/>
              </w:rPr>
            </w:r>
            <w:r/>
          </w:p>
        </w:tc>
      </w:tr>
    </w:tbl>
    <w:p>
      <w:pPr>
        <w:pStyle w:val="829"/>
        <w:jc w:val="both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</w:rPr>
      </w:r>
      <w:r/>
    </w:p>
    <w:tbl>
      <w:tblPr>
        <w:tblW w:w="0" w:type="auto"/>
        <w:tblInd w:w="-9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4995"/>
        <w:gridCol w:w="5355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95" w:type="dxa"/>
            <w:vAlign w:val="top"/>
            <w:textDirection w:val="lrTb"/>
            <w:noWrap w:val="false"/>
          </w:tcPr>
          <w:p>
            <w:pPr>
              <w:pStyle w:val="952"/>
              <w:jc w:val="both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Заместитель главы администрации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муниципального образования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________________________В.Е. Гришаков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55" w:type="dxa"/>
            <w:vAlign w:val="top"/>
            <w:textDirection w:val="lrTb"/>
            <w:noWrap w:val="false"/>
          </w:tcPr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52"/>
              <w:jc w:val="both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______________________ ____________</w:t>
            </w:r>
            <w:r/>
          </w:p>
        </w:tc>
      </w:tr>
    </w:tbl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/>
    </w:p>
    <w:p>
      <w:pPr>
        <w:jc w:val="right"/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  <w:lang w:eastAsia="ar-SA"/>
        </w:rPr>
        <w:t xml:space="preserve">к </w:t>
      </w:r>
      <w:r>
        <w:rPr>
          <w:rFonts w:ascii="Times New Roman" w:hAnsi="Times New Roman" w:cs="Times New Roman"/>
          <w:lang w:eastAsia="ar-SA"/>
        </w:rPr>
        <w:t xml:space="preserve">муниципальному </w:t>
      </w:r>
      <w:r>
        <w:rPr>
          <w:rFonts w:ascii="Times New Roman" w:hAnsi="Times New Roman" w:cs="Times New Roman"/>
          <w:lang w:eastAsia="ar-SA"/>
        </w:rPr>
        <w:t xml:space="preserve">контр</w:t>
      </w:r>
      <w:bookmarkStart w:id="0" w:name="undefined"/>
      <w:r>
        <w:rPr>
          <w:rFonts w:ascii="Times New Roman" w:hAnsi="Times New Roman" w:cs="Times New Roman"/>
          <w:lang w:eastAsia="ar-SA"/>
        </w:rPr>
        <w:t xml:space="preserve">акту</w:t>
      </w:r>
      <w:bookmarkEnd w:id="0"/>
      <w:r>
        <w:rPr>
          <w:rFonts w:ascii="Times New Roman" w:hAnsi="Times New Roman" w:cs="Times New Roman"/>
          <w:lang w:eastAsia="ar-SA"/>
        </w:rPr>
      </w:r>
      <w:r/>
    </w:p>
    <w:p>
      <w:pPr>
        <w:jc w:val="right"/>
      </w:pPr>
      <w:r>
        <w:rPr>
          <w:rFonts w:ascii="Times New Roman" w:hAnsi="Times New Roman" w:cs="Times New Roman"/>
          <w:lang w:eastAsia="ar-SA"/>
        </w:rPr>
        <w:t xml:space="preserve">№</w:t>
      </w:r>
      <w:r>
        <w:rPr>
          <w:rFonts w:ascii="Times New Roman" w:hAnsi="Times New Roman" w:cs="Times New Roman"/>
          <w:lang w:eastAsia="ar-SA"/>
        </w:rPr>
        <w:t xml:space="preserve">______________</w:t>
      </w:r>
      <w:r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 xml:space="preserve">от</w:t>
      </w:r>
      <w:r>
        <w:rPr>
          <w:rFonts w:ascii="Times New Roman" w:hAnsi="Times New Roman" w:cs="Times New Roman"/>
          <w:lang w:eastAsia="ar-SA"/>
        </w:rPr>
        <w:t xml:space="preserve"> «____» ______________202</w:t>
      </w:r>
      <w:r>
        <w:rPr>
          <w:rFonts w:ascii="Times New Roman" w:hAnsi="Times New Roman" w:cs="Times New Roman"/>
          <w:lang w:eastAsia="ar-SA"/>
        </w:rPr>
        <w:t xml:space="preserve">6</w:t>
      </w:r>
      <w:r>
        <w:rPr>
          <w:rFonts w:ascii="Times New Roman" w:hAnsi="Times New Roman" w:cs="Times New Roman"/>
          <w:lang w:eastAsia="ar-SA"/>
        </w:rPr>
        <w:t xml:space="preserve"> г.</w:t>
      </w:r>
      <w:r>
        <w:rPr>
          <w:rFonts w:ascii="Times New Roman" w:hAnsi="Times New Roman" w:cs="Times New Roman"/>
        </w:rPr>
      </w:r>
      <w:r/>
    </w:p>
    <w:p>
      <w:pPr>
        <w:jc w:val="center"/>
        <w:spacing w:before="120" w:after="120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/>
    </w:p>
    <w:p>
      <w:pPr>
        <w:jc w:val="center"/>
        <w:spacing w:before="120" w:after="120"/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>
        <w:rPr>
          <w:rFonts w:ascii="Times New Roman" w:hAnsi="Times New Roman" w:cs="Times New Roman"/>
        </w:rPr>
      </w:r>
      <w:r/>
    </w:p>
    <w:p>
      <w:pPr>
        <w:jc w:val="center"/>
        <w:spacing w:before="120" w:after="12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по разработке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схемы водоснабжения и водоотведения  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Сланцевского городского поселения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Сланцевского муниципального района Ленинградской области</w:t>
      </w:r>
      <w:r>
        <w:rPr>
          <w:rFonts w:ascii="Times New Roman" w:hAnsi="Times New Roman" w:cs="Times New Roman"/>
        </w:rPr>
      </w:r>
      <w:r/>
    </w:p>
    <w:tbl>
      <w:tblPr>
        <w:tblW w:w="10831" w:type="dxa"/>
        <w:tblInd w:w="-572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7003"/>
      </w:tblGrid>
      <w:tr>
        <w:trPr>
          <w:trHeight w:val="449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основных требований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Содержание требований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33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ОБЩИЕ ДАННЫЕ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оказываемых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Разработка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схемы водоснабжения и водоотведения Сланцевского городского поселения Сланцевского муниципального района Ленинградской области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1.2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оказываемых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eastAsia="Ti" w:cs="Times New Roman"/>
                <w:sz w:val="24"/>
                <w:szCs w:val="24"/>
              </w:rPr>
              <w:t xml:space="preserve">аучно-исследовательские работы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1.3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Основания для оказания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радостроительный кодекс Российской Федерации от 29.12.2004 № 190;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Федеральный закон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07.12.2011 № 416-ФЗ «О водоснабжении и водоотведении»;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23.11.2009 № 261-ФЗ «Об энергосбережении и о повышении энерге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тической эффективности, и о внесении изменений в отдельные законодательные акты Российской Федерации»;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10.01.2002 № 7-ФЗ «Об охране окружающей среды»;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30.03.1999 № 52-ФЗ «О санитарно-эпидемиологическом благополучии населения»;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284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Правительства РФ от 05.09.2013 № 782 «О схемах водоснабжения и водоотведения» (вместе с «Правилами разработки и утверждения схем водоснабжения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водоотведения», «Требованиями к содержанию схем водоснабжения и водоотведения»);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0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 32.13330.2018 Канализация. Наружные сети и сооружения. СНиП 2.04.03-85;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0"/>
              <w:jc w:val="both"/>
              <w:spacing w:before="120" w:after="12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 31.13330.2021 «СНиП 2.04.02-84* Водоснабжение. Наружные сети и сооружения».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8"/>
              <w:numPr>
                <w:ilvl w:val="0"/>
                <w:numId w:val="7"/>
              </w:numPr>
              <w:ind w:left="0" w:firstLine="0"/>
              <w:jc w:val="both"/>
              <w:spacing w:before="120" w:after="12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профильные нормативно-правовые акты.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1.4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Сланцевского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(далее-Администрация).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1.5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(исполнитель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1.6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оказания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59"/>
              <w:numPr>
                <w:ilvl w:val="0"/>
                <w:numId w:val="4"/>
              </w:numPr>
              <w:ind w:left="0" w:firstLine="0"/>
              <w:jc w:val="both"/>
              <w:spacing w:before="120" w:after="120" w:line="274" w:lineRule="exact"/>
              <w:shd w:val="clear" w:color="auto" w:fill="ffffff"/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схемы водоснабжения и водоотведения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Сланцевского городского поселения Сланцевского муниципального района Ленинградской области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59"/>
              <w:numPr>
                <w:ilvl w:val="0"/>
                <w:numId w:val="4"/>
              </w:numPr>
              <w:ind w:left="0" w:firstLine="0"/>
              <w:jc w:val="both"/>
              <w:spacing w:before="120" w:after="120" w:line="274" w:lineRule="exact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электронной модели системы водоснабжения и водоотведения в ГИС Zulu 8.0. (существующего и перспективного положения).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1.7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оказываемых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объеме требований Постановления Правительства РФ от 05.09.2013 № 782 «О схемах водоснабжен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 и водоотведения» (с изменениями), а также в объеме требований, обозначенных настоящим техническим заданием.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1.8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оказания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 область, Сланцевский район, Сланцевское городское поселение.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1.9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(периоды) оказания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Работы выполняются в 4 этапа: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этап.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 исходных данных – 15 дней, со дня подписания контракта;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этап.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схемы и электронной модели системы водоснабжения, срок –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дней, со дня окончания первого этапа;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эта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схемы и электронной модели системы водоотведения, срок –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дней, со дня окончания первого этапа;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этап.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схемы водоснабжения и водоотведения со всеми заинтересованными сторонами – 25 дней со дня окончания второго и третьего этапа.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1.10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оказания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выполняет работы собственными силами и средствами, на своем оборудовании.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Рассматриваемый период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 оказании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на каждый год первого 5-летнего периода и на последующие 5-летние периоды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этапы) на расчетный срок действия Генерального плана муниципального образования.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ПРИНЦИПЫ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РАЗРАБОТКИ СХЕМЫ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Принципы и цели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разработки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spacing w:before="120" w:after="120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Целью разработки схем водоснабжения и водоотведения является обеспечение для абонентов доступности горячего водоснабжения, холодного водоснабжения и водоотведения с использованием централизованных систем горячего водоснабжения, холодного водос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набжения и (или) водоотведения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обеспечение горячего водоснабжения, холодного водоснабжения и водоотведения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оответствии с требованиями законодательства Российской Федерации, рационального водопользования, а также развитие централизованных систем водоснабжения и (или) водоотведения на основе наилучших доступных технологий и внедрения энергосберегающих технологий.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Принципами разработки схем водоснабжения и водоотведения являются: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охрана здоровья населения и улучшение качества жизни населения путем обеспечения бесперебойного и качественного водоснабжения и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энергетической эффективности путем экономного потребления воды;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негативного воздействия на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ные объекты путем повышения качества очистки сточных вод;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доступности водоснабжения и водоотведения для абонентов за счет повышения эффективности деятельности организаций, осуществляющих холодное водоснабжение и (или) водоотведение;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централизованных систем холодного водоснабжения и водоотведения путем развития эффективных форм управления этими системами, привлечения инвестиций и повышения квалификации и мотивации кадрового потенциала организаций, осуществляющих холодное водо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снабжение и (или) водоотведение;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приоритетность обеспечения населения питьевой водой и услугами по водоотведению;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привлечения инвестиций в сферу водоснабжения и водоотведения, обеспечение гарантий возврата частных инвестиций;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единого технологического и организационного управления и целостности систем холодного водоснабжения и (или)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утверждение программ (планов), согласованных с администрацией МО, осуществляющих горячее водоснабжение, холодное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оснабжение и (или) водоотведение, и их абонентов;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тарифов в сфере водоснабжения и водоотведения исходя из экономически обоснованных расходов организаций, осуществляющих холодное водоснабжение и (или) водоотведение, необходимых для осуществлени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водоснабжения и (или)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стабильных и не дискриминационных условий для осуществления предпринимательской деятельности в сфере водоснабжения и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равных условий доступа абонентов к водоснабжению и водоотведе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нию;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36"/>
              <w:numPr>
                <w:ilvl w:val="0"/>
                <w:numId w:val="6"/>
              </w:numPr>
              <w:ind w:left="8" w:firstLine="276"/>
              <w:jc w:val="both"/>
              <w:spacing w:before="120" w:after="120"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открытость деятельности организаций, осуществляющих холодно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водоснабжение и (или) водоотведение, органов государственной власти Российской Федерации, органов государственной власти субъектов Российской Федерации и органов местного самоуправления, осуществляющих регулирование в сфере водоснабжения и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абонентов водой питьевого качества в необходимом количестве;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противопожарного водоснабжения на территориях муниципальных образований;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территорий районов, на которых отсутствует холодное водоснабжения и водоотведение;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безопасных технологий в процессе водоподготовки;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водоснабжением максимального водопотребления в сутки объектов нового строительства и реконструируемых объектов, для которых необходимо введение дополнительных мощностей;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холодног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водоснабжения и водоотведения для индивидуальной жилой застройки;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numPr>
                <w:ilvl w:val="0"/>
                <w:numId w:val="6"/>
              </w:numPr>
              <w:ind w:left="8" w:firstLine="276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строительства новых водозаборных сооружений и водоводов для подачи воды на противопожарные нужды для объектов нового строительства и реконструируемых объектов.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Нормативны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требования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схем водоснабжения и водоотведения выполняется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равилами разработки и утверждения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водоотведения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05.09.2013 № 782 «О схемах водоснабжения и водоотведения»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Проекты схем водоснабжения и водоотведения разрабатываются в соответствии с документами территориального планирования, муниципального округа, городского округа и субъекта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Федерации, утвержденны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в порядке, определенном законодательством Российской Федерации о градостроительной деятельности, и требованиями к содержанию схем водоснабжения и водоотведения, утвержденными постановлением Правительства Российской Федерации от 5 сентября 2013 г. N 782.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Проекты схем водоснабжения и водоотведения разрабатываются уполномоченным органом местного самоуправления поселения,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округа, городского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Схемы водоснабжения и водоотведения разрабатываются на срок не менее 10 лет с учетом схем энергоснабжения, теплоснабжения и газоснабжения. При этом обеспечивается соответствие схем водоснабжения и водоотведения схемам энергоснабжения, теплоснаб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жения и газоснабжения с учетом: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мощности энергопринимающих установок, используемых для водоподготовки, транспортировки воды и сточных вод, очистки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сточных вод;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объема тепловой энергии и топлива (природного газа), используемых для подогрева воды в целях горячего водоснабжения;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нагрузок теплопринимающих устройств, которые должны соответствовать параметрам схем теплоснабжения и газоснабжения в целях горячего водоснабжения.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разработке схем водоснабжения и водоотведения используются: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документы территориального планирования, сведения о функциональных зонах планируемого размещения объектов капитального строительства для государственных или муниципальных нужд и зонах с особыми усло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виями использования территорий;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материалы инженерно-геолог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ических изысканий и исследований, опорные и адресные планы, регистрационные планы подземных коммуникаций и атласы геологических выработок, материалы инженерно-геодезических изысканий и исследований, картографическая и геодезическая основы государственного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кадастра недвижимости, публичные кадастровые карты, кадастровые карты территорий муниципальных образований, кадастровая карта территории субъекта Российской Федерации, схемы, чертежи, топографо-геодезические подосновы, космо- и аэрофотосъемочные материалы;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сведения о техническом состоянии объектов централизованных систем водоснабжения и (или) водоотведения, в том числе о результатах технических обследований централизованных систем водоснабжения и (или) водоотведения;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данные о соответствии качества горячей воды и питьевой воды требова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ниям законодательства Российской Федерации о санитарно-эпидемиологическом благополучии человека, о соответствии состава и свойств сточных вод требованиям законодательства Российской Федерации в области охраны окружающей среды и в области водоснабжения и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доотведения; д) сведения об инвестиционных программах, реализуемых организациями, осуществляющими горячее водоснабжение, холодное водоснабжение и (или) водоотведение, транспортировку воды и (или) сточных вод, о мероприятиях, содержащихся в планах по привед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ению качества питьевой воды и горячей воды в соответствие с установленными требованиями, о мероприятиях, содержащихся в планах снижения сбросов загрязняющих веществ, программах повышения экологической эффективности, планах мероприятий по охране окружающей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среды, утвержденных в установленном порядке (в случае наличия таких инвестиционных программ и планов, действующих на момент разработки схем водоснабжения и водоотведения);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е) сведения о режимах потребления и уровне потерь воды.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модель систем водоснабжения и (или) водоотведения разрабатывается для поселений, муниципальных округов, городских округов с населением 150 тыс. человек и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олее.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Схемы водоснабжения и водоотведения утверждаются органами местного самоуправления.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Схемы водоснабжения и водоотведения в течен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15 дней со дня их утверждения или актуализации (корректировки) подлежат официальному опубликованию в порядке, предусмотренном для опубликования актов органов государственной власти субъекта Российской Федерации или актов органов местного самоуправления.</w:t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III. СОСТАВ И СОДЕРЖАНИЕ РАБОТ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60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Этап. Сбор исходных данных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3.1.1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Исходные данные для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схемы водоснабжения и водоотведения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самостоятельно осуществляет сбор исходных данных для разработки схемы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водоотведения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запрашивает и получает необходимые данные в отделах Администрации, ресурсо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снабжающих организациях.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before="120"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необходимости Заказчик оказывает содействие в организации предоставления доступа Исполнителю к объектам водоснабжения и водоотведения.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60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этап.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схемы водоснабжения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6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схемы водоснабжения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водоснабжения состоит из следующих разделов, разрабатываемых в соответствии с пунктами 5-14 Требований к содержанию схем водоснабжения и водоотведения, утвержденных Постановлением Правительства Российской Федерации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от 05.09.2013 № 782 «О схемах водос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набжения и водоотведения» (далее – Требования):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технико-экономическое состояние централизованных систем водоснабжения поселения;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направления развития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баланс водоснабжения и потребления горячей, питьевой, техн</w:t>
            </w:r>
            <w:r>
              <w:t xml:space="preserve">ической воды;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предложения по строительству, реконструкции и модернизации объектов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экологические аспекты мероприятий по строительству, реконструкции и модернизации объектов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оценка объемов капитальных вложений в строительство, реконструкцию и модернизацию объектов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плановые значения показателей развития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з) перечень выявленных бесхозяйных объекто</w:t>
            </w:r>
            <w:r>
              <w:t xml:space="preserve">в централизованных систем водоснабжения (в случае их выявления) и перечень организаций, уполномоченных на их эксплуатацию.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3.2.2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«Технико-экономическое состояние централизованных систем водоснабжения поселений»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6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1 разрабатывается в соответствии с пунктом 6 Требований и содержит: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описание системы и структуры водоснабжения поселения и деление территории поселения на эксплуатационные зоны;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описание территорий поселения не охваченных централизованными сис</w:t>
            </w:r>
            <w:r>
              <w:t xml:space="preserve">темами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описание технологических зон водоснабжения, зон централизованного и нецентрализованного водоснабжения (территорий, на которых водоснабжение осуществляется с использованием централизованных и нецентрализованных систем горячего водос</w:t>
            </w:r>
            <w:r>
              <w:t xml:space="preserve">набжения, систем холодного водоснабжения соответственно) и перечень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описание результатов технического обследования централизованных систем водоснабжения, включая: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состояния существующих источников водоснаб</w:t>
            </w:r>
            <w:r>
              <w:t xml:space="preserve">жения и водозаборных сооружений;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существующих сооружений очистки и подготовки воды, включая оценку соответствия применяемой технологической схемы водоподготовки требованиям обеспечения нормативов качества воды;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состояния и функционировани</w:t>
            </w:r>
            <w:r>
              <w:t xml:space="preserve">я существующих насосных централизованных станций, в том числе оценку энергоэффективности подачи воды, которая оценивается как соотношение удельного расхода электрической энергии, необходимой для подачи установленного объема воды, и установленного уровня на</w:t>
            </w:r>
            <w:r>
              <w:t xml:space="preserve">пора (давления);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состояния и функционирования водопроводных сетей систем водоснабжения, включая оценку величины износа сетей и определение возможности обеспечения качества воды в процессе транспортировки по этим сетям;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существующих технич</w:t>
            </w:r>
            <w:r>
              <w:t xml:space="preserve">еских и технологических проблем, возникающих при водоснабжении поселений, анализ исполнения предписаний органов, осуществляющих государственный надзор, муниципальный контроль, об </w:t>
            </w:r>
            <w:r>
              <w:t xml:space="preserve">устранении нарушений, влияющих на качество и безопасность воды;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описание цент</w:t>
            </w:r>
            <w:r>
              <w:t xml:space="preserve">рализованной системы горячего водоснабжения с использованием закрытых систем горячего водоснабжения, отражающее технологические особенности указанной системы;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описание существующих технических и технологических решений по предотвращению замерзания воды </w:t>
            </w:r>
            <w:r>
              <w:t xml:space="preserve">применительно к территории распространения вечномерзлых грунтов;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е) перечень лиц, владеющих на праве собственности или другом законном основании объектами централизованной системы водоснабжения, с указанием принадлежащих этим лицам таких объектов (границ з</w:t>
            </w:r>
            <w:r>
              <w:t xml:space="preserve">он, в которых расположены такие объекты).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3.2.3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«Направления развития централизованных систем водоснабжения»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2 разрабатывается в соответствии с пунктом 7 Требований и содержит: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основные направления, принципы, задачи и плановые значения показателей развития централизованных систем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б) различные сценарии развития централизованных систем водоснабжения в зависимости от различных сценариев развития поселения.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аздел 3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«Баланс водоснабжения и потребления горячей, питьевой, технической воды»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3 разрабатывается в соответствии с пунктом 8 Требований и содержит: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общий баланс подачи и реализации воды, включая анализ и оценку структурных составляющих потерь горячей, питьевой, технической воды при ее производстве и транспортировке;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территориальный баланс подачи горячей, питьевой, технической воды по технологиче</w:t>
            </w:r>
            <w:r>
              <w:t xml:space="preserve">ским зонам водоснабжения (годовой и в сутки максимального водопотребления);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структурный баланс реализации горячей, питьевой, технической воды по группам абонентов с разбивкой на хозяйственно-питьевые нужды населения, производственные нужды юридических л</w:t>
            </w:r>
            <w:r>
              <w:t xml:space="preserve">иц и другие нужды поселения (пожаротушение, полив и др.);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сведения о фактическом потреблении населением горячей, питьевой, технической воды исходя из статистических и расчетных данных и сведений о действующих нормативах потребления коммунальных услуг;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</w:t>
            </w:r>
            <w:r>
              <w:t xml:space="preserve">) описание существующей системы коммерческого учета горячей, питьевой, технической воды и планов по установке приборов учета;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анализ резервов и дефицитов производственных мощностей системы водоснабжения поселения;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прогнозные балансы потребления горяч</w:t>
            </w:r>
            <w:r>
              <w:t xml:space="preserve">ей, питьевой, технической воды на срок не менее 10 лет с учетом различных сценариев развития поселения, рассчитанные на основании расхода горячей, питьевой, технической воды в соответствии со </w:t>
            </w:r>
            <w:hyperlink r:id="rId10" w:tooltip="https://base.garant.ru/70287242/" w:history="1">
              <w:r>
                <w:rPr>
                  <w:rStyle w:val="925"/>
                  <w:color w:val="auto"/>
                  <w:u w:val="none"/>
                  <w:lang w:val="ru-RU"/>
                </w:rPr>
                <w:t xml:space="preserve">СП 31.13330.2012</w:t>
              </w:r>
            </w:hyperlink>
            <w:r>
              <w:t xml:space="preserve"> и </w:t>
            </w:r>
            <w:hyperlink r:id="rId11" w:tooltip="https://base.garant.ru/70158960/" w:history="1">
              <w:r>
                <w:rPr>
                  <w:rStyle w:val="925"/>
                  <w:color w:val="auto"/>
                  <w:u w:val="none"/>
                  <w:lang w:val="ru-RU"/>
                </w:rPr>
                <w:t xml:space="preserve">СП 30.13330.2012</w:t>
              </w:r>
            </w:hyperlink>
            <w:r>
              <w:t xml:space="preserve">, а также исходя из </w:t>
            </w:r>
            <w:r>
              <w:t xml:space="preserve">текущего объема потребления воды населением и его динамики с учетом перспективы развития и изменения состава и структуры застройки;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з) описание централизованной системы </w:t>
            </w:r>
            <w:r>
              <w:t xml:space="preserve">горячего водоснабжения с использованием закрытых систем горячего водоснабжения, отражающее технологические особенности указанной системы;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и) сведения о фактическом и ожидаемом потреблении горячей, питьевой, технической воды (годовое, среднесуточное, максим</w:t>
            </w:r>
            <w:r>
              <w:t xml:space="preserve">альное суточное);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к) описание территориальной структуры потребления горячей, питьевой, технической воды, которую следует определять по отчетам организаций, осуществляющих водоснабжение, с разбивкой по технологическим зонам;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л) прогноз распределения расходо</w:t>
            </w:r>
            <w:r>
              <w:t xml:space="preserve">в воды на водоснабжение по типам абонентов, в том числе на водоснабжение жилых зданий, объектов общественно-делового назначения, промышленных объектов, исходя из фактических расходов горячей, питьевой, технической воды с учетом данных о перспективном потре</w:t>
            </w:r>
            <w:r>
              <w:t xml:space="preserve">блении горячей, питьевой, технической воды абонентами;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м) сведения о фактических и планируемых потерях горячей, питьевой, технической воды при ее транспортировке (годовые, среднесуточные значения);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н) перспективные балансы водоснабжения и водоотведения (об</w:t>
            </w:r>
            <w:r>
              <w:t xml:space="preserve">щий - баланс подачи и реализации горячей, питьевой, технической воды, территориальный - баланс подачи горячей, питьевой, технической воды по технологическим зонам водоснабжения, структурный - баланс реализации горячей, питьевой, технической воды по группам</w:t>
            </w:r>
            <w:r>
              <w:t xml:space="preserve"> абонентов);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о) расчет требуемой мощности водозаборных и очистных сооружений исходя из данных о перспективном потреблении горячей, питьевой, технической воды и величины потерь горячей, питьевой, технической воды при ее транспортировке с указанием требуемых</w:t>
            </w:r>
            <w:r>
              <w:t xml:space="preserve"> объемов подачи и потребления горячей, питьевой, технической воды, дефицита (резерва) мощностей по технологическим зонам с разбивкой по годам;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п) наименование организации, которая наделена статусом гарантирующей организации.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«Предложения по строительству, реконструкции и модернизации объектов централизованных систем водоснабжения»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4 разрабатывается в соответствии с пунктами 9-10 Требований, формируется с учетом планов мероприятий по приведению качества питьевой и горяче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воды в соответствие с установленными требованиями, решений органов местного самоуправления о прекращении горячего водоснабжения с использованием открытых систем теплоснабжения (горячего водоснабжения) и о переводе абонентов, объекты которых подключены (т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ехнологически присоединены) к таким системам, на иные системы горячего водоснабжения (при наличии такого решения) и содержит: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перечень основных мероприятий по реализации схем водоснабжения с разбивкой по годам;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технические обоснования основных меропр</w:t>
            </w:r>
            <w:r>
              <w:t xml:space="preserve">иятий по реализации схем водоснабжения, в том числе гидрогеологические характеристики потенциальных источников водоснабжения, санитарные характеристики источников водоснабжения, а также возможное изменение указанных характеристик в результате реализации ме</w:t>
            </w:r>
            <w:r>
              <w:t xml:space="preserve">роприятий, предусмотренных схемами водоснабжения и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сведения о вновь строящихся, реконструируемых и предлагаемых к выводу из эксплуатации объектах системы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сведения о развитии систем диспетчеризации, телемеханизации и сист</w:t>
            </w:r>
            <w:r>
              <w:t xml:space="preserve">ем управления режимами водоснабжения на объектах организаций, осуществляющих водоснабжение;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сведения об оснащенности зданий, строений, сооружений приборами учета воды и их применении при осуществлении расчетов за потребленную воду;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описание вариантов</w:t>
            </w:r>
            <w:r>
              <w:t xml:space="preserve"> маршрутов прохождения трубопроводов (трасс) по территории поселения и их обоснование;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рекомендации о месте размещения насосных станций, резервуаров, водонапорных башен;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з) границы планируемых зон размещения объектов централизованных систем горячего водоснабжения, холодного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и) карты (схемы) существующего и планируемого размещения объектов централизованных систем горячего водоснабжения, холодного водоснабжени</w:t>
            </w:r>
            <w:r>
              <w:t xml:space="preserve">я.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При обосновании предложений по строительству, реконструкции и выводу из эксплуатации объектов централизованных систем водоснабжения поселения должно быть обеспечено решение следующих задач: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обеспечение подачи абонентам определенного объема горячей, п</w:t>
            </w:r>
            <w:r>
              <w:t xml:space="preserve">итьевой воды установленного качества;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организация и обеспечение централизованного водоснабжения на территориях, где оно отсутствует;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обеспечение водоснабжения объектов перспективной застройки населенного пункта;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сокращение потерь воды при ее транс</w:t>
            </w:r>
            <w:r>
              <w:t xml:space="preserve">портировке;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выполнение мероприятий, направленных на обеспечение соответствия качества питьевой воды, горячей воды требова</w:t>
            </w:r>
            <w:r>
              <w:rPr>
                <w:color w:val="000000"/>
              </w:rPr>
              <w:t xml:space="preserve">ниям </w:t>
            </w:r>
            <w:hyperlink r:id="rId12" w:tooltip="https://base.garant.ru/70103066/67ed58225b4b05deea11771e0271c2f2/#block_622" w:anchor="block_622" w:history="1">
              <w:r>
                <w:rPr>
                  <w:rStyle w:val="925"/>
                  <w:color w:val="000000"/>
                  <w:lang w:val="ru-RU"/>
                </w:rPr>
                <w:t xml:space="preserve">законодательства</w:t>
              </w:r>
            </w:hyperlink>
            <w:r>
              <w:rPr>
                <w:rStyle w:val="925"/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 xml:space="preserve">Росси</w:t>
            </w:r>
            <w:r>
              <w:t xml:space="preserve">йской Федерации;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е) обеспечение предотвращения замерзания воды в зонах распространения вечномерзлых грунтов путем ее регулируемого сброса, автоматизированного сосредоточенного подогрева воды в сочетании с циркуляцией или линейным обогревом трубопроводов, т</w:t>
            </w:r>
            <w:r>
              <w:t xml:space="preserve">еплоизоляции поверхности труб </w:t>
            </w:r>
            <w:r>
              <w:t xml:space="preserve">высокоэффективными долговечными материалами с закрытой пористостью, использования арматуры, работоспособной при частичном оледенении трубопровода, автоматических выпусков воды.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Экологические аспекты мероприятий по строительству, реконструкции и модернизации объектов централизованных систем водоснабжения»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5 разрабатывается в соответствии с пунктом 11 Требований и содержит сведения о мерах по предотвращению вредного воздейст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вия: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на водный бассейн предлагаемых к строительству и реконструкции объектов централизованных систем водоснабжения при сбросе (утилизации) промывных вод;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б) на окружающую среду при реализации мероприятий по снабжению и хранению химических реагентов, исп</w:t>
            </w:r>
            <w:r>
              <w:t xml:space="preserve">ользуемых в водоподготовке (хлор и др.).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6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«Оценка объемов капитальных вложений в строительство, реконструкцию и модернизацию объектов централизованных систем водоснабжения»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6 разрабатывается в соответствии с пунктом 12 Требований и 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лючает в себя с разбивкой по годам: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оценку стоимости основных мероприятий по реализации схем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б) оценку величины необходимых капитальных вложений </w:t>
            </w:r>
            <w:r>
              <w:t xml:space="preserve">в строительство и реконструкцию объектов централизованных систем водоснабжения, выполненную на основании укрупненных сметных нормативов для объектов непроизводственного назначения и инженерной инфраструктуры, утвержденных федеральным органом исполнительной</w:t>
            </w:r>
            <w:r>
              <w:t xml:space="preserve"> власти, осуществляющим функции по выработке государственной политики и нормативно-правовому регулированию в сфере строительства, либо принятую по объектам — аналогам по видам капитального строительства и видам работ, с указанием источников финансирования.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7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«Плановые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показателей развития централизованных систем водоснабжения»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аздел 7 разрабатывается в соответствии с пунктом 13 Требований 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содержит показатели надежности, качества и энергетической эффективности объектов централизова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нных систем горячего водоснабжения и холодного водоснабжения на момент окончания реализации мероприятий, предусмотренных схемой водоснабжения, включая показатели надежности, качества и энергетической эффективности объектов централизованных систем горячего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водоснабжения и холодного водоснабжения, а также значения указанных показателей с разбивкой по годам.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показателям надежности, качества и энергетической эффективности объектов централизованных систем горячего водоснабжения и холодного водоснабжения относя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тся: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показатели качества воды;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показатели надежности и бесперебойности водоснабжения;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показатели эффективности использования ресурсов, в том числе уровень потерь воды (тепловой энергии в составе горячей воды);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г) иные показатели, установленные фед</w:t>
            </w:r>
            <w:r>
              <w:t xml:space="preserve">еральным органом исполнительной власти, осуществляющим функции по выработке государственной политики и нормативно-правовому регулированию в сфере жилищно-коммунального хозяйства.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8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«Перечень выявленных бесхозяйных объектов централизованных систем водоснабжения (в случае их выявления) и перечень организаций, уполномоченных на их эксплуатацию»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8 разрабатывается в соответствии с пунктом 14 Требований и содержит перечень выявленны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бесхозяйных объектов централизованных систем холодного водоснабжения и перечень организаций, уполномоченных на их эксплуатацию.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электронной модели системы водоснабжения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разрабатываемой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модели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водоснабжения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 решать задачи сохранности, мониторинга и актуализации следующей информации: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графическое отображение объектов централизованных систем водоснабжения с привязкой к топографической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 муниципального образования;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основных объектов централизованных систем водоснабжения;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реальных характеристик режимов работы централизованных систем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их отдельных элементов;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 всех видов переключений, осуществляемых на сетях централизованных систем водоснабжения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расходов воды, и расчет потерь напора по участкам водопроводной сет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расчет изменений характеристик объектов централизованных систем водоснабжения (участков водопроводных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насосных станций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потребителей) с целью моделиро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различных вариантов схем;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668"/>
              <w:ind w:left="0"/>
              <w:jc w:val="both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оценка выполнения сценариев перспективного развития централизованных систем водоснабжения с точки зрения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режимов подачи воды.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ind w:firstLine="284"/>
              <w:jc w:val="center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этап.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схемы водоотведения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схемы водоотведения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водоотведения состоит из следующих разделов, разрабатываемых в соответствии с пунктами 15-24 Требований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существующее положение в сфере водоотведения поселения;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 балансы сточных вод в системе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прогноз объема сточных вод;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предложения по строительству, реконструкции и модернизации (техническому перевооружению) объектов централизованной </w:t>
            </w:r>
            <w:r>
              <w:t xml:space="preserve">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экологические аспекты мероприятий по строительству и реконструкции объектов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оценка потребности в капитальных вложениях в строительство, реконструкцию и модернизацию объектов централизован</w:t>
            </w:r>
            <w:r>
              <w:t xml:space="preserve">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плановые значения показателей развития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</w:rPr>
            </w:pPr>
            <w:r>
              <w:t xml:space="preserve">з) перечень выявленных бесхозяйных объектов централизованной системы водоотведения (в случае их выявления) и перечень организаций, уполномоченных н</w:t>
            </w:r>
            <w:r>
              <w:t xml:space="preserve">а их эксплуатацию.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3.3.2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1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«Существующее положение в сфере водоотведения поселения»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1 разрабатывается в соответствии с пунктом 16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 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описание структуры системы сбора, очистки и отведения сточных вод на территории поселения и деление территории поселения на эксплуатационные зоны;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описание результатов технического обследования централизованной системы водоотведения, включая описание</w:t>
            </w:r>
            <w:r>
              <w:t xml:space="preserve"> существующих канализационных очистных сооружений,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вод, определение существующего дефицита (резерва) мощностей</w:t>
            </w:r>
            <w:r>
              <w:t xml:space="preserve"> сооружений и описание локальных очистных сооружений, создаваемых абонентами;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описание технологических зон водоотведения, зон централизованного и нецентрализованного водоотведения (территорий, на которых водоотведение осуществляется с использованием цен</w:t>
            </w:r>
            <w:r>
              <w:t xml:space="preserve">трализованных и нецентрализованных систем водоотведения) и перечень централизованных систем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описание технической возможности утилизации осадков сточных вод на очистных сооружениях существующей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оп</w:t>
            </w:r>
            <w:r>
              <w:t xml:space="preserve">исание состояния и функционирования канализационных коллекторов и сетей, сооружений на них,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оцен</w:t>
            </w:r>
            <w:r>
              <w:t xml:space="preserve">ка безопасности и надежности объектов централизованной системы водоотведения и их управляемости;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оценка воздействия сбросов сточных вод через централизованную систему водоотведения на окружающую среду;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з) описание территорий муниципального образования, </w:t>
            </w:r>
            <w:r>
              <w:t xml:space="preserve">не охваченных централизованной системой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и) описание существующих технических и технологических проблем системы водоотведения поселения;</w:t>
            </w:r>
            <w:r/>
          </w:p>
          <w:p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к) сведения об отнесении централизованной системы водоотведения (канализации) к централизованным системам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водоотведения поселений, включающие перечень и описание централизованных систем водоотведения (канализации), отнесенных к централизованным системам водоотведения поселений, а также информацию об очистных сооружениях (при их наличии), на которые поступают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сточные воды, отводимые через указанные централизованные системы водоотведения (канализации), о мощности очистных сооружений и применяемых на них технологиях очистки сточных вод, среднегодовом объеме принимаемых сточных вод.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3.3.3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2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«Балансы сточных вод в системе водоотведения»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2 разрабатывается в соответствии с пунктом 17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 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баланс поступления сточных вод в централизованную систему водоотведения и отведения стоков по технологическим зонам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оценку фактического притока неорганизованного стока (сточных вод, поступающих по поверхности рельефа местности) по технологическим зонам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сведения об оснащенности зданий, строений, сооружений приборами учета принимаемых сточных вод и их</w:t>
            </w:r>
            <w:r>
              <w:t xml:space="preserve"> применении при осуществлении коммерческих расчетов;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поселениям, городским окру</w:t>
            </w:r>
            <w:r>
              <w:t xml:space="preserve">гам с выделением зон дефицитов и резервов производственных мощностей;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</w:t>
            </w:r>
            <w:r>
              <w:t xml:space="preserve">х сценариев развития поселения.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3.3.4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3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«Прогноз объема сточных вод»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3 разрабатывается в соответствии с пунктом 18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сведения о фактическом и ожидаемом поступлении сточных вод в централизованную систему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описание структуры централизованной системы водоотведения (эксплуатационные и технологические зоны);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расчет требуемой мощности очистных сооружений исходя из данных о расчетном расходе сточных вод, дефицита (резерва) мощностей по технологическим зона</w:t>
            </w:r>
            <w:r>
              <w:t xml:space="preserve">м водоотведения с разбивкой по годам;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результаты анализа гидравлических режимов и режимов работы элементов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анализ резервов производственных мощностей очистных сооружений системы водоотведения и возможности расш</w:t>
            </w:r>
            <w:r>
              <w:t xml:space="preserve">ирения зоны их действия.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3.3.5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4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«Предложения по строительству, реконструкции и модернизации (техническому перевооружению) объектов централизованной системы водоотведения»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4 разрабатывается в соответствии с пунктом 19-20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основные направления, принципы, задачи и плановые значения показателей развития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перечень основных мероприятий по реализации схем водоотведения с разбивкой по годам, включая технические обоснования этих мероприятий;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технические обоснования основных мероприятий по реализации схем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сведения о вновь строящихся, реко</w:t>
            </w:r>
            <w:r>
              <w:t xml:space="preserve">нструируемых и предлагаемых к выводу из эксплуатации объектах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д) сведения о развитии систем диспетчеризации, телемеханизации и об автоматизированных системах управления режимами водоотведения на объектах организаций,</w:t>
            </w:r>
            <w:r>
              <w:t xml:space="preserve"> осуществляющих водоотведение;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е) описание вариантов маршрутов прохождения трубопроводов (трасс) по территории поселения, расположения намечаемых площадок под строительство сооружений водоотведения и их обоснование;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ж) границы и характеристики охранных зон</w:t>
            </w:r>
            <w:r>
              <w:t xml:space="preserve"> сетей и сооружений централизованной системы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з) границы планируемых зон размещения объектов централизованной системы водоотведения.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При обосновании предложений по строительству и реконструкции объектов централизованной системы водоотведения </w:t>
            </w:r>
            <w:r>
              <w:t xml:space="preserve">должны быть решены следующие задачи: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обеспечение надежности водоотведения путем организации возможности перераспределения потоков сточных вод между технологическими зонами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организация централизованного водоотведения на территориях посе</w:t>
            </w:r>
            <w:r>
              <w:t xml:space="preserve">ления, где оно отсутствует;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сокращение сбросов и организация возврата очищенных сточных вод на технические нужды.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3.3.6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«Экологические аспекты мероприятий по строительству и реконструкции объектов централизованной системы водоотведения»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5 разрабатывается в соответствии с пунктом 21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сведения о мероприятиях, содержащихся в планах снижения сбросов загрязняющих веществ, программах повышения экологической эффективности, планах мероприятий по охране окружающей с</w:t>
            </w:r>
            <w:r>
              <w:t xml:space="preserve">реды;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сведения о применении методов, безопасных для окружающей среды, при утилизации осадков сточных вод.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3.3.7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6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Оценка потребности в капитальных вложениях в строительство,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реконструкцию и модернизацию объектов централизованной системы водоотв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едения»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6 разрабатывается в соответствии с пунктом 22 Требований и </w:t>
            </w:r>
            <w:r>
              <w:rPr>
                <w:shd w:val="clear" w:color="auto" w:fill="ffffff"/>
              </w:rPr>
              <w:t xml:space="preserve">включает в себя оценку потребности в капитальных вложениях в строительство и реконструкцию объектов централизованных систем водоотведения, рассчитанную на основании укрупненных </w:t>
            </w:r>
            <w:r>
              <w:rPr>
                <w:shd w:val="clear" w:color="auto" w:fill="ffffff"/>
              </w:rPr>
              <w:t xml:space="preserve">сметн</w:t>
            </w:r>
            <w:r>
              <w:rPr>
                <w:shd w:val="clear" w:color="auto" w:fill="ffffff"/>
              </w:rPr>
              <w:t xml:space="preserve">ых нормативов для объектов непроизводственного назначения и инженерной инфраструктуры, утвержденных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</w:t>
            </w:r>
            <w:r>
              <w:rPr>
                <w:shd w:val="clear" w:color="auto" w:fill="ffffff"/>
              </w:rPr>
              <w:t xml:space="preserve">льства, либо принятую по объектам – аналогам по видам капитального строительства и видам работ, с указанием источников финансирования.</w:t>
            </w:r>
            <w:r>
              <w:t xml:space="preserve"> 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3.3.8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7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«Плановые значения показателей развития централизованных систем водоотведения»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7 разрабатывается в соответствии с пунктом 23 Требований и </w:t>
            </w:r>
            <w:r>
              <w:rPr>
                <w:shd w:val="clear" w:color="auto" w:fill="ffffff"/>
              </w:rPr>
              <w:t xml:space="preserve">содержит </w:t>
            </w:r>
            <w:r>
              <w:t xml:space="preserve">показатели надежности, качества и энергетической эффективности объектов централизованных систем водоотведения и показатели реализации мероприятий, предусмотренных схемой водоотведения, а также значения указанных показателей с разбивкой по годам. 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К показат</w:t>
            </w:r>
            <w:r>
              <w:t xml:space="preserve">елям надежности, качества и энергетической эффективности объектов централизованных систем водоотведения относятся: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а) показатели надежности и бесперебойности водоотведения;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б) показатели очистки сточных вод;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в) показатели эффективности использования ресурс</w:t>
            </w:r>
            <w:r>
              <w:t xml:space="preserve">ов при транспортировке сточных вод;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г) иные показатели,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жилищно-коммунального хозяйства.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.9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Раздел 8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«Перечень выявленных бесхозяйных объектов централизованной системы водоотведения (в случае их выявления) и перечень организаций, уполномоченных на их эксплуатацию»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pStyle w:val="960"/>
              <w:jc w:val="both"/>
              <w:spacing w:before="120" w:after="120"/>
              <w:shd w:val="clear" w:color="auto" w:fill="ffffff"/>
            </w:pPr>
            <w:r>
              <w:t xml:space="preserve">Раздел 8 разрабатывается в соответствии с пунктом 24 Требований и </w:t>
            </w:r>
            <w:r>
              <w:rPr>
                <w:shd w:val="clear" w:color="auto" w:fill="ffffff"/>
              </w:rPr>
              <w:t xml:space="preserve">содержит</w:t>
            </w:r>
            <w:r>
              <w:t xml:space="preserve"> </w:t>
            </w:r>
            <w:r>
              <w:rPr>
                <w:shd w:val="clear" w:color="auto" w:fill="ffffff"/>
              </w:rPr>
              <w:t xml:space="preserve">перечень выявленных бесхозяйных объектов централизованной системы водоотведения, в том числе канализационных сетей (в случае их выявления), а также перечень организаций, эксплуатирующих такие объекты.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3.3.10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электронной модели системы водоотв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едения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разрабатываемой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модели системы водо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 решать задачи сохранности, мониторинга и актуализации следующей информации: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1.</w:t>
            </w:r>
            <w:r>
              <w:t xml:space="preserve"> графическое отображение объектов централизованных систем водоотведения с привязкой к топографической осн</w:t>
            </w:r>
            <w:r>
              <w:t xml:space="preserve">ове муниципального образования;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2.</w:t>
            </w:r>
            <w:r>
              <w:t xml:space="preserve"> описание основных объе</w:t>
            </w:r>
            <w:r>
              <w:t xml:space="preserve">ктов централизованных систем</w:t>
            </w:r>
            <w:r>
              <w:t xml:space="preserve"> водоот</w:t>
            </w:r>
            <w:r>
              <w:t xml:space="preserve">ведения;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3.</w:t>
            </w:r>
            <w:r>
              <w:t xml:space="preserve"> описание реальных характеристик режимов работы централизованных систем </w:t>
            </w:r>
            <w:r>
              <w:t xml:space="preserve">водоотведения и их отдельных элементов;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4.</w:t>
            </w:r>
            <w:r>
              <w:t xml:space="preserve"> моделирование всех видов переключений, осуществляемых на сетях централизованных систем </w:t>
            </w:r>
            <w:r>
              <w:t xml:space="preserve">в</w:t>
            </w:r>
            <w:r>
              <w:t xml:space="preserve">одоотведения</w:t>
            </w:r>
            <w:r>
              <w:t xml:space="preserve">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5.</w:t>
            </w:r>
            <w:r>
              <w:t xml:space="preserve"> определение расходов стоков и расчет потерь напора по участкам канализационной сет</w:t>
            </w:r>
            <w:r>
              <w:t xml:space="preserve">и;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6.</w:t>
            </w:r>
            <w:r>
              <w:t xml:space="preserve"> гидравлический расчет канализационных</w:t>
            </w:r>
            <w:r>
              <w:t xml:space="preserve"> сетей (самотечных и напорных);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7.</w:t>
            </w:r>
            <w:r>
              <w:t xml:space="preserve"> расчет изменений характеристик объектов централизованных систем водоотведения (участков канализационных сетей, насосных станций</w:t>
            </w:r>
            <w:r>
              <w:t xml:space="preserve">,</w:t>
            </w:r>
            <w:r>
              <w:t xml:space="preserve"> потребителей) с целью моделирования различн</w:t>
            </w:r>
            <w:r>
              <w:t xml:space="preserve">ых вариантов схем;</w:t>
            </w:r>
            <w:r/>
          </w:p>
          <w:p>
            <w:pPr>
              <w:pStyle w:val="960"/>
              <w:jc w:val="both"/>
              <w:spacing w:before="120" w:after="120"/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8.</w:t>
            </w:r>
            <w:r>
              <w:t xml:space="preserve"> оценка выполнения сценариев перспективного развития централизованных систем водоотведения с точки зрения обеспечения режимов</w:t>
            </w:r>
            <w:r>
              <w:t xml:space="preserve"> подачи воды и отведения стоко</w:t>
            </w:r>
            <w:r>
              <w:rPr>
                <w:color w:val="000000" w:themeColor="text1"/>
              </w:rPr>
              <w:t xml:space="preserve">в.</w:t>
            </w:r>
            <w:r>
              <w:rPr>
                <w:color w:val="000000" w:themeColor="text1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60"/>
              <w:tabs>
                <w:tab w:val="left" w:pos="315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этап. Согласование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схемы водоснабжения и водоотведения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Оказываемые услуги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Порядок согласования схемы: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numPr>
                <w:ilvl w:val="0"/>
                <w:numId w:val="5"/>
              </w:numPr>
              <w:ind w:left="0" w:firstLine="46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окончания разработки, Исполнитель отправляет в электронном виде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схему водоснабжения и водоотведения с сопроводительным письмом Заказчику и представителям согласующих организаций.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numPr>
                <w:ilvl w:val="0"/>
                <w:numId w:val="5"/>
              </w:numPr>
              <w:ind w:left="0" w:firstLine="46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14 дней Заказчик и представители согласующи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организаций осуществляет проверку соответствия документации нормам и правилам, применяемым к данным видам услуг, техническому заданию и исходным данным.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numPr>
                <w:ilvl w:val="0"/>
                <w:numId w:val="5"/>
              </w:numPr>
              <w:ind w:left="0" w:firstLine="46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случае выявления недостатков результата выполненного этапа услуг Сторонами составляется двусторонний акт с перечнем необходимых доработок (выявленных недостатков), сроков их устранения Исполнителем.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numPr>
                <w:ilvl w:val="0"/>
                <w:numId w:val="5"/>
              </w:numPr>
              <w:ind w:left="0" w:firstLine="46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производит корректировку документации на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 полученных замечаний и повторно отправляет схему на согласование.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numPr>
                <w:ilvl w:val="0"/>
                <w:numId w:val="5"/>
              </w:numPr>
              <w:ind w:left="0" w:firstLine="460"/>
              <w:jc w:val="both"/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 услуг считается исполненным после получения письменного уведомления об отсутствии замечаний к схемам водоснабжения и водоотведения у всех согласующих сторон.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firstLine="460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получения увед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омления о согласовании и передачи Исполнителем Заказчику документации, в составе, обозначенном настоящим Техническим заданием услуги по контракту считаются выполненными в полном объеме и подлежат оплате.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13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4.2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Согласующие организации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разработ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анной документации необходимо получить в следующих организациях: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Сланцевского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ЗАКЛЮЧИТЕЛЬНЫЕ ПОЛОЖЕНИЯ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сдаче услуг, составу, формату отчетных документов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spacing w:before="12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отчетных документов включает в себя соответствующие требованиям Постановления Правительства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РФ от 05.09.2013 № 782 «О схемах водоснабжения и водоотведения» (с изменениями)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 настоящего Технического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текстовые и графические материалы, пояснит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ельной записки и обосновывающих материалов.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ind w:left="0"/>
              <w:spacing w:before="120" w:after="6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Отчетные документы предоставляются: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ind w:left="0"/>
              <w:spacing w:before="120" w:after="6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В печатном виде в количестве 2-х экземпляров;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ind w:left="0"/>
              <w:spacing w:before="120" w:after="6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В электронном виде (на электронном носителе) в формате *.doc (*.docx) и *.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pdf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pStyle w:val="668"/>
              <w:ind w:left="0"/>
              <w:spacing w:before="120" w:after="6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Электронная модель системы водос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набжения и водоотведения представляется в формате, использ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уемого программного обеспечения.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before="12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результатов услуг осуществляется по месту нахождения Заказчика по акту приемки оказанных услуг и сопроводительному письму, в порядке, предусмотренном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пальным контрактом.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4.2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объему гарантий качества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pPr>
              <w:ind w:right="-1"/>
              <w:spacing w:before="12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несет ответственность за ненадлежащее составлени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отчетной документации. При обнаружении недостатков в отчетной документации Исполнитель по требованию Заказчика обязан безвозмездно переделать техническую документацию и соответственно произвести необходимые дополнительные научно-исследовательские работы.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4.3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сроку гарантий качества на результаты услуг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ind w:right="-1"/>
              <w:jc w:val="both"/>
              <w:spacing w:before="12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на результаты услуг устанавливается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месяцев с даты подписания сторонами акта приемки оказанных услуг.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right="-1"/>
              <w:jc w:val="both"/>
              <w:spacing w:before="12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 период гарантийного срока обнаружатся недостатки или дефекты,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Исполнитель обязан устранить их за свой счёт в сроки, согласованные Сторонами и зафиксированные в акте с перечнем выявленных недостатков и сроком их устранения. 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4.4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Авторские права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vAlign w:val="center"/>
            <w:textDirection w:val="lrTb"/>
            <w:noWrap w:val="false"/>
          </w:tcPr>
          <w:p>
            <w:pPr>
              <w:jc w:val="both"/>
              <w:spacing w:before="12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приемки и оплаты услуг, результаты услуг становятся интеллектуальной собственностью Заказчика, Исполнитель утрачивает на нее все авторские права.</w:t>
            </w:r>
            <w:r>
              <w:rPr>
                <w:rFonts w:ascii="Times New Roman" w:hAnsi="Times New Roman" w:cs="Times New Roman"/>
              </w:rPr>
            </w:r>
            <w:r/>
          </w:p>
        </w:tc>
      </w:tr>
    </w:tbl>
    <w:p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/>
    </w:p>
    <w:tbl>
      <w:tblPr>
        <w:tblW w:w="1065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325"/>
        <w:gridCol w:w="5325"/>
      </w:tblGrid>
      <w:tr>
        <w:trPr>
          <w:trHeight w:val="69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2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2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/>
          </w:p>
        </w:tc>
      </w:tr>
      <w:tr>
        <w:trPr>
          <w:trHeight w:val="28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2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муниципального образования Сланцевский муниципальный район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/>
          </w:p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Гришаков 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2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/>
              <w:jc w:val="center"/>
              <w:spacing w:after="0" w:line="240" w:lineRule="auto"/>
            </w:pPr>
            <w:r/>
            <w:r/>
          </w:p>
          <w:p>
            <w:pPr>
              <w:contextualSpacing/>
              <w:jc w:val="center"/>
              <w:spacing w:after="0" w:line="240" w:lineRule="auto"/>
            </w:pPr>
            <w:r/>
            <w:r/>
          </w:p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 _____________</w:t>
            </w:r>
            <w:r/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</w:tc>
      </w:tr>
    </w:tbl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</w:rPr>
      </w:r>
      <w:r/>
    </w:p>
    <w:sectPr>
      <w:footnotePr>
        <w:numRestart w:val="continuous"/>
      </w:footnotePr>
      <w:endnotePr/>
      <w:type w:val="nextPage"/>
      <w:pgSz w:w="11906" w:h="16838" w:orient="portrait"/>
      <w:pgMar w:top="480" w:right="971" w:bottom="759" w:left="1245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">
    <w:panose1 w:val="02020603050405020304"/>
  </w:font>
  <w:font w:name="Times New Roman CYR">
    <w:panose1 w:val="02020603050405020304"/>
  </w:font>
  <w:font w:name="SimSun">
    <w:panose1 w:val="02010600030101010101"/>
  </w:font>
  <w:font w:name="Symbol">
    <w:panose1 w:val="05050102010706020507"/>
  </w:font>
  <w:font w:name="Arial">
    <w:panose1 w:val="020B0604020202020204"/>
  </w:font>
  <w:font w:name="Tahoma">
    <w:panose1 w:val="020B0604030504040204"/>
  </w:font>
  <w:font w:name="Mangal">
    <w:panose1 w:val="02040503050406030204"/>
  </w:font>
  <w:font w:name="Courier New">
    <w:panose1 w:val="02070309020205020404"/>
  </w:font>
  <w:font w:name="Roboto">
    <w:panose1 w:val="02000000000000000000"/>
  </w:font>
  <w:font w:name="Palatino Linotype">
    <w:panose1 w:val="02040502050505030304"/>
  </w:font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830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5" w:hanging="1275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983" w:hanging="1275"/>
        <w:tabs>
          <w:tab w:val="num" w:pos="0" w:leader="none"/>
        </w:tabs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691" w:hanging="1275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399" w:hanging="1275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107" w:hanging="1275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815" w:hanging="1275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pStyle w:val="942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18" w:hanging="576"/>
        <w:tabs>
          <w:tab w:val="num" w:pos="718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180" w:firstLine="0"/>
        <w:tabs>
          <w:tab w:val="num" w:pos="407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  <w:rPr>
        <w:color w:val="00000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  <w:rPr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0" w:leader="none"/>
        </w:tabs>
      </w:pPr>
      <w:rPr>
        <w:rFonts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0" w:leader="none"/>
        </w:tabs>
      </w:pPr>
      <w:rPr>
        <w:rFonts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0" w:leader="none"/>
        </w:tabs>
      </w:pPr>
      <w:rPr>
        <w:rFonts w:ascii="Wingdings" w:hAnsi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"/>
      <w:lvlJc w:val="left"/>
      <w:pPr>
        <w:ind w:left="927" w:hanging="360"/>
        <w:tabs>
          <w:tab w:val="num" w:pos="207" w:leader="none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0" w:leader="none"/>
        </w:tabs>
      </w:pPr>
      <w:rPr>
        <w:rFonts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0" w:leader="none"/>
        </w:tabs>
      </w:pPr>
      <w:rPr>
        <w:rFonts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0" w:leader="none"/>
        </w:tabs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0">
    <w:name w:val="Heading 1"/>
    <w:basedOn w:val="829"/>
    <w:next w:val="829"/>
    <w:link w:val="65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1">
    <w:name w:val="Heading 1 Char"/>
    <w:link w:val="65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2">
    <w:name w:val="Heading 2"/>
    <w:basedOn w:val="829"/>
    <w:next w:val="829"/>
    <w:link w:val="65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3">
    <w:name w:val="Heading 2 Char"/>
    <w:link w:val="652"/>
    <w:uiPriority w:val="9"/>
    <w:rPr>
      <w:rFonts w:ascii="Liberation Sans" w:hAnsi="Liberation Sans" w:eastAsia="Liberation Sans" w:cs="Liberation Sans"/>
      <w:sz w:val="34"/>
    </w:rPr>
  </w:style>
  <w:style w:type="paragraph" w:styleId="654">
    <w:name w:val="Heading 3"/>
    <w:basedOn w:val="829"/>
    <w:next w:val="829"/>
    <w:link w:val="65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55">
    <w:name w:val="Heading 3 Char"/>
    <w:link w:val="65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56">
    <w:name w:val="Heading 4"/>
    <w:basedOn w:val="829"/>
    <w:next w:val="829"/>
    <w:link w:val="65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57">
    <w:name w:val="Heading 4 Char"/>
    <w:link w:val="65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58">
    <w:name w:val="Heading 5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59">
    <w:name w:val="Heading 5 Char"/>
    <w:link w:val="65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0">
    <w:name w:val="Heading 6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1">
    <w:name w:val="Heading 6 Char"/>
    <w:link w:val="66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2">
    <w:name w:val="Heading 7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3">
    <w:name w:val="Heading 7 Char"/>
    <w:link w:val="66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4">
    <w:name w:val="Heading 8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5">
    <w:name w:val="Heading 8 Char"/>
    <w:link w:val="66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66">
    <w:name w:val="Heading 9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67">
    <w:name w:val="Heading 9 Char"/>
    <w:link w:val="66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68">
    <w:name w:val="List Paragraph"/>
    <w:basedOn w:val="829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9"/>
    <w:next w:val="829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link w:val="670"/>
    <w:uiPriority w:val="10"/>
    <w:rPr>
      <w:sz w:val="48"/>
      <w:szCs w:val="48"/>
    </w:rPr>
  </w:style>
  <w:style w:type="paragraph" w:styleId="672">
    <w:name w:val="Subtitle"/>
    <w:basedOn w:val="829"/>
    <w:next w:val="829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link w:val="672"/>
    <w:uiPriority w:val="11"/>
    <w:rPr>
      <w:sz w:val="24"/>
      <w:szCs w:val="24"/>
    </w:rPr>
  </w:style>
  <w:style w:type="paragraph" w:styleId="674">
    <w:name w:val="Quote"/>
    <w:basedOn w:val="829"/>
    <w:next w:val="829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9"/>
    <w:next w:val="829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9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link w:val="678"/>
    <w:uiPriority w:val="99"/>
  </w:style>
  <w:style w:type="paragraph" w:styleId="680">
    <w:name w:val="Footer"/>
    <w:basedOn w:val="829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link w:val="680"/>
    <w:uiPriority w:val="99"/>
  </w:style>
  <w:style w:type="paragraph" w:styleId="682">
    <w:name w:val="Caption"/>
    <w:basedOn w:val="829"/>
    <w:next w:val="829"/>
    <w:link w:val="6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link w:val="682"/>
    <w:uiPriority w:val="35"/>
    <w:rPr>
      <w:b/>
      <w:bCs/>
      <w:color w:val="4f81bd" w:themeColor="accent1"/>
      <w:sz w:val="18"/>
      <w:szCs w:val="18"/>
    </w:rPr>
  </w:style>
  <w:style w:type="table" w:styleId="684">
    <w:name w:val="Table Grid"/>
    <w:basedOn w:val="8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7">
    <w:name w:val="Plain Table 2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8">
    <w:name w:val="Plain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2">
    <w:name w:val="Grid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3">
    <w:name w:val="Grid Table 7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9">
    <w:name w:val="List Table 5 Dark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0">
    <w:name w:val="List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1">
    <w:name w:val="List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6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4">
    <w:name w:val="List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89">
    <w:name w:val="Lined - Accent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0">
    <w:name w:val="Hyperlink"/>
    <w:uiPriority w:val="99"/>
    <w:unhideWhenUsed/>
    <w:rPr>
      <w:color w:val="0000ff" w:themeColor="hyperlink"/>
      <w:u w:val="single"/>
    </w:rPr>
  </w:style>
  <w:style w:type="paragraph" w:styleId="811">
    <w:name w:val="footnote text"/>
    <w:basedOn w:val="829"/>
    <w:link w:val="812"/>
    <w:uiPriority w:val="99"/>
    <w:semiHidden/>
    <w:unhideWhenUsed/>
    <w:pPr>
      <w:spacing w:after="40" w:line="240" w:lineRule="auto"/>
    </w:pPr>
    <w:rPr>
      <w:sz w:val="18"/>
    </w:rPr>
  </w:style>
  <w:style w:type="character" w:styleId="812">
    <w:name w:val="Footnote Text Char"/>
    <w:link w:val="811"/>
    <w:uiPriority w:val="99"/>
    <w:rPr>
      <w:sz w:val="18"/>
    </w:rPr>
  </w:style>
  <w:style w:type="character" w:styleId="813">
    <w:name w:val="footnote reference"/>
    <w:uiPriority w:val="99"/>
    <w:unhideWhenUsed/>
    <w:rPr>
      <w:vertAlign w:val="superscript"/>
    </w:rPr>
  </w:style>
  <w:style w:type="paragraph" w:styleId="814">
    <w:name w:val="endnote text"/>
    <w:basedOn w:val="829"/>
    <w:link w:val="815"/>
    <w:uiPriority w:val="99"/>
    <w:semiHidden/>
    <w:unhideWhenUsed/>
    <w:pPr>
      <w:spacing w:after="0" w:line="240" w:lineRule="auto"/>
    </w:pPr>
    <w:rPr>
      <w:sz w:val="20"/>
    </w:rPr>
  </w:style>
  <w:style w:type="character" w:styleId="815">
    <w:name w:val="Endnote Text Char"/>
    <w:link w:val="814"/>
    <w:uiPriority w:val="99"/>
    <w:rPr>
      <w:sz w:val="20"/>
    </w:rPr>
  </w:style>
  <w:style w:type="character" w:styleId="816">
    <w:name w:val="endnote reference"/>
    <w:uiPriority w:val="99"/>
    <w:semiHidden/>
    <w:unhideWhenUsed/>
    <w:rPr>
      <w:vertAlign w:val="superscript"/>
    </w:rPr>
  </w:style>
  <w:style w:type="paragraph" w:styleId="817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9"/>
    <w:next w:val="829"/>
    <w:uiPriority w:val="99"/>
    <w:unhideWhenUsed/>
    <w:pPr>
      <w:spacing w:after="0" w:afterAutospacing="0"/>
    </w:pPr>
  </w:style>
  <w:style w:type="table" w:styleId="82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829" w:default="1">
    <w:name w:val="Normal"/>
    <w:next w:val="829"/>
    <w:link w:val="829"/>
    <w:pPr>
      <w:spacing w:before="0" w:after="200" w:line="276" w:lineRule="auto"/>
      <w:widowControl/>
    </w:pPr>
    <w:rPr>
      <w:rFonts w:ascii="Calibri" w:hAnsi="Calibri" w:eastAsia="Times New Roman" w:cs="Calibri"/>
      <w:color w:val="auto"/>
      <w:sz w:val="22"/>
      <w:szCs w:val="22"/>
      <w:lang w:val="ru-RU" w:eastAsia="zh-CN" w:bidi="ar-SA"/>
    </w:rPr>
  </w:style>
  <w:style w:type="paragraph" w:styleId="830">
    <w:name w:val="Заголовок 5"/>
    <w:basedOn w:val="829"/>
    <w:next w:val="829"/>
    <w:link w:val="829"/>
    <w:pPr>
      <w:numPr>
        <w:ilvl w:val="4"/>
        <w:numId w:val="1"/>
      </w:numPr>
      <w:ind w:left="0" w:right="0" w:firstLine="142"/>
      <w:jc w:val="center"/>
      <w:keepNext/>
      <w:spacing w:before="0" w:after="0" w:line="240" w:lineRule="auto"/>
      <w:outlineLvl w:val="4"/>
    </w:pPr>
    <w:rPr>
      <w:rFonts w:ascii="Times New Roman" w:hAnsi="Times New Roman" w:cs="Times New Roman"/>
      <w:b/>
      <w:sz w:val="24"/>
      <w:szCs w:val="24"/>
      <w:lang w:val="en-US"/>
    </w:rPr>
  </w:style>
  <w:style w:type="character" w:styleId="831">
    <w:name w:val="WW8Num1z0"/>
    <w:next w:val="831"/>
    <w:link w:val="829"/>
  </w:style>
  <w:style w:type="character" w:styleId="832">
    <w:name w:val="WW8Num1z1"/>
    <w:next w:val="832"/>
    <w:link w:val="829"/>
  </w:style>
  <w:style w:type="character" w:styleId="833">
    <w:name w:val="WW8Num1z2"/>
    <w:next w:val="833"/>
    <w:link w:val="829"/>
  </w:style>
  <w:style w:type="character" w:styleId="834">
    <w:name w:val="WW8Num1z3"/>
    <w:next w:val="834"/>
    <w:link w:val="829"/>
  </w:style>
  <w:style w:type="character" w:styleId="835">
    <w:name w:val="WW8Num1z4"/>
    <w:next w:val="835"/>
    <w:link w:val="829"/>
  </w:style>
  <w:style w:type="character" w:styleId="836">
    <w:name w:val="WW8Num1z5"/>
    <w:next w:val="836"/>
    <w:link w:val="829"/>
  </w:style>
  <w:style w:type="character" w:styleId="837">
    <w:name w:val="WW8Num1z6"/>
    <w:next w:val="837"/>
    <w:link w:val="829"/>
  </w:style>
  <w:style w:type="character" w:styleId="838">
    <w:name w:val="WW8Num1z7"/>
    <w:next w:val="838"/>
    <w:link w:val="829"/>
  </w:style>
  <w:style w:type="character" w:styleId="839">
    <w:name w:val="WW8Num1z8"/>
    <w:next w:val="839"/>
    <w:link w:val="829"/>
  </w:style>
  <w:style w:type="character" w:styleId="840">
    <w:name w:val="WW8Num2z0"/>
    <w:next w:val="840"/>
  </w:style>
  <w:style w:type="character" w:styleId="841">
    <w:name w:val="WW8Num2z1"/>
    <w:next w:val="841"/>
    <w:link w:val="829"/>
    <w:rPr>
      <w:rFonts w:ascii="Times New Roman" w:hAnsi="Times New Roman" w:cs="Times New Roman"/>
      <w:b w:val="0"/>
      <w:sz w:val="24"/>
      <w:szCs w:val="24"/>
    </w:rPr>
  </w:style>
  <w:style w:type="character" w:styleId="842">
    <w:name w:val="WW8Num2z2"/>
    <w:next w:val="842"/>
    <w:link w:val="829"/>
  </w:style>
  <w:style w:type="character" w:styleId="843">
    <w:name w:val="WW8Num2z3"/>
    <w:next w:val="843"/>
  </w:style>
  <w:style w:type="character" w:styleId="844">
    <w:name w:val="WW8Num2z4"/>
    <w:next w:val="844"/>
    <w:link w:val="829"/>
  </w:style>
  <w:style w:type="character" w:styleId="845">
    <w:name w:val="WW8Num2z5"/>
    <w:next w:val="845"/>
    <w:link w:val="829"/>
  </w:style>
  <w:style w:type="character" w:styleId="846">
    <w:name w:val="WW8Num2z6"/>
    <w:next w:val="846"/>
  </w:style>
  <w:style w:type="character" w:styleId="847">
    <w:name w:val="WW8Num2z7"/>
    <w:next w:val="847"/>
    <w:link w:val="829"/>
  </w:style>
  <w:style w:type="character" w:styleId="848">
    <w:name w:val="WW8Num2z8"/>
    <w:next w:val="848"/>
    <w:link w:val="829"/>
  </w:style>
  <w:style w:type="character" w:styleId="849">
    <w:name w:val="WW8Num3z0"/>
    <w:next w:val="849"/>
    <w:link w:val="829"/>
  </w:style>
  <w:style w:type="character" w:styleId="850">
    <w:name w:val="WW8Num3z1"/>
    <w:next w:val="850"/>
    <w:link w:val="829"/>
  </w:style>
  <w:style w:type="character" w:styleId="851">
    <w:name w:val="WW8Num3z2"/>
    <w:next w:val="851"/>
    <w:link w:val="829"/>
  </w:style>
  <w:style w:type="character" w:styleId="852">
    <w:name w:val="WW8Num3z3"/>
    <w:next w:val="852"/>
  </w:style>
  <w:style w:type="character" w:styleId="853">
    <w:name w:val="WW8Num3z4"/>
    <w:next w:val="853"/>
    <w:link w:val="829"/>
  </w:style>
  <w:style w:type="character" w:styleId="854">
    <w:name w:val="WW8Num3z5"/>
    <w:next w:val="854"/>
    <w:link w:val="829"/>
  </w:style>
  <w:style w:type="character" w:styleId="855">
    <w:name w:val="WW8Num3z6"/>
    <w:next w:val="855"/>
    <w:link w:val="829"/>
  </w:style>
  <w:style w:type="character" w:styleId="856">
    <w:name w:val="WW8Num3z7"/>
    <w:next w:val="856"/>
    <w:link w:val="829"/>
  </w:style>
  <w:style w:type="character" w:styleId="857">
    <w:name w:val="WW8Num3z8"/>
    <w:next w:val="857"/>
    <w:link w:val="829"/>
  </w:style>
  <w:style w:type="character" w:styleId="858">
    <w:name w:val="WW8Num4z0"/>
    <w:next w:val="858"/>
    <w:link w:val="829"/>
  </w:style>
  <w:style w:type="character" w:styleId="859">
    <w:name w:val="WW8Num4z1"/>
    <w:next w:val="859"/>
    <w:link w:val="829"/>
  </w:style>
  <w:style w:type="character" w:styleId="860">
    <w:name w:val="WW8Num4z2"/>
    <w:next w:val="860"/>
    <w:link w:val="829"/>
  </w:style>
  <w:style w:type="character" w:styleId="861">
    <w:name w:val="WW8Num4z3"/>
    <w:next w:val="861"/>
    <w:link w:val="829"/>
  </w:style>
  <w:style w:type="character" w:styleId="862">
    <w:name w:val="WW8Num4z4"/>
    <w:next w:val="862"/>
    <w:link w:val="829"/>
  </w:style>
  <w:style w:type="character" w:styleId="863">
    <w:name w:val="WW8Num4z5"/>
    <w:next w:val="863"/>
    <w:link w:val="829"/>
  </w:style>
  <w:style w:type="character" w:styleId="864">
    <w:name w:val="WW8Num4z6"/>
    <w:next w:val="864"/>
    <w:link w:val="829"/>
  </w:style>
  <w:style w:type="character" w:styleId="865">
    <w:name w:val="WW8Num4z7"/>
    <w:next w:val="865"/>
  </w:style>
  <w:style w:type="character" w:styleId="866">
    <w:name w:val="WW8Num4z8"/>
    <w:next w:val="866"/>
    <w:link w:val="829"/>
  </w:style>
  <w:style w:type="character" w:styleId="867">
    <w:name w:val="Основной шрифт абзаца"/>
    <w:next w:val="867"/>
    <w:link w:val="829"/>
  </w:style>
  <w:style w:type="character" w:styleId="868">
    <w:name w:val="Основной шрифт абзаца2"/>
    <w:next w:val="868"/>
    <w:link w:val="829"/>
  </w:style>
  <w:style w:type="character" w:styleId="869">
    <w:name w:val="WW8Num5z0"/>
    <w:next w:val="869"/>
    <w:link w:val="829"/>
  </w:style>
  <w:style w:type="character" w:styleId="870">
    <w:name w:val="WW8Num5z1"/>
    <w:next w:val="870"/>
    <w:link w:val="829"/>
  </w:style>
  <w:style w:type="character" w:styleId="871">
    <w:name w:val="WW8Num5z2"/>
    <w:next w:val="871"/>
    <w:link w:val="829"/>
  </w:style>
  <w:style w:type="character" w:styleId="872">
    <w:name w:val="WW8Num5z3"/>
    <w:next w:val="872"/>
    <w:link w:val="829"/>
  </w:style>
  <w:style w:type="character" w:styleId="873">
    <w:name w:val="WW8Num5z4"/>
    <w:next w:val="873"/>
    <w:link w:val="829"/>
  </w:style>
  <w:style w:type="character" w:styleId="874">
    <w:name w:val="WW8Num5z5"/>
    <w:next w:val="874"/>
  </w:style>
  <w:style w:type="character" w:styleId="875">
    <w:name w:val="WW8Num5z6"/>
    <w:next w:val="875"/>
    <w:link w:val="829"/>
  </w:style>
  <w:style w:type="character" w:styleId="876">
    <w:name w:val="WW8Num5z7"/>
    <w:next w:val="876"/>
    <w:link w:val="829"/>
  </w:style>
  <w:style w:type="character" w:styleId="877">
    <w:name w:val="WW8Num5z8"/>
    <w:next w:val="877"/>
    <w:link w:val="829"/>
  </w:style>
  <w:style w:type="character" w:styleId="878">
    <w:name w:val="WW8Num6z0"/>
    <w:next w:val="878"/>
    <w:link w:val="829"/>
  </w:style>
  <w:style w:type="character" w:styleId="879">
    <w:name w:val="WW8Num6z1"/>
    <w:next w:val="879"/>
    <w:link w:val="829"/>
  </w:style>
  <w:style w:type="character" w:styleId="880">
    <w:name w:val="WW8Num6z2"/>
    <w:next w:val="880"/>
    <w:link w:val="829"/>
  </w:style>
  <w:style w:type="character" w:styleId="881">
    <w:name w:val="WW8Num6z3"/>
    <w:next w:val="881"/>
    <w:link w:val="829"/>
  </w:style>
  <w:style w:type="character" w:styleId="882">
    <w:name w:val="WW8Num6z4"/>
    <w:next w:val="882"/>
    <w:link w:val="829"/>
  </w:style>
  <w:style w:type="character" w:styleId="883">
    <w:name w:val="WW8Num6z5"/>
    <w:next w:val="883"/>
    <w:link w:val="829"/>
  </w:style>
  <w:style w:type="character" w:styleId="884">
    <w:name w:val="WW8Num6z6"/>
    <w:next w:val="884"/>
    <w:link w:val="829"/>
  </w:style>
  <w:style w:type="character" w:styleId="885">
    <w:name w:val="WW8Num6z7"/>
    <w:next w:val="885"/>
    <w:link w:val="829"/>
  </w:style>
  <w:style w:type="character" w:styleId="886">
    <w:name w:val="WW8Num6z8"/>
    <w:next w:val="886"/>
  </w:style>
  <w:style w:type="character" w:styleId="887">
    <w:name w:val="WW8Num7z0"/>
    <w:next w:val="887"/>
    <w:link w:val="829"/>
  </w:style>
  <w:style w:type="character" w:styleId="888">
    <w:name w:val="WW8Num7z1"/>
    <w:next w:val="888"/>
    <w:link w:val="829"/>
  </w:style>
  <w:style w:type="character" w:styleId="889">
    <w:name w:val="WW8Num7z2"/>
    <w:next w:val="889"/>
    <w:link w:val="829"/>
  </w:style>
  <w:style w:type="character" w:styleId="890">
    <w:name w:val="WW8Num7z3"/>
    <w:next w:val="890"/>
    <w:link w:val="829"/>
  </w:style>
  <w:style w:type="character" w:styleId="891">
    <w:name w:val="WW8Num7z4"/>
    <w:next w:val="891"/>
    <w:link w:val="829"/>
  </w:style>
  <w:style w:type="character" w:styleId="892">
    <w:name w:val="WW8Num7z5"/>
    <w:next w:val="892"/>
    <w:link w:val="829"/>
  </w:style>
  <w:style w:type="character" w:styleId="893">
    <w:name w:val="WW8Num7z6"/>
    <w:next w:val="893"/>
    <w:link w:val="829"/>
  </w:style>
  <w:style w:type="character" w:styleId="894">
    <w:name w:val="WW8Num7z7"/>
    <w:next w:val="894"/>
    <w:link w:val="829"/>
  </w:style>
  <w:style w:type="character" w:styleId="895">
    <w:name w:val="WW8Num7z8"/>
    <w:next w:val="895"/>
    <w:link w:val="829"/>
  </w:style>
  <w:style w:type="character" w:styleId="896">
    <w:name w:val="WW8Num8z0"/>
    <w:next w:val="896"/>
    <w:link w:val="829"/>
  </w:style>
  <w:style w:type="character" w:styleId="897">
    <w:name w:val="WW8Num8z1"/>
    <w:next w:val="897"/>
    <w:link w:val="829"/>
  </w:style>
  <w:style w:type="character" w:styleId="898">
    <w:name w:val="WW8Num8z2"/>
    <w:next w:val="898"/>
    <w:link w:val="829"/>
  </w:style>
  <w:style w:type="character" w:styleId="899">
    <w:name w:val="WW8Num8z3"/>
    <w:next w:val="899"/>
    <w:link w:val="829"/>
  </w:style>
  <w:style w:type="character" w:styleId="900">
    <w:name w:val="WW8Num8z4"/>
    <w:next w:val="900"/>
    <w:link w:val="829"/>
  </w:style>
  <w:style w:type="character" w:styleId="901">
    <w:name w:val="WW8Num8z5"/>
    <w:next w:val="901"/>
    <w:link w:val="829"/>
  </w:style>
  <w:style w:type="character" w:styleId="902">
    <w:name w:val="WW8Num8z6"/>
    <w:next w:val="902"/>
    <w:link w:val="829"/>
  </w:style>
  <w:style w:type="character" w:styleId="903">
    <w:name w:val="WW8Num8z7"/>
    <w:next w:val="903"/>
    <w:link w:val="829"/>
  </w:style>
  <w:style w:type="character" w:styleId="904">
    <w:name w:val="WW8Num8z8"/>
    <w:next w:val="904"/>
    <w:link w:val="829"/>
  </w:style>
  <w:style w:type="character" w:styleId="905">
    <w:name w:val="WW8Num9z0"/>
    <w:next w:val="905"/>
    <w:link w:val="829"/>
  </w:style>
  <w:style w:type="character" w:styleId="906">
    <w:name w:val="WW8Num9z1"/>
    <w:next w:val="906"/>
    <w:link w:val="829"/>
  </w:style>
  <w:style w:type="character" w:styleId="907">
    <w:name w:val="WW8Num9z2"/>
    <w:next w:val="907"/>
    <w:link w:val="829"/>
  </w:style>
  <w:style w:type="character" w:styleId="908">
    <w:name w:val="WW8Num9z3"/>
    <w:next w:val="908"/>
    <w:link w:val="829"/>
  </w:style>
  <w:style w:type="character" w:styleId="909">
    <w:name w:val="WW8Num9z4"/>
    <w:next w:val="909"/>
    <w:link w:val="829"/>
  </w:style>
  <w:style w:type="character" w:styleId="910">
    <w:name w:val="WW8Num9z5"/>
    <w:next w:val="910"/>
    <w:link w:val="829"/>
  </w:style>
  <w:style w:type="character" w:styleId="911">
    <w:name w:val="WW8Num9z6"/>
    <w:next w:val="911"/>
    <w:link w:val="829"/>
  </w:style>
  <w:style w:type="character" w:styleId="912">
    <w:name w:val="WW8Num9z7"/>
    <w:next w:val="912"/>
    <w:link w:val="829"/>
  </w:style>
  <w:style w:type="character" w:styleId="913">
    <w:name w:val="WW8Num9z8"/>
    <w:next w:val="913"/>
    <w:link w:val="829"/>
  </w:style>
  <w:style w:type="character" w:styleId="914">
    <w:name w:val="Основной шрифт абзаца1"/>
    <w:next w:val="914"/>
    <w:link w:val="829"/>
  </w:style>
  <w:style w:type="character" w:styleId="915">
    <w:name w:val="Название Знак"/>
    <w:next w:val="915"/>
    <w:link w:val="829"/>
    <w:rPr>
      <w:rFonts w:ascii="Times New Roman" w:hAnsi="Times New Roman" w:eastAsia="Times New Roman" w:cs="Times New Roman"/>
      <w:b/>
      <w:sz w:val="24"/>
      <w:szCs w:val="20"/>
    </w:rPr>
  </w:style>
  <w:style w:type="character" w:styleId="916">
    <w:name w:val="Основной текст с отступом Знак"/>
    <w:next w:val="916"/>
    <w:link w:val="829"/>
    <w:rPr>
      <w:rFonts w:ascii="Palatino Linotype" w:hAnsi="Palatino Linotype" w:eastAsia="Times New Roman" w:cs="Times New Roman"/>
      <w:sz w:val="24"/>
      <w:szCs w:val="24"/>
    </w:rPr>
  </w:style>
  <w:style w:type="character" w:styleId="917">
    <w:name w:val="Основной текст 2 Знак"/>
    <w:next w:val="917"/>
    <w:link w:val="829"/>
    <w:rPr>
      <w:rFonts w:ascii="Palatino Linotype" w:hAnsi="Palatino Linotype" w:eastAsia="Times New Roman" w:cs="Times New Roman"/>
      <w:sz w:val="24"/>
      <w:szCs w:val="24"/>
    </w:rPr>
  </w:style>
  <w:style w:type="character" w:styleId="918">
    <w:name w:val="Основной текст с отступом 3 Знак"/>
    <w:next w:val="918"/>
    <w:link w:val="829"/>
    <w:rPr>
      <w:rFonts w:ascii="Palatino Linotype" w:hAnsi="Palatino Linotype" w:eastAsia="Times New Roman" w:cs="Times New Roman"/>
      <w:sz w:val="16"/>
      <w:szCs w:val="16"/>
    </w:rPr>
  </w:style>
  <w:style w:type="character" w:styleId="919">
    <w:name w:val="Текст Знак"/>
    <w:next w:val="919"/>
    <w:link w:val="829"/>
    <w:rPr>
      <w:rFonts w:ascii="Courier New" w:hAnsi="Courier New" w:eastAsia="Times New Roman" w:cs="Times New Roman"/>
      <w:sz w:val="20"/>
      <w:szCs w:val="20"/>
    </w:rPr>
  </w:style>
  <w:style w:type="character" w:styleId="920">
    <w:name w:val="Заголовок 5 Знак"/>
    <w:next w:val="920"/>
    <w:link w:val="829"/>
    <w:rPr>
      <w:rFonts w:ascii="Times New Roman" w:hAnsi="Times New Roman" w:eastAsia="Times New Roman" w:cs="Times New Roman"/>
      <w:b/>
      <w:sz w:val="24"/>
      <w:szCs w:val="24"/>
    </w:rPr>
  </w:style>
  <w:style w:type="character" w:styleId="921">
    <w:name w:val="Основной текст с отступом 2 Знак"/>
    <w:basedOn w:val="914"/>
    <w:next w:val="921"/>
    <w:link w:val="829"/>
  </w:style>
  <w:style w:type="character" w:styleId="922">
    <w:name w:val="Текст выноски Знак"/>
    <w:next w:val="922"/>
    <w:link w:val="829"/>
    <w:rPr>
      <w:rFonts w:ascii="Tahoma" w:hAnsi="Tahoma" w:cs="Tahoma"/>
      <w:sz w:val="16"/>
      <w:szCs w:val="16"/>
    </w:rPr>
  </w:style>
  <w:style w:type="character" w:styleId="923">
    <w:name w:val="Верхний колонтитул Знак"/>
    <w:next w:val="923"/>
    <w:link w:val="829"/>
    <w:rPr>
      <w:sz w:val="22"/>
      <w:szCs w:val="22"/>
    </w:rPr>
  </w:style>
  <w:style w:type="character" w:styleId="924">
    <w:name w:val="Нижний колонтитул Знак"/>
    <w:next w:val="924"/>
    <w:link w:val="829"/>
    <w:rPr>
      <w:sz w:val="22"/>
      <w:szCs w:val="22"/>
    </w:rPr>
  </w:style>
  <w:style w:type="character" w:styleId="925">
    <w:name w:val="Интернет-ссылка"/>
    <w:next w:val="925"/>
    <w:link w:val="829"/>
    <w:rPr>
      <w:color w:val="000080"/>
      <w:u w:val="single"/>
      <w:lang w:val="en-US" w:bidi="en-US"/>
    </w:rPr>
  </w:style>
  <w:style w:type="character" w:styleId="926">
    <w:name w:val="Основной текст с отступом 3 Знак1"/>
    <w:next w:val="926"/>
    <w:link w:val="829"/>
    <w:rPr>
      <w:sz w:val="16"/>
      <w:szCs w:val="16"/>
    </w:rPr>
  </w:style>
  <w:style w:type="paragraph" w:styleId="927">
    <w:name w:val="Заголовок"/>
    <w:basedOn w:val="829"/>
    <w:next w:val="928"/>
    <w:link w:val="829"/>
    <w:pPr>
      <w:jc w:val="center"/>
      <w:spacing w:before="0" w:after="0" w:line="240" w:lineRule="auto"/>
    </w:pPr>
    <w:rPr>
      <w:rFonts w:ascii="Times New Roman" w:hAnsi="Times New Roman" w:cs="Times New Roman"/>
      <w:b/>
      <w:sz w:val="24"/>
      <w:szCs w:val="20"/>
      <w:lang w:val="en-US"/>
    </w:rPr>
  </w:style>
  <w:style w:type="paragraph" w:styleId="928">
    <w:name w:val="Основной текст"/>
    <w:basedOn w:val="829"/>
    <w:next w:val="928"/>
    <w:link w:val="829"/>
    <w:pPr>
      <w:spacing w:before="0" w:after="140" w:line="288" w:lineRule="auto"/>
    </w:pPr>
  </w:style>
  <w:style w:type="paragraph" w:styleId="929">
    <w:name w:val="Список"/>
    <w:basedOn w:val="928"/>
    <w:next w:val="929"/>
    <w:link w:val="829"/>
    <w:rPr>
      <w:rFonts w:cs="Mangal"/>
    </w:rPr>
  </w:style>
  <w:style w:type="paragraph" w:styleId="930">
    <w:name w:val="Название"/>
    <w:basedOn w:val="829"/>
    <w:next w:val="930"/>
    <w:link w:val="829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31">
    <w:name w:val="Указатель"/>
    <w:basedOn w:val="829"/>
    <w:next w:val="931"/>
    <w:link w:val="829"/>
    <w:pPr>
      <w:suppressLineNumbers/>
    </w:pPr>
    <w:rPr>
      <w:rFonts w:cs="Mangal"/>
    </w:rPr>
  </w:style>
  <w:style w:type="paragraph" w:styleId="932">
    <w:name w:val="Название объекта"/>
    <w:basedOn w:val="829"/>
    <w:next w:val="932"/>
    <w:link w:val="829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33">
    <w:name w:val="Указатель2"/>
    <w:basedOn w:val="829"/>
    <w:next w:val="933"/>
    <w:link w:val="829"/>
    <w:pPr>
      <w:suppressLineNumbers/>
    </w:pPr>
    <w:rPr>
      <w:rFonts w:cs="Mangal"/>
    </w:rPr>
  </w:style>
  <w:style w:type="paragraph" w:styleId="934">
    <w:name w:val="Название объекта1"/>
    <w:basedOn w:val="829"/>
    <w:next w:val="934"/>
    <w:link w:val="829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35">
    <w:name w:val="Указатель1"/>
    <w:basedOn w:val="829"/>
    <w:next w:val="935"/>
    <w:link w:val="829"/>
    <w:pPr>
      <w:suppressLineNumbers/>
    </w:pPr>
    <w:rPr>
      <w:rFonts w:cs="Mangal"/>
    </w:rPr>
  </w:style>
  <w:style w:type="paragraph" w:styleId="936">
    <w:name w:val="ConsPlusNormal"/>
    <w:next w:val="936"/>
    <w:link w:val="829"/>
    <w:pPr>
      <w:ind w:left="0" w:right="0" w:firstLine="720"/>
      <w:widowControl w:val="off"/>
    </w:pPr>
    <w:rPr>
      <w:rFonts w:ascii="Arial" w:hAnsi="Arial" w:eastAsia="Times New Roman" w:cs="Arial"/>
      <w:color w:val="auto"/>
      <w:sz w:val="20"/>
      <w:szCs w:val="20"/>
      <w:lang w:val="ru-RU" w:eastAsia="zh-CN" w:bidi="ar-SA"/>
    </w:rPr>
  </w:style>
  <w:style w:type="paragraph" w:styleId="937">
    <w:name w:val="ConsPlusNonformat"/>
    <w:next w:val="937"/>
    <w:link w:val="829"/>
    <w:pPr>
      <w:widowControl w:val="off"/>
    </w:pPr>
    <w:rPr>
      <w:rFonts w:ascii="Courier New" w:hAnsi="Courier New" w:eastAsia="Times New Roman" w:cs="Courier New"/>
      <w:color w:val="auto"/>
      <w:sz w:val="20"/>
      <w:szCs w:val="20"/>
      <w:lang w:val="ru-RU" w:eastAsia="zh-CN" w:bidi="ar-SA"/>
    </w:rPr>
  </w:style>
  <w:style w:type="paragraph" w:styleId="938">
    <w:name w:val="Основной текст с отступом"/>
    <w:basedOn w:val="829"/>
    <w:next w:val="938"/>
    <w:link w:val="829"/>
    <w:pPr>
      <w:ind w:left="283" w:right="0" w:firstLine="0"/>
      <w:spacing w:before="0" w:after="120" w:line="240" w:lineRule="auto"/>
    </w:pPr>
    <w:rPr>
      <w:rFonts w:ascii="Palatino Linotype" w:hAnsi="Palatino Linotype" w:cs="Palatino Linotype"/>
      <w:sz w:val="24"/>
      <w:szCs w:val="24"/>
      <w:lang w:val="en-US"/>
    </w:rPr>
  </w:style>
  <w:style w:type="paragraph" w:styleId="939">
    <w:name w:val="Основной текст 21"/>
    <w:basedOn w:val="829"/>
    <w:next w:val="939"/>
    <w:link w:val="829"/>
    <w:pPr>
      <w:spacing w:before="0" w:after="120" w:line="480" w:lineRule="auto"/>
    </w:pPr>
    <w:rPr>
      <w:rFonts w:ascii="Palatino Linotype" w:hAnsi="Palatino Linotype" w:cs="Palatino Linotype"/>
      <w:sz w:val="24"/>
      <w:szCs w:val="24"/>
      <w:lang w:val="en-US"/>
    </w:rPr>
  </w:style>
  <w:style w:type="paragraph" w:styleId="940">
    <w:name w:val="Основной текст с отступом 31"/>
    <w:basedOn w:val="829"/>
    <w:next w:val="940"/>
    <w:link w:val="829"/>
    <w:pPr>
      <w:ind w:left="283" w:right="0" w:firstLine="0"/>
      <w:spacing w:before="0" w:after="120" w:line="240" w:lineRule="auto"/>
    </w:pPr>
    <w:rPr>
      <w:rFonts w:ascii="Palatino Linotype" w:hAnsi="Palatino Linotype" w:cs="Palatino Linotype"/>
      <w:sz w:val="16"/>
      <w:szCs w:val="16"/>
      <w:lang w:val="en-US"/>
    </w:rPr>
  </w:style>
  <w:style w:type="paragraph" w:styleId="941">
    <w:name w:val="Текст1"/>
    <w:basedOn w:val="829"/>
    <w:next w:val="941"/>
    <w:link w:val="829"/>
    <w:pPr>
      <w:spacing w:before="0" w:after="0" w:line="240" w:lineRule="auto"/>
    </w:pPr>
    <w:rPr>
      <w:rFonts w:ascii="Courier New" w:hAnsi="Courier New" w:cs="Courier New"/>
      <w:sz w:val="20"/>
      <w:szCs w:val="20"/>
      <w:lang w:val="en-US"/>
    </w:rPr>
  </w:style>
  <w:style w:type="paragraph" w:styleId="942">
    <w:name w:val="Статья"/>
    <w:basedOn w:val="829"/>
    <w:next w:val="942"/>
    <w:link w:val="829"/>
    <w:pPr>
      <w:numPr>
        <w:ilvl w:val="0"/>
        <w:numId w:val="3"/>
      </w:numPr>
      <w:jc w:val="center"/>
      <w:keepLines/>
      <w:keepNext/>
      <w:spacing w:before="0" w:after="60" w:line="240" w:lineRule="auto"/>
      <w:widowControl w:val="off"/>
      <w:suppressLineNumbers/>
    </w:pPr>
    <w:rPr>
      <w:rFonts w:ascii="Times New Roman" w:hAnsi="Times New Roman" w:eastAsia="Times New Roman" w:cs="Times New Roman"/>
      <w:b/>
      <w:bCs/>
      <w:caps/>
      <w:sz w:val="28"/>
      <w:szCs w:val="28"/>
    </w:rPr>
  </w:style>
  <w:style w:type="paragraph" w:styleId="943">
    <w:name w:val="Нумерованный список 2"/>
    <w:basedOn w:val="829"/>
    <w:next w:val="943"/>
    <w:link w:val="829"/>
    <w:pPr>
      <w:contextualSpacing/>
      <w:ind w:left="432" w:right="0" w:hanging="432"/>
      <w:spacing w:before="0" w:after="200"/>
    </w:pPr>
  </w:style>
  <w:style w:type="paragraph" w:styleId="944">
    <w:name w:val="Пункт"/>
    <w:basedOn w:val="943"/>
    <w:next w:val="944"/>
    <w:link w:val="829"/>
    <w:pPr>
      <w:contextualSpacing/>
      <w:ind w:left="860" w:right="0" w:hanging="432"/>
      <w:jc w:val="both"/>
      <w:spacing w:before="0" w:after="60" w:line="240" w:lineRule="auto"/>
      <w:suppressLineNumbers/>
    </w:pPr>
    <w:rPr>
      <w:rFonts w:ascii="Palatino Linotype" w:hAnsi="Palatino Linotype" w:eastAsia="Times New Roman" w:cs="Times New Roman"/>
      <w:sz w:val="24"/>
      <w:szCs w:val="24"/>
    </w:rPr>
  </w:style>
  <w:style w:type="paragraph" w:styleId="945">
    <w:name w:val="Стиль3 Знак"/>
    <w:basedOn w:val="829"/>
    <w:next w:val="945"/>
    <w:link w:val="829"/>
    <w:pPr>
      <w:numPr>
        <w:ilvl w:val="0"/>
        <w:numId w:val="3"/>
      </w:numPr>
      <w:jc w:val="both"/>
      <w:spacing w:before="0"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</w:rPr>
  </w:style>
  <w:style w:type="paragraph" w:styleId="946">
    <w:name w:val="Без интервала"/>
    <w:next w:val="946"/>
    <w:pPr>
      <w:widowControl/>
    </w:pPr>
    <w:rPr>
      <w:rFonts w:ascii="Calibri" w:hAnsi="Calibri" w:eastAsia="Times New Roman" w:cs="Calibri"/>
      <w:color w:val="auto"/>
      <w:sz w:val="22"/>
      <w:szCs w:val="22"/>
      <w:lang w:val="ru-RU" w:eastAsia="zh-CN" w:bidi="ar-SA"/>
    </w:rPr>
  </w:style>
  <w:style w:type="paragraph" w:styleId="947">
    <w:name w:val="Основной текст с отступом 21"/>
    <w:basedOn w:val="829"/>
    <w:next w:val="947"/>
    <w:link w:val="829"/>
    <w:pPr>
      <w:ind w:left="283" w:right="0" w:firstLine="0"/>
      <w:spacing w:before="0" w:after="120" w:line="480" w:lineRule="auto"/>
    </w:pPr>
  </w:style>
  <w:style w:type="paragraph" w:styleId="948">
    <w:name w:val="Текст выноски"/>
    <w:basedOn w:val="829"/>
    <w:next w:val="948"/>
    <w:link w:val="829"/>
    <w:pPr>
      <w:spacing w:before="0" w:after="0" w:line="240" w:lineRule="auto"/>
    </w:pPr>
    <w:rPr>
      <w:rFonts w:ascii="Tahoma" w:hAnsi="Tahoma" w:cs="Tahoma"/>
      <w:sz w:val="16"/>
      <w:szCs w:val="16"/>
      <w:lang w:val="en-US"/>
    </w:rPr>
  </w:style>
  <w:style w:type="paragraph" w:styleId="949">
    <w:name w:val="Обычный (веб)"/>
    <w:basedOn w:val="829"/>
    <w:next w:val="949"/>
    <w:link w:val="829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950">
    <w:name w:val="Верхний колонтитул"/>
    <w:basedOn w:val="829"/>
    <w:next w:val="950"/>
    <w:link w:val="829"/>
    <w:pPr>
      <w:tabs>
        <w:tab w:val="center" w:pos="4677" w:leader="none"/>
        <w:tab w:val="right" w:pos="9355" w:leader="none"/>
      </w:tabs>
    </w:pPr>
    <w:rPr>
      <w:lang w:val="en-US"/>
    </w:rPr>
  </w:style>
  <w:style w:type="paragraph" w:styleId="951">
    <w:name w:val="Нижний колонтитул"/>
    <w:basedOn w:val="829"/>
    <w:next w:val="951"/>
    <w:link w:val="829"/>
    <w:pPr>
      <w:tabs>
        <w:tab w:val="center" w:pos="4677" w:leader="none"/>
        <w:tab w:val="right" w:pos="9355" w:leader="none"/>
      </w:tabs>
    </w:pPr>
    <w:rPr>
      <w:lang w:val="en-US"/>
    </w:rPr>
  </w:style>
  <w:style w:type="paragraph" w:styleId="952">
    <w:name w:val="Содержимое таблицы"/>
    <w:basedOn w:val="829"/>
    <w:next w:val="952"/>
    <w:link w:val="829"/>
    <w:pPr>
      <w:suppressLineNumbers/>
    </w:pPr>
  </w:style>
  <w:style w:type="paragraph" w:styleId="953">
    <w:name w:val="Заголовок таблицы"/>
    <w:basedOn w:val="952"/>
    <w:next w:val="953"/>
    <w:link w:val="829"/>
    <w:pPr>
      <w:jc w:val="center"/>
      <w:suppressLineNumbers/>
    </w:pPr>
    <w:rPr>
      <w:b/>
      <w:bCs/>
    </w:rPr>
  </w:style>
  <w:style w:type="paragraph" w:styleId="954">
    <w:name w:val="Основной текст с отступом 32"/>
    <w:basedOn w:val="829"/>
    <w:next w:val="954"/>
    <w:pPr>
      <w:ind w:left="283" w:right="0" w:firstLine="0"/>
      <w:spacing w:before="0" w:after="120" w:line="240" w:lineRule="auto"/>
    </w:pPr>
    <w:rPr>
      <w:rFonts w:ascii="Times New Roman" w:hAnsi="Times New Roman" w:cs="Times New Roman"/>
      <w:sz w:val="16"/>
      <w:szCs w:val="16"/>
    </w:rPr>
  </w:style>
  <w:style w:type="character" w:styleId="955" w:default="1">
    <w:name w:val="Default Paragraph Font"/>
    <w:uiPriority w:val="1"/>
    <w:semiHidden/>
    <w:unhideWhenUsed/>
  </w:style>
  <w:style w:type="numbering" w:styleId="956" w:default="1">
    <w:name w:val="No List"/>
    <w:uiPriority w:val="99"/>
    <w:semiHidden/>
    <w:unhideWhenUsed/>
  </w:style>
  <w:style w:type="character" w:styleId="957" w:customStyle="1">
    <w:name w:val="Гиперссылка"/>
    <w:uiPriority w:val="68"/>
    <w:rPr>
      <w:color w:val="000080"/>
      <w:u w:val="single"/>
      <w:lang w:val="en-US" w:bidi="en-US"/>
    </w:rPr>
  </w:style>
  <w:style w:type="paragraph" w:styleId="958" w:customStyle="1">
    <w:name w:val="Абзац списка2"/>
    <w:pPr>
      <w:contextualSpacing w:val="0"/>
      <w:ind w:left="72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ar-SA" w:bidi="ar-SA"/>
      <w14:ligatures w14:val="none"/>
    </w:rPr>
  </w:style>
  <w:style w:type="paragraph" w:styleId="959" w:customStyle="1">
    <w:name w:val="Body Text"/>
    <w:basedOn w:val="67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40" w:afterAutospacing="0" w:line="288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60" w:customStyle="1">
    <w:name w:val="s_1"/>
    <w:link w:val="859"/>
    <w:pPr>
      <w:contextualSpacing w:val="0"/>
      <w:ind w:left="0" w:right="0" w:firstLine="0"/>
      <w:jc w:val="left"/>
      <w:keepLines w:val="0"/>
      <w:keepNext w:val="0"/>
      <w:pageBreakBefore w:val="0"/>
      <w:spacing w:before="280" w:beforeAutospacing="0" w:after="28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TargetMode="External"/><Relationship Id="rId10" Type="http://schemas.openxmlformats.org/officeDocument/2006/relationships/hyperlink" Target="https://base.garant.ru/70287242/" TargetMode="External"/><Relationship Id="rId11" Type="http://schemas.openxmlformats.org/officeDocument/2006/relationships/hyperlink" Target="https://base.garant.ru/70158960/" TargetMode="External"/><Relationship Id="rId12" Type="http://schemas.openxmlformats.org/officeDocument/2006/relationships/hyperlink" Target="https://base.garant.ru/70103066/67ed58225b4b05deea11771e0271c2f2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revision>74</cp:revision>
  <dcterms:created xsi:type="dcterms:W3CDTF">2011-04-22T07:54:00Z</dcterms:created>
  <dcterms:modified xsi:type="dcterms:W3CDTF">2026-09-10T08:20:29Z</dcterms:modified>
</cp:coreProperties>
</file>