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ДОГОВОР №____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tabs>
          <w:tab w:val="right" w:pos="10065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г. Волосово  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  <w: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Муниципальное дошкольное образовательно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е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учреждение «Детский сад №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13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color w:val="000000"/>
          <w:sz w:val="24"/>
          <w:szCs w:val="20"/>
          <w:lang w:eastAsia="ru-RU"/>
        </w:rPr>
        <w:t xml:space="preserve">, именуемое в дальнейшем «Заказчик», в лице заведующего </w:t>
      </w:r>
      <w:r>
        <w:rPr>
          <w:rFonts w:ascii="Times New Roman" w:hAnsi="Times New Roman" w:eastAsia="Times New Roman" w:cs="Times New Roman"/>
          <w:color w:val="000000"/>
          <w:sz w:val="24"/>
          <w:szCs w:val="20"/>
          <w:lang w:eastAsia="ru-RU"/>
        </w:rPr>
        <w:t xml:space="preserve">Ивановой Татьяны Александровны</w:t>
      </w:r>
      <w:r>
        <w:rPr>
          <w:rFonts w:ascii="Times New Roman" w:hAnsi="Times New Roman" w:eastAsia="Times New Roman" w:cs="Times New Roman"/>
          <w:color w:val="000000"/>
          <w:sz w:val="24"/>
          <w:szCs w:val="20"/>
          <w:lang w:eastAsia="ru-RU"/>
        </w:rPr>
        <w:t xml:space="preserve">, действующего на основании Устава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с одной стороны, и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именуемое в дальнейшем Поставщик, в лице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действующего на основании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с другой стороны,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именуемые в дальнейшем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Стороны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заключили настоящ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Договор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соответствии 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ч.1 ст.93 Федерального закона от 5 апреля 2013 года №44-ФЗ «О контрактной системе в сфере закупок товаров, работ, услуг для обеспечения государственных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муниципальных нужд» (далее 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Договор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 о нижеследующем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426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1. ПРЕДМЕТ ДОГОВОРА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1.1. Поставщик в течение срока действия Договора обязуется на условиях Договора осуществлять поставку продуктов питания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МДОУ «Детский сад № 13»,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 Заказчик обязуется осуществить приемку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оплату поставленных продуктов питания.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1.2. Количество и ассортимент поставляемых продуктов питания (далее - товар), а также цена за товарную единицу указаны в Спецификации (Приложение № 1 к Договору).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1.3. В рамках контракта под одной партией товара Стороны принимают продукты питания, поставленные по одной накладной или УПД. Поставка товара осуществляется в соответствии с Графиком поставки товара (Приложение № 2 к Договору).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1.4. Срок поставки: с момент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 подписания договора по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31.10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.2026 г. включительно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1.5. Поставка товара осуществляется по адресу: </w:t>
      </w:r>
      <w:r>
        <w:rPr>
          <w:rFonts w:ascii="Times New Roman" w:hAnsi="Times New Roman" w:cs="Times New Roman"/>
          <w:sz w:val="24"/>
          <w:szCs w:val="24"/>
        </w:rPr>
        <w:t xml:space="preserve">188425, Ленинградская область,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.З</w:t>
      </w:r>
      <w:r>
        <w:rPr>
          <w:rFonts w:ascii="Times New Roman" w:hAnsi="Times New Roman" w:cs="Times New Roman"/>
          <w:sz w:val="24"/>
          <w:szCs w:val="24"/>
        </w:rPr>
        <w:t xml:space="preserve">имитицы</w:t>
      </w:r>
      <w:r>
        <w:rPr>
          <w:rFonts w:ascii="Times New Roman" w:hAnsi="Times New Roman" w:eastAsia="Times New Roman" w:cs="Times New Roman"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0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1.6. Существенными условиями Договора считаются: качество поставляемого товара, сроки и объёмы заявки на поставку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сопроводительная документация согласно п. 3.1.4 настоящей документации.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2.ОБЩАЯ СТОИМОСТЬ И ПОРЯДОК РАСЧЕТОВ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both"/>
        <w:spacing w:after="0"/>
        <w:rPr>
          <w:rFonts w:ascii="Calibri" w:hAnsi="Calibri" w:eastAsia="Calibri" w:cs="Times New Roman"/>
          <w:color w:val="000000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2.1. Общая стоимость Договора составляет ______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(_____________ рублей ___ копеек) рублей ____ копеек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.ч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НДС/Без НДС. Источник финансирования Договора - за счет средств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Волосовский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муниципальный район, за счет средств от оказания платных услуг бюджетными учреждениями (родительская плата за присмотр и уход) и субвенций на выплату компенсации части родительской платы. </w:t>
      </w:r>
      <w:r>
        <w:rPr>
          <w:rFonts w:ascii="Calibri" w:hAnsi="Calibri" w:eastAsia="Calibri" w:cs="Times New Roman"/>
          <w:color w:val="000000"/>
          <w:lang w:eastAsia="ru-RU"/>
        </w:rPr>
      </w:r>
      <w:r>
        <w:rPr>
          <w:rFonts w:ascii="Calibri" w:hAnsi="Calibri" w:eastAsia="Calibri" w:cs="Times New Roman"/>
          <w:color w:val="000000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2.2. Цена Договора является твердой на весь срок де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йствия Договора и изменению не подлежит, за исключением случаев, предусмотренных действующим законодательством.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2.3. В цену Договора входят: цена товара, все расходы с учетом стоимости товара, расходов на доставку товара, страхование, уплату таможенных пош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лин, налогов и других обязательных платежей.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2.4. Расчеты по настоящему Договору производятся Заказчиком путем перечисления денежных средств на расчетный счет Поставщика по факту поставки товара, на основании предъявленных Поставщиком универсальных передат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очных документов (УПД) или товарной накладной оформленных на получателей при наличии документального подтверждения от Получателей Факта поставки товара.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2.5. Заказчик производит оплату после получения товара, путем перечисления денежных средств на расчетны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й счет Поставщика в течение 10 (десяти) рабочих дней, на основании счета.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2.6. По соглашению Заказчика с Поставщиком цена Договора может быть снижена без изменения предусмотренных Договором количества товара, качества поставляемого товара, и иных условий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Договора.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2.7. Заказчик по согласованию с Поставщиком вправе увеличить или уменьшить предусмотренное Договором количество товара не более чем на десять процентов. При увеличении количества товара по соглашению сторон допускается изменение цены Договора про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порционально дополнительному количеству товара исходя из установленной в Договоре цены единицы товара, но не более чем на десять процентов цены контракта. При уменьшении предусмотренного Договором количества товара стороны обязаны уменьшить цену Договора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сходя из цены единицы товара.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2.8. В случае уменьшения ранее доведенных лимитов бюджетных обязательств, приводящего к невозможности исполнения бюджетных обязательств, вытекающих из заключенного Договора, заказчик должен </w:t>
      </w:r>
      <w:hyperlink r:id="rId11" w:tooltip="Постановление Правительства РФ от 28.11.2013 N 1090 &quot;Об утверждении методики сокращения количества товаров, объемов работ или услуг при уменьшении цены контракта&quot;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обеспе</w:t>
        </w:r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чить согласование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 новых условий Договоров, в том числе по цене и (или) срокам их исполнения и (или)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количества товара, предусмотренного Договором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left="1506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  <w:t xml:space="preserve">3.Права и обязанности Сторон</w:t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3.1. Поставщик обязуется: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3.1.1. На основании направленной Заказчиком заявки 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 поставку товара поставлять товар.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3.1.2. Поставлять товар надлежащего качества в количестве и ассортименте, указанном Заказчиком в заявке на поставку и Приложении №1 к настоящему Договору.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3.1.3. Соблюдать минимальный остаточный срок реализации товара на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весь поставляемый, в том числе, скоропортящийся товар, который должен составлять не менее 80%, от срока реализации, указанного в сопроводительных документах.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3.1.4. Одновременно с поставкой товара передавать надлежащим образом оформленные сопровод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ительные документы: счет, товарную накладную или УПД с отметкой о конечном сроке реализации, оформленная должным образом, сертификаты и/или декларации о соответствии, удостоверение качества, либо иные документы, подтверждающие качество и безопасность проду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ктов питания в соответствии с требованиями действующего законодательства Российской Федерации.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3.1.5. Обеспечить доставку товара с учетом правил товарного соседства транспортом, предназначенным для перевозки пищевых продуктов, скоропортящиеся това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ры доставлять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охлажденными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или изотермическим транспортом, обеспечивающим необходимые температурные режимы транспортировки.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3.1.6. Обеспечивать доставку и сдачу товара лицами, имеющими оформленные в соответствии с требованиями действующего законодательства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медицинские книжки и спецодежду.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3.1.7. Производить доставку товара, а также выгрузку товара непосредственно по адресу, указанному в п. 1.5 настоящего контракта. Передача товара осуществляется по актам передачи.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3.1.8. Поставить товар в полном объеме заяв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ки на поставку. Частичная поставка допускается только по предварительному согласованию с Заказчиком.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3.1.9.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Затарить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 упаковать таким образом, чтобы обеспечить сохранность товара при его транспортировке и хранении. Поставить товар в таре Поставщика.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10. Подписывать акт, составленный Заказчиком в соответствии с п. 4.4 настоящего контракта и осуществлять замену товара, не соответствующего заявленным по количеству, ассортименту и/или качеству, в сроки, указанные Заказчиком в акте.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3.1.11. В течение 3 (трех) часов прибыть к Заказчику в случае обнаружения товара ненадлежащего качества в соответствии с п. 5.2 настоящего Договора.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3.1.12.Обеспечить наличие резервных запасов товара на собственных складах на срок не менее месяца 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реднестатистической поставки; скоропортящаяся молочная продукция поставляется без резервных запасов, при этом складские помещения, холодильное оборудование 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автотранспорт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предназначенные для раздельного хранения и перевозки продуктов питания, должны </w:t>
      </w:r>
      <w:r>
        <w:rPr>
          <w:rFonts w:ascii="Times New Roman" w:hAnsi="Times New Roman" w:eastAsia="Times New Roman" w:cs="Times New Roman"/>
          <w:color w:val="000000"/>
          <w:spacing w:val="2"/>
          <w:sz w:val="24"/>
          <w:szCs w:val="24"/>
          <w:lang w:eastAsia="ru-RU"/>
        </w:rPr>
        <w:t xml:space="preserve">обесп</w:t>
      </w:r>
      <w:r>
        <w:rPr>
          <w:rFonts w:ascii="Times New Roman" w:hAnsi="Times New Roman" w:eastAsia="Times New Roman" w:cs="Times New Roman"/>
          <w:color w:val="000000"/>
          <w:spacing w:val="2"/>
          <w:sz w:val="24"/>
          <w:szCs w:val="24"/>
          <w:lang w:eastAsia="ru-RU"/>
        </w:rPr>
        <w:t xml:space="preserve">ечивать соответствующие условия и температурные режимы хранения и перевозки для каждого вида продуктов питания 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соответствовать </w:t>
      </w:r>
      <w:r>
        <w:rPr>
          <w:rFonts w:ascii="Times New Roman" w:hAnsi="Times New Roman" w:eastAsia="Times New Roman" w:cs="Times New Roman"/>
          <w:color w:val="000000"/>
          <w:spacing w:val="2"/>
          <w:sz w:val="24"/>
          <w:szCs w:val="24"/>
          <w:lang w:eastAsia="ru-RU"/>
        </w:rPr>
        <w:t xml:space="preserve">санитарным правилам касающимся условий производства, хранения, перевозки, приемки, реализации продовольственного сырья и продук</w:t>
      </w:r>
      <w:r>
        <w:rPr>
          <w:rFonts w:ascii="Times New Roman" w:hAnsi="Times New Roman" w:eastAsia="Times New Roman" w:cs="Times New Roman"/>
          <w:color w:val="000000"/>
          <w:spacing w:val="2"/>
          <w:sz w:val="24"/>
          <w:szCs w:val="24"/>
          <w:lang w:eastAsia="ru-RU"/>
        </w:rPr>
        <w:t xml:space="preserve">тов питания - «Санитарно-эпидемиологические требования к организациям торговли и обороту в них продовольственного сырья и пищевых продуктов. СП 2.3.6.1066-01», утвержденных постановлением главного государственного санитарного врача Российской Федерации.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3.2. Заказчик обязуется: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3.2.1. Направлять Поставщику заявку на поставку товара не менее чем за 3 (три) рабочих дня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 даты поставки. Изменения заявки возможны не менее чем за 1 (один) рабочий день до предполагаемой даты поставки.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3.2.2. Хранить полученный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товар в условиях, соответствующих действующим нормам и правилам хранения групп продуктов.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3.2.3. Не принимать товар, не соответствующий Договору или заявке на поставку по количеству, качеству или ассортименту, товар, поставляемый в грязной таре или повреж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денной таре, либо товар, не имеющий сопроводительных документов, указанных в пункте 3.1.4 настоящего Договора.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Arial Unicode MS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3.3. </w:t>
      </w:r>
      <w:r>
        <w:rPr>
          <w:rFonts w:ascii="Times New Roman" w:hAnsi="Times New Roman" w:eastAsia="Arial Unicode MS" w:cs="Times New Roman"/>
          <w:bCs/>
          <w:sz w:val="24"/>
          <w:szCs w:val="24"/>
          <w:lang w:eastAsia="ru-RU"/>
        </w:rPr>
        <w:t xml:space="preserve">Заказчик вправе запрашивать финансовые отчеты соисполнителей с приложением заверенных копий всех первичных документов.</w:t>
      </w:r>
      <w:r>
        <w:rPr>
          <w:rFonts w:ascii="Times New Roman" w:hAnsi="Times New Roman" w:eastAsia="Arial Unicode MS" w:cs="Times New Roman"/>
          <w:sz w:val="24"/>
          <w:szCs w:val="24"/>
          <w:lang w:eastAsia="ru-RU"/>
        </w:rPr>
      </w:r>
      <w:r>
        <w:rPr>
          <w:rFonts w:ascii="Times New Roman" w:hAnsi="Times New Roman" w:eastAsia="Arial Unicode MS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Arial Unicode MS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3.4.В конце каждого 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вартала Поставщик и Заказчик обязуются составлять акт сверки, в котором будет указан объем переданного Поставщиком и принятого Заказчиком товара за месяц. К акту сверки прилагаются товарные накладные или УПД, подписанные в установленном порядке, акты перед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ачи. При проведении сверки расчетов стороны обмениваются оригиналами документов.</w:t>
      </w:r>
      <w:r>
        <w:rPr>
          <w:rFonts w:ascii="Times New Roman" w:hAnsi="Times New Roman" w:eastAsia="Arial Unicode MS" w:cs="Times New Roman"/>
          <w:sz w:val="24"/>
          <w:szCs w:val="24"/>
          <w:lang w:eastAsia="ru-RU"/>
        </w:rPr>
      </w:r>
      <w:r>
        <w:rPr>
          <w:rFonts w:ascii="Times New Roman" w:hAnsi="Times New Roman" w:eastAsia="Arial Unicode MS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3.5. Стороны вправе изменять количество и наименование поставляемого товара через перегруппировку товарных единиц в рамках Спецификации (Приложение №1) без изменения цены кон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тракта.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3.6.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 согласованию с Заказчиком Поставщик вправе поставлять товарные единицы иных фирменных наименований и производителей, обладающих теми же качественными и функциональными характеристиками, что и товарные единицы, указанные в Приложении № 1 к 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онтракту, в случае не возможности их поставки не по вине Поставщика на момент формирования заявки на поставку товара, указанного в Приложении № 1 к Договору, без изменения цены Договора и увеличения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цены товарной единицы. При этом Заказчик вправе произвест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перегруппировку товарных единиц в порядке, указанном в пункте 3.5 контракта. Замена возможна исключительно в рамках одной товарной группы.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3.7. При исполнении Договора по согласованию Заказчика с Поставщиком допускается поставка товара, качество, техниче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контракте.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  <w:t xml:space="preserve">4.Прием и передача товара</w:t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4.1. Приемка товара осуществляется уполномочен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ными представителями Заказчика.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4.2.В течение 1 (одного) рабочего дня с момента передачи товара по акту передачи Заказчик осуществляет приемку поставленного товара на соответствие его количества, ассортимента и качества,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требованиям, установленным в контра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кте и оформляет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результаты такой приемки подписанием УПД или товарной накладной.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4.3.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 обнаружении Заказчиком в процессе приемки товара несоответствие поставляемого Поставщиком товара заявке на поставку по количеству или ассортименту, либо несоответстви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е поставляемого Поставщиком товара по качеству, установленному в настоящем Договоре, либо товара, поставленного в грязной или поврежденной таре, либо товара не имеющих сопроводительных документов, указанных в п. 3.1.4 контракта, Заказчик приостанавливает п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риемку.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4.4. Заказчик не подписывает УПД или товарную накладную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поставку товара, составляет акт, в котором указывает дату и время его составления, перечень лиц, присутствующих при приемке товара, описывает выявленные несоответствия поставляемого товара требованиям настоящего Договора и срок, для устранения выявленн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ых нарушений контракта. Товар Заказчиком не принимается и возвращается Поставщику.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pP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Поставщик обязан 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допоставить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 товар в соответствии с условиями Договора, заменить товар, не соответствующий условиям Договор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 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4.5.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Для проверки поставленных Поставщиком товаров, предусмотренных Договором, в части их соо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тветствия условиям Договора Заказчик обязан провести экспертизу. 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 на основании Договоров, 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аключенных в соответствии с Федеральным законом № 44-ФЗ.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случае, если по результатам такой экспертизы установлены нарушения требований Договора, не препятствующие приемке поставленного Товара в заключени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могут содержаться предложения об устранении данны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х нарушений, в том числе с указанием срока их устранения.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Заказчик вправе не отказывать в приемке поставленного Товара в случае выявления несоответствия этого Товара условиям Договора, если выявленное несоответствие не препятствует приемке Товара и устране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но Поставщиком.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 решению Заказчика для приемки поставленного товара может создаваться приемочная комиссия, которая состоит не менее чем из пяти человек.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случае привлечения заказчиком для проведения экспертизы экспертов, экспертных организаций при приня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pP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4.6. 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В случае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 если по результатам экспертизы установлены недостатки в части соответствия условиям Договора в поставленных Товарах, составляется заключение по результатам экспертизы (в двух экземплярах), в котором фиксируется перечень дефектов и сроки их устранения Пост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авщиком.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Товар считается не принятым. Экземпляр заключения передается Поставщику. 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Поставщик обязан 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заменить некачественный товар на товар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 надлежащего качества или иным способом по согласованию с Заказчиком устранить все обнаруженные недостатки своими силам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и и за свой счет в сроки, указанные в заключении.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pP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4.7.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твом. 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pP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4.8. В случае, если по результатам экспертизы установлены нарушения требований Договора, не препятствующие приемке оказанной услуги, в заключени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и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 могут содержаться предложения об устранении данных нарушений, в том числе с указанием срока их устранен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ия.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4.9. При поставке товара, соответствующего условиям настоящего Договора, уполномоченное лицо Заказчика подписывает УПД или товарную накладную.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4.10. Право собственности на передаваемый товар переходит от Поставщика к Заказчику в момент подписания УПД 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п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о итогам проведения экспертизы.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4.11. Заказчик вправе отказаться от приемки товара в случае не предоставления Поставщиком документов, указанных в п. 3.1.4 Договора.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  <w:t xml:space="preserve">5. Качество пищевых продуктов</w:t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5.1. Поставщик гарантирует Заказчику соответствие качества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поставляемого им товара установленным стандартам и требованиям.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5.2. Поставщик несет ответственность за качество поставляемого товара до момента подписания Заказчиком УПД или товарной накладной. При обнаружении низкого качества поставляемого товара Заказчи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незамедлительно сообщает об этом Поставщику. Поставщик обязан в течение 3 (трех) часов прибыть к Заказчику для составления акта о ненадлежащем качестве. В этом акте стороны согласовывают срок для поставки товара надлежащего качества.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5.3. Поставщик обязу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ется предоставлять по запросу Заказчика, а также уполномоченных государственных органов всю необходимую информацию и документы об условиях хранения, поставки товара, о качестве поставляемого товара, в случае необходимости предъявлять для осмотра транспорт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помещения для хранения товара.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5.4. Поставщик гарантирует Заказчику, исполнение: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Постановления Главного государственного санитарного врача РФ от 07.09.2001 №23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введении в действие Санитарных правил (вместе с СП 2.3.6.1066-01.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2.3.5. Предприятия торговли. Санитарно-эпидемиологические требования к организациям торговли и обороту в них продовольственного сырья и пищевых продуктов. Санитарно-эпидемиологические правила, утв. Главным государственным санитарным врачом РФ 06.09.2001);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Постановления Главного государственного санитарного врача РФ от 22.05.2003 №98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введении в действие Санитарно-эпидемиологических правил и нормативов СанПиН 2.3.2.1324-03 (вместе с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СанПиН 2.3.2.1324-03. 2.3.2. Продовольственное сырье и пищевые продукты. Гигиенические требования к срокам годности и условиям хранения пищевых продуктов. Санитарно-эпидемиологические правила и нормативы, утв. Главным государственным врачом РФ 21.05.2003);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Постановления Главного государственного санитарного врача РФ от 14.11.2001 36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введении в действие Санитарных правил (вместе с СанПиН 2.3.2.1078-01. 2.3.2. Продовольственное сырье и пищевые продукты. Гигиенические требования безопасности и пищевой ценн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ости пищевых продуктов. Санитарно-эпидемиологические правила и нормативы, утв. Главным государственным санитарным врачом РФ 06.11.2001), а также иных нормативно-правовых актов Российской Федерации, касающиеся условий хранения, перевозки, приемки, реализаци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продовольственного сырья и пищевых продуктов.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4"/>
        </w:numPr>
        <w:ind w:firstLine="426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  <w:t xml:space="preserve">Ответственность Сторон</w:t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6.1. За невыполнение или ненадлежащее выполнение обязательств по настоящему Договору Поставщик и Заказчик несут ответственность в соответствии с действующим законодательством РФ.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6.2.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случае поставки товара ненадлежащего качества и/или количества, и/или ассортимента, и в иных случаях в соответствии с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п.п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4.3, 5.2 Договора Поставщик обязуется за свой счет заменить такой товар, на товар надлежащего качества и/или количества, и/или ассо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ртимента в сроки, указанные Заказчиком в акте.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6.3.В случае непредставления Поставщиком документов, предусмотренных п. 3.1.4 Договора, Поставщик обязуется представить документы в срок, указанный Заказчиком в акте.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6.4.В случае неисполнения или ненадлежаще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го исполнения Поставщиком обязательства, предусмотренного Договором, Заказчик направляет Поставщику требование об уплате неустоек.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6.5. В случае просрочки исполнения Поставщиком обязательств (в том числе гарантийного обязательства), предусмотренных Договор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ом, а также в иных случаях ненадлежащего исполнения Поставщиком обязательств, предусмотренных Договором, Заказчик направляет Поставщику требование об уплате неустоек (пеней, штрафов). Указанная в настоящем пункте неустойка (пеня, штраф) взимается за каждое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нарушение в отдельности.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6.5.1. Пеня начисляется за каждый день просрочки исполнения Поставщиком обязательства, предусмотренного Договором, в том числе, если Поставщик не приступил к исполнению Договора в установленные сроки, равно как и в случае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нарушени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Поставщиком сроков оказания услуг, и в случае нарушения установленных Заказчиком сроков устранения обнаруженных им недостатков оказываемых услуг, и устанавливается в размере не менее одной трехсотой действующей на дату уплаты пени ставки рефинансирования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Поставщиком, начиная со дня, следующего после дня истечения установленного Договором 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рока исполнения обязательства, сроков устранения обнаруженных недостатков, и определяется по формуле: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 = (Ц - В) x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где: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Ц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– цена контракта;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– стоимость фактически исполненного в установленный срок Поставщиком обязательства по контракту, определяемая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основании документа о приемке результатов оказания услуг,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том числе отдельных этапов исполнения Договора;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 – размер ставки.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Размер ставки определяется по формуле: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где: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– размер ставки рефинансирования, установленной Центральным банком Российской Ф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едерации на дату уплаты пени, определяемый с учетом коэффициента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ДП – количество дней просрочки.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Коэффициент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определяется по формуле: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где: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ДП – количество дней просрочки;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ДК – срок исполнения обязательства по Договору (количество дней).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равном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равном 50 - 100 процентам, размер ставк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равном 100 процентам и более, размер ставки определяется за каждый день просрочки 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принимается равным 0,03 ставки рефинансирования, установленной Центральным банком Российской Федерации на дату уплаты пени.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6.5.2.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В случае ненадлежащего исполнения Поставщиком обязательств, предусмотренных Договором, за исключением просрочки исполнения П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оставщиком обязательств, предусмотренных Договором, Поставщик уплачивает Заказчику штраф в размере 10% от цены</w:t>
      </w:r>
      <w:r>
        <w:t xml:space="preserve">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Договора (если цена Договора не превышает 3 млн. руб.) или 5% от цены Договора (если цена Договора составляет от 3 млн. руб. до 50 млн. руб.). 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6.6. Заказчик несет ответственность в случае просрочки исполнения Заказчиком обязательств, предусмотренных Договором, Поставщик вправе потребовать уплаты пеней в размере 1/300 (одной трехсотой) действующей на день уплаты пеней ставки рефинансирования ЦБ РФ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от не уплаченной в срок суммы. Пени начисляются за каждый день просрочки исполнения обязательства, предусмотренного Договором, начиная со дня, следующего после дня истечения установленного срока исполнения обязательства.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keepLines/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В случае ненадлежащего исполнения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Заказчиком обязательств по Договору, за исключением просрочки исполнения обязательств, Поставщик вправе потребовать уплаты штрафа в размере 2,5% от цены Договора (если цена Договора не превышает 3 млн. руб.) или 2% от цены Договора (если цена Договора сост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авляет от 3 млн. руб. до 50 млн. руб.).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6.7. В случае неисполнения или ненадлежащего исполнения Поставщиком обязательств по Договору Заказчик вправе произвести оплату по Договору за вычетом соответствующего размера неустойки (штрафа, пени), подлежащей упла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те Поставщиком в соответствии с условиями ответственности последнего по Договору. В этом случае оплата по Договору осуществляется на основании документов, указанных в п.2.4, а также акта, в котором указываются: сумма, подлежащая оплате в соответствии с усл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овиями Договора;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Договору.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6.8. Уплата неустойки (штрафа, пени) не освобождает Поставщи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ка от исполнения обязательств по условиям Договора. Неустойка (штраф, пени) взимается за каждое нарушение отдельно.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6.9. Сторона освобождается от уплаты неустойки (штрафа, пени), если докажет, что неисполнение или ненадлежащее исполнение обязательства, пре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дусмотренного Договором, произошло вследствие непреодолимой силы или по вине другой стороны.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6.10. Все споры, возникающие в связи с исполнением Сторонами обязательств по настоящему Договору, Стороны обязуются разрешать путем переговоров, в случае если возн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икший спор путем переговоров разрешить невозможно, Стороны обязуются передать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возникший спор на рассмотрение Арбитражного суда Санкт-Петербурга и Ленинградской области.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4"/>
        </w:numPr>
        <w:ind w:firstLine="426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  <w:t xml:space="preserve">Срок действия ДОГОВОРа</w:t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7.1. Настоящий Договор вступает в силу с момента подписания и 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ействует до 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 xml:space="preserve">31.12.2026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года включительно, а в части оплаты – до полного исполнения сторонами своих обязательств. Действие настоящего Договора распространяются на отношения сторон до заключения Договора.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7.2. Истечение срока Договора не освобождает Стороны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исполнения обязательств, возникших в период действия Договора, а также от ответственности за его нарушение.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4"/>
        </w:numPr>
        <w:ind w:firstLine="426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  <w:t xml:space="preserve">Прочие условия</w:t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8.1. Все изменения и дополнения к настоящему Договору действительны лишь в том случае, если они совершены в письменной форме и по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дписаны сторонами. Дополнительные соглашения заключаются в случаях, предусмотренных действующим законодательством.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8.2. Изменение существенных условий настоящего Договор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 при его исполнении не допускается, за исключением их изменения по соглашению сторон предусмотренных ФЗ №44, ст. 95 ч. 1.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Контракт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может быть расторгнут по соглашению сторон, решению суда или в связи с односторонним отказом от исполнения Договора.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 Заказчик вправе в одностороннем порядке отказаться от исполнения Договора в соответствии с ч.2 ст.407 ГК РФ и ч.3 ст.450 ГК РФ в случаях существенных нарушений Поставщиком условий настоящего Договора, а именно: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8.4.1. при систематическом нарушении требо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ваний существенных условий Договора;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8.4.1. при систематическом нарушении требований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3.1.1-3.1.10 Договора;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8.4.2. при систематическом нарушении Поставщиком сроков поставки товара;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8.4.3. при систематической поставке товара ненадлежащего качества с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достатками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которые не могут быть устранены в приемлемый для Заказчика срок.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 систематическим нарушением понимается нарушение условий Договора более трех раз в течение срока его действия.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8.5. В случае принятия Заказчиком решения об одностороннем отказе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от исполнения Договора Заказчик направляет Поставщику соответствующее уведомление.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8.6. Заказчик обязан принять решение об одностороннем отказе от исполнения Договора, если в ходе исполнения Договора установлено, что Поставщик не соответствует установлен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8.7. В случае отсутствия по независящим от Заказчика 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ричинам возможности дальнейшего финансирования по Договору, Договор подлежит расторжению по соглашению сторон.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8.8. Не допускается перемена Поставщика при исполнении Договора за исключением случаев правопреемства вследствие реорганизации юридического лица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форме преобразования, слияния или присоединения.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8.9. По всем иным вопросам, не урегулированным настоящим Договором, стороны руководствуются действующим законодательством Российской Федерации.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8.10. Настоящий Договор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составлен по соглашению Сторон, в 2 (Двух) экземплярах на бумажном носителе, один из которых передается Поставщику, а второй находится у Заказчика.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1"/>
        </w:numPr>
        <w:ind w:firstLine="426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  <w:t xml:space="preserve">Приложения к контракту</w:t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9.1. Приложение № 1 – Спецификация.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9.2. Приложение № 2 – График поставки.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Arial Unicode MS" w:cs="Times New Roman"/>
          <w:sz w:val="24"/>
          <w:szCs w:val="24"/>
          <w:lang w:eastAsia="ru-RU"/>
        </w:rPr>
      </w:pPr>
      <w:r>
        <w:rPr>
          <w:rFonts w:ascii="Times New Roman" w:hAnsi="Times New Roman" w:eastAsia="Arial Unicode MS" w:cs="Times New Roman"/>
          <w:sz w:val="24"/>
          <w:szCs w:val="24"/>
          <w:lang w:eastAsia="ru-RU"/>
        </w:rPr>
      </w:r>
      <w:r>
        <w:rPr>
          <w:rFonts w:ascii="Times New Roman" w:hAnsi="Times New Roman" w:eastAsia="Arial Unicode MS" w:cs="Times New Roman"/>
          <w:sz w:val="24"/>
          <w:szCs w:val="24"/>
          <w:lang w:eastAsia="ru-RU"/>
        </w:rPr>
      </w:r>
      <w:r>
        <w:rPr>
          <w:rFonts w:ascii="Times New Roman" w:hAnsi="Times New Roman" w:eastAsia="Arial Unicode MS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10.ЮРИДИЧЕСКИЕ АДРЕСА И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БАНКОВСКИЕ РЕКВИЗИТЫ СТОРОН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5130" w:leader="none"/>
        </w:tabs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</w:p>
    <w:tbl>
      <w:tblPr>
        <w:tblW w:w="103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21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10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Заказчик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1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Поставщик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103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Муниципальное дошкольное образовательное учреждение «Детский сад №13»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188425 Ленинградская область </w:t>
            </w:r>
            <w:r>
              <w:rPr>
                <w:rFonts w:ascii="Times New Roman" w:hAnsi="Times New Roman" w:cs="Times New Roman"/>
              </w:rPr>
              <w:t xml:space="preserve">Волосовский</w:t>
            </w:r>
            <w:r>
              <w:rPr>
                <w:rFonts w:ascii="Times New Roman" w:hAnsi="Times New Roman" w:cs="Times New Roman"/>
              </w:rPr>
              <w:t xml:space="preserve"> район, </w:t>
            </w:r>
            <w:r>
              <w:rPr>
                <w:rFonts w:ascii="Times New Roman" w:hAnsi="Times New Roman" w:cs="Times New Roman"/>
              </w:rPr>
              <w:t xml:space="preserve">п</w:t>
            </w:r>
            <w:r>
              <w:rPr>
                <w:rFonts w:ascii="Times New Roman" w:hAnsi="Times New Roman" w:cs="Times New Roman"/>
              </w:rPr>
              <w:t xml:space="preserve">.З</w:t>
            </w:r>
            <w:r>
              <w:rPr>
                <w:rFonts w:ascii="Times New Roman" w:hAnsi="Times New Roman" w:cs="Times New Roman"/>
              </w:rPr>
              <w:t xml:space="preserve">имитицы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ИНН/КПП – 4717006074/470501001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ОКПО - 46248018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ОКАТО - 41206852001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ОКВЭД 85.11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ОГРН – 1024702010970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ОКТМО - 41606452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Банк: ОКЦ №1 </w:t>
            </w:r>
            <w:r>
              <w:rPr>
                <w:rFonts w:ascii="Times New Roman" w:hAnsi="Times New Roman" w:cs="Times New Roman"/>
              </w:rPr>
              <w:t xml:space="preserve">СЕВЕРО-ЗАПАДНОЕ</w:t>
            </w:r>
            <w:r>
              <w:rPr>
                <w:rFonts w:ascii="Times New Roman" w:hAnsi="Times New Roman" w:cs="Times New Roman"/>
              </w:rPr>
              <w:t xml:space="preserve"> ГУ БАНКА РОССИИ // УФК по Ленинградской области, г. Санкт-Петербург Единый казначейский счет 40102810745370000098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Казначейский счет 03231643416060004500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БИК </w:t>
            </w:r>
            <w:r>
              <w:rPr>
                <w:rFonts w:ascii="Times New Roman" w:hAnsi="Times New Roman" w:cs="Times New Roman"/>
              </w:rPr>
              <w:t xml:space="preserve"> 044030098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Тел./факс: (8 813 73) 53-733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эл</w:t>
            </w:r>
            <w:r>
              <w:rPr>
                <w:rFonts w:ascii="Times New Roman" w:hAnsi="Times New Roman" w:cs="Times New Roman"/>
              </w:rPr>
              <w:t xml:space="preserve">.а</w:t>
            </w:r>
            <w:r>
              <w:rPr>
                <w:rFonts w:ascii="Times New Roman" w:hAnsi="Times New Roman" w:cs="Times New Roman"/>
              </w:rPr>
              <w:t xml:space="preserve">дрес:dsad13@list.ru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Заведующий: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_________________/Иванова Т.А./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tLeast"/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tLeast"/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1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  <w:sectPr>
          <w:headerReference w:type="default" r:id="rId9"/>
          <w:footnotePr/>
          <w:endnotePr/>
          <w:type w:val="nextPage"/>
          <w:pgSz w:w="11906" w:h="16838" w:orient="portrait"/>
          <w:pgMar w:top="1134" w:right="992" w:bottom="1134" w:left="851" w:header="397" w:footer="397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                                                                                                  Приложение 1 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К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 Договор у № ____ 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                             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                              Спецификация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</w:p>
    <w:tbl>
      <w:tblPr>
        <w:tblStyle w:val="875"/>
        <w:tblW w:w="0" w:type="auto"/>
        <w:tblLook w:val="04A0" w:firstRow="1" w:lastRow="0" w:firstColumn="1" w:lastColumn="0" w:noHBand="0" w:noVBand="1"/>
      </w:tblPr>
      <w:tblGrid>
        <w:gridCol w:w="960"/>
        <w:gridCol w:w="4320"/>
        <w:gridCol w:w="945"/>
        <w:gridCol w:w="960"/>
        <w:gridCol w:w="960"/>
        <w:gridCol w:w="1185"/>
      </w:tblGrid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№ п/п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Наименование продукта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ед.изм.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кол-во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цена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всего</w:t>
            </w:r>
            <w:r/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БАНАН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кг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20,000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210,00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4200,00</w:t>
            </w:r>
            <w:r/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ГРУША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кг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20,000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250,00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5000,00</w:t>
            </w:r>
            <w:r/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КАПУСТА БЕЛОКОЧАННАЯ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кг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40,000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59,00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2360,00</w:t>
            </w:r>
            <w:r/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КАРТОФЕЛЬ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кг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180,000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67,00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12060,00</w:t>
            </w:r>
            <w:r/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ЛИМОН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кг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2,000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270,00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540,00</w:t>
            </w:r>
            <w:r/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ЛУК РЕПЧАТЫЙ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кг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20,000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59,00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1180,00</w:t>
            </w:r>
            <w:r/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МОРКОВЬ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кг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30,000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62,00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1860,00</w:t>
            </w:r>
            <w:r/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СВЕКЛА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кг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20,000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59,00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1180,00</w:t>
            </w:r>
            <w:r/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9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top"/>
            <w:textDirection w:val="lrTb"/>
            <w:noWrap w:val="false"/>
          </w:tcPr>
          <w:p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ЯБЛОКИ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кг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20,000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169,00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3380,00</w:t>
            </w:r>
            <w:r/>
            <w:r/>
          </w:p>
        </w:tc>
      </w:tr>
      <w:tr>
        <w:tblPrEx/>
        <w:trPr>
          <w:trHeight w:val="285"/>
        </w:trPr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4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ВСЕГО: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31760,00</w:t>
            </w:r>
            <w:r/>
            <w:r/>
          </w:p>
        </w:tc>
      </w:tr>
    </w:tbl>
    <w:p>
      <w:pPr>
        <w:spacing w:after="0" w:line="240" w:lineRule="auto"/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r>
      <w:r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r>
      <w:r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r>
      <w:r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r>
      <w:r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Заказчик                                                             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 Поставщик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tabs>
          <w:tab w:val="center" w:pos="4677" w:leader="none"/>
        </w:tabs>
        <w:rPr>
          <w:rFonts w:ascii="Times New Roman" w:hAnsi="Times New Roman" w:eastAsia="Calibri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Заведующий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  <w:tab/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lang w:eastAsia="ru-RU"/>
        </w:rPr>
      </w:pPr>
      <w:r>
        <w:rPr>
          <w:rFonts w:ascii="Times New Roman" w:hAnsi="Times New Roman" w:eastAsia="Times New Roman" w:cs="Times New Roman"/>
          <w:b/>
        </w:rPr>
        <w:t xml:space="preserve">__________________/Иванова Т.А./                                        </w:t>
      </w:r>
      <w:r>
        <w:rPr>
          <w:rFonts w:ascii="Times New Roman" w:hAnsi="Times New Roman" w:eastAsia="Calibri" w:cs="Times New Roman"/>
          <w:b/>
          <w:lang w:eastAsia="ru-RU"/>
        </w:rPr>
        <w:t xml:space="preserve">____________ /_________/</w:t>
      </w:r>
      <w:r>
        <w:rPr>
          <w:rFonts w:ascii="Times New Roman" w:hAnsi="Times New Roman" w:eastAsia="Calibri" w:cs="Times New Roman"/>
          <w:b/>
          <w:lang w:eastAsia="ru-RU"/>
        </w:rPr>
      </w:r>
      <w:r>
        <w:rPr>
          <w:rFonts w:ascii="Times New Roman" w:hAnsi="Times New Roman" w:eastAsia="Calibri" w:cs="Times New Roman"/>
          <w:b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lang w:eastAsia="ru-RU"/>
        </w:rPr>
      </w:r>
      <w:r>
        <w:rPr>
          <w:rFonts w:ascii="Times New Roman" w:hAnsi="Times New Roman" w:eastAsia="Calibri" w:cs="Times New Roman"/>
          <w:b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bCs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bCs/>
          <w:lang w:eastAsia="ru-RU"/>
        </w:rPr>
      </w:pPr>
      <w:r>
        <w:rPr>
          <w:rFonts w:ascii="Times New Roman" w:hAnsi="Times New Roman" w:eastAsia="Calibri" w:cs="Times New Roman"/>
          <w:b/>
          <w:lang w:eastAsia="ru-RU"/>
        </w:rPr>
      </w:r>
      <w:r>
        <w:rPr>
          <w:rFonts w:ascii="Times New Roman" w:hAnsi="Times New Roman" w:eastAsia="Calibri" w:cs="Times New Roman"/>
          <w:b/>
          <w:lang w:eastAsia="ru-RU"/>
        </w:rPr>
      </w:r>
      <w:r>
        <w:rPr>
          <w:rFonts w:ascii="Times New Roman" w:hAnsi="Times New Roman" w:eastAsia="Calibri" w:cs="Times New Roman"/>
          <w:b/>
          <w:bCs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Приложение № 2 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к Договору №____ 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График поставки товара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8101" w:type="dxa"/>
        <w:jc w:val="center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935"/>
        <w:gridCol w:w="3166"/>
      </w:tblGrid>
      <w:tr>
        <w:tblPrEx/>
        <w:trPr>
          <w:jc w:val="center"/>
          <w:trHeight w:val="707"/>
        </w:trPr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49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День недели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(*)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Время поставки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 07:30 до 16:00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1"/>
        </w:trPr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4935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Понедельник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1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+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1"/>
        </w:trPr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4935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Вторник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166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  <w:trHeight w:val="1"/>
        </w:trPr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4935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Среда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166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  <w:trHeight w:val="1"/>
        </w:trPr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4935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Четверг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166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  <w:trHeight w:val="1"/>
        </w:trPr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4935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Пятница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166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73"/>
        <w:ind w:left="1080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73"/>
        <w:ind w:left="1080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*выбирается по согласованию с заказчиком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73"/>
        <w:ind w:left="1080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9738" w:type="dxa"/>
        <w:tblInd w:w="-34" w:type="dxa"/>
        <w:tblLook w:val="01E0" w:firstRow="1" w:lastRow="1" w:firstColumn="1" w:lastColumn="1" w:noHBand="0" w:noVBand="0"/>
      </w:tblPr>
      <w:tblGrid>
        <w:gridCol w:w="5238"/>
        <w:gridCol w:w="4500"/>
      </w:tblGrid>
      <w:tr>
        <w:tblPrEx/>
        <w:trPr>
          <w:trHeight w:val="2310"/>
        </w:trPr>
        <w:tc>
          <w:tcPr>
            <w:tcW w:w="523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eastAsia="ru-RU"/>
              </w:rPr>
              <w:t xml:space="preserve">Заказчик:</w:t>
            </w: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_______________/ Иванова Т.А./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120" w:line="240" w:lineRule="auto"/>
              <w:widowControl w:val="off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</w:t>
            </w:r>
            <w:r>
              <w:rPr>
                <w:rFonts w:ascii="Arial" w:hAnsi="Arial" w:eastAsia="Times New Roman" w:cs="Arial"/>
                <w:sz w:val="24"/>
                <w:szCs w:val="24"/>
                <w:lang w:eastAsia="ru-RU"/>
              </w:rPr>
              <w:t xml:space="preserve">.П.</w:t>
            </w:r>
            <w:r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r>
            <w:r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r>
          </w:p>
        </w:tc>
        <w:tc>
          <w:tcPr>
            <w:tcW w:w="450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eastAsia="ru-RU"/>
              </w:rPr>
              <w:t xml:space="preserve">Поставщик:</w:t>
            </w: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_________________/____________/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М.П.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eastAsia="Calibri" w:cs="Times New Roman"/>
          <w:b/>
          <w:lang w:eastAsia="ru-RU"/>
        </w:rPr>
      </w:pPr>
      <w:r>
        <w:rPr>
          <w:rFonts w:ascii="Times New Roman" w:hAnsi="Times New Roman" w:eastAsia="Calibri" w:cs="Times New Roman"/>
          <w:b/>
          <w:lang w:eastAsia="ru-RU"/>
        </w:rPr>
      </w:r>
      <w:r>
        <w:rPr>
          <w:rFonts w:ascii="Times New Roman" w:hAnsi="Times New Roman" w:eastAsia="Calibri" w:cs="Times New Roman"/>
          <w:b/>
          <w:lang w:eastAsia="ru-RU"/>
        </w:rPr>
      </w:r>
      <w:r>
        <w:rPr>
          <w:rFonts w:ascii="Times New Roman" w:hAnsi="Times New Roman" w:eastAsia="Calibri" w:cs="Times New Roman"/>
          <w:b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choolDL">
    <w:panose1 w:val="02000603000000000000"/>
  </w:font>
  <w:font w:name="TimesNewRoman">
    <w:panose1 w:val="02020603050405020304"/>
  </w:font>
  <w:font w:name="Calibri">
    <w:panose1 w:val="020F0502020204030204"/>
  </w:font>
  <w:font w:name="Segoe UI">
    <w:panose1 w:val="020B0502040204020203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3"/>
      <w:jc w:val="center"/>
      <w:spacing w:after="120"/>
      <w:rPr>
        <w:sz w:val="16"/>
        <w:szCs w:val="16"/>
      </w:rPr>
    </w:pPr>
    <w:r>
      <w:rPr>
        <w:sz w:val="16"/>
        <w:szCs w:val="16"/>
      </w:rPr>
    </w:r>
    <w:r>
      <w:rPr>
        <w:sz w:val="16"/>
        <w:szCs w:val="16"/>
      </w:rPr>
    </w:r>
    <w:r>
      <w:rPr>
        <w:sz w:val="16"/>
        <w:szCs w:val="16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60" w:hanging="660"/>
      </w:pPr>
    </w:lvl>
    <w:lvl w:ilvl="1">
      <w:start w:val="1"/>
      <w:numFmt w:val="decimal"/>
      <w:isLgl w:val="false"/>
      <w:suff w:val="tab"/>
      <w:lvlText w:val="%1.%2."/>
      <w:lvlJc w:val="left"/>
      <w:pPr>
        <w:ind w:left="873" w:hanging="660"/>
      </w:pPr>
    </w:lvl>
    <w:lvl w:ilvl="2">
      <w:start w:val="13"/>
      <w:numFmt w:val="decimal"/>
      <w:isLgl w:val="false"/>
      <w:suff w:val="tab"/>
      <w:lvlText w:val="%1.%2.%3."/>
      <w:lvlJc w:val="left"/>
      <w:pPr>
        <w:ind w:left="1146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359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932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14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718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931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504" w:hanging="1800"/>
      </w:p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08" w:hanging="540"/>
      </w:pPr>
      <w:rPr>
        <w:rFonts w:hint="default"/>
      </w:rPr>
    </w:lvl>
    <w:lvl w:ilvl="2">
      <w:start w:val="4"/>
      <w:numFmt w:val="decimal"/>
      <w:isLgl w:val="false"/>
      <w:suff w:val="tab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>
    <w:abstractNumId w:val="0"/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3">
    <w:name w:val="Heading 1 Char"/>
    <w:basedOn w:val="698"/>
    <w:link w:val="689"/>
    <w:uiPriority w:val="9"/>
    <w:rPr>
      <w:rFonts w:ascii="Arial" w:hAnsi="Arial" w:eastAsia="Arial" w:cs="Arial"/>
      <w:sz w:val="40"/>
      <w:szCs w:val="40"/>
    </w:rPr>
  </w:style>
  <w:style w:type="character" w:styleId="674">
    <w:name w:val="Heading 2 Char"/>
    <w:basedOn w:val="698"/>
    <w:link w:val="690"/>
    <w:uiPriority w:val="9"/>
    <w:rPr>
      <w:rFonts w:ascii="Arial" w:hAnsi="Arial" w:eastAsia="Arial" w:cs="Arial"/>
      <w:sz w:val="34"/>
    </w:rPr>
  </w:style>
  <w:style w:type="character" w:styleId="675">
    <w:name w:val="Heading 3 Char"/>
    <w:basedOn w:val="698"/>
    <w:link w:val="691"/>
    <w:uiPriority w:val="9"/>
    <w:rPr>
      <w:rFonts w:ascii="Arial" w:hAnsi="Arial" w:eastAsia="Arial" w:cs="Arial"/>
      <w:sz w:val="30"/>
      <w:szCs w:val="30"/>
    </w:rPr>
  </w:style>
  <w:style w:type="character" w:styleId="676">
    <w:name w:val="Heading 4 Char"/>
    <w:basedOn w:val="698"/>
    <w:link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677">
    <w:name w:val="Heading 5 Char"/>
    <w:basedOn w:val="698"/>
    <w:link w:val="693"/>
    <w:uiPriority w:val="9"/>
    <w:rPr>
      <w:rFonts w:ascii="Arial" w:hAnsi="Arial" w:eastAsia="Arial" w:cs="Arial"/>
      <w:b/>
      <w:bCs/>
      <w:sz w:val="24"/>
      <w:szCs w:val="24"/>
    </w:rPr>
  </w:style>
  <w:style w:type="character" w:styleId="678">
    <w:name w:val="Heading 6 Char"/>
    <w:basedOn w:val="698"/>
    <w:link w:val="694"/>
    <w:uiPriority w:val="9"/>
    <w:rPr>
      <w:rFonts w:ascii="Arial" w:hAnsi="Arial" w:eastAsia="Arial" w:cs="Arial"/>
      <w:b/>
      <w:bCs/>
      <w:sz w:val="22"/>
      <w:szCs w:val="22"/>
    </w:rPr>
  </w:style>
  <w:style w:type="character" w:styleId="679">
    <w:name w:val="Heading 7 Char"/>
    <w:basedOn w:val="69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8 Char"/>
    <w:basedOn w:val="698"/>
    <w:link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681">
    <w:name w:val="Heading 9 Char"/>
    <w:basedOn w:val="69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character" w:styleId="682">
    <w:name w:val="Title Char"/>
    <w:basedOn w:val="698"/>
    <w:link w:val="711"/>
    <w:uiPriority w:val="10"/>
    <w:rPr>
      <w:sz w:val="48"/>
      <w:szCs w:val="48"/>
    </w:rPr>
  </w:style>
  <w:style w:type="character" w:styleId="683">
    <w:name w:val="Subtitle Char"/>
    <w:basedOn w:val="698"/>
    <w:link w:val="713"/>
    <w:uiPriority w:val="11"/>
    <w:rPr>
      <w:sz w:val="24"/>
      <w:szCs w:val="24"/>
    </w:rPr>
  </w:style>
  <w:style w:type="character" w:styleId="684">
    <w:name w:val="Quote Char"/>
    <w:link w:val="715"/>
    <w:uiPriority w:val="29"/>
    <w:rPr>
      <w:i/>
    </w:rPr>
  </w:style>
  <w:style w:type="character" w:styleId="685">
    <w:name w:val="Intense Quote Char"/>
    <w:link w:val="717"/>
    <w:uiPriority w:val="30"/>
    <w:rPr>
      <w:i/>
    </w:rPr>
  </w:style>
  <w:style w:type="character" w:styleId="686">
    <w:name w:val="Caption Char"/>
    <w:basedOn w:val="698"/>
    <w:link w:val="721"/>
    <w:uiPriority w:val="35"/>
    <w:rPr>
      <w:b/>
      <w:bCs/>
      <w:color w:val="4f81bd" w:themeColor="accent1"/>
      <w:sz w:val="18"/>
      <w:szCs w:val="18"/>
    </w:rPr>
  </w:style>
  <w:style w:type="character" w:styleId="687">
    <w:name w:val="Endnote Text Char"/>
    <w:link w:val="849"/>
    <w:uiPriority w:val="99"/>
    <w:rPr>
      <w:sz w:val="20"/>
    </w:rPr>
  </w:style>
  <w:style w:type="paragraph" w:styleId="688" w:default="1">
    <w:name w:val="Normal"/>
    <w:qFormat/>
  </w:style>
  <w:style w:type="paragraph" w:styleId="689">
    <w:name w:val="Heading 1"/>
    <w:basedOn w:val="688"/>
    <w:next w:val="688"/>
    <w:link w:val="70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0">
    <w:name w:val="Heading 2"/>
    <w:basedOn w:val="688"/>
    <w:next w:val="688"/>
    <w:link w:val="70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1">
    <w:name w:val="Heading 3"/>
    <w:basedOn w:val="688"/>
    <w:next w:val="688"/>
    <w:link w:val="70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2">
    <w:name w:val="Heading 4"/>
    <w:basedOn w:val="688"/>
    <w:next w:val="688"/>
    <w:link w:val="70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3">
    <w:name w:val="Heading 5"/>
    <w:basedOn w:val="688"/>
    <w:next w:val="688"/>
    <w:link w:val="70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4">
    <w:name w:val="Heading 6"/>
    <w:basedOn w:val="688"/>
    <w:next w:val="688"/>
    <w:link w:val="70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95">
    <w:name w:val="Heading 7"/>
    <w:basedOn w:val="688"/>
    <w:next w:val="688"/>
    <w:link w:val="70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96">
    <w:name w:val="Heading 8"/>
    <w:basedOn w:val="688"/>
    <w:next w:val="688"/>
    <w:link w:val="70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97">
    <w:name w:val="Heading 9"/>
    <w:basedOn w:val="688"/>
    <w:next w:val="688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8" w:default="1">
    <w:name w:val="Default Paragraph Font"/>
    <w:uiPriority w:val="1"/>
    <w:semiHidden/>
    <w:unhideWhenUsed/>
  </w:style>
  <w:style w:type="table" w:styleId="6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0" w:default="1">
    <w:name w:val="No List"/>
    <w:uiPriority w:val="99"/>
    <w:semiHidden/>
    <w:unhideWhenUsed/>
  </w:style>
  <w:style w:type="character" w:styleId="701" w:customStyle="1">
    <w:name w:val="Заголовок 1 Знак"/>
    <w:basedOn w:val="698"/>
    <w:link w:val="689"/>
    <w:uiPriority w:val="9"/>
    <w:rPr>
      <w:rFonts w:ascii="Arial" w:hAnsi="Arial" w:eastAsia="Arial" w:cs="Arial"/>
      <w:sz w:val="40"/>
      <w:szCs w:val="40"/>
    </w:rPr>
  </w:style>
  <w:style w:type="character" w:styleId="702" w:customStyle="1">
    <w:name w:val="Заголовок 2 Знак"/>
    <w:basedOn w:val="698"/>
    <w:link w:val="690"/>
    <w:uiPriority w:val="9"/>
    <w:rPr>
      <w:rFonts w:ascii="Arial" w:hAnsi="Arial" w:eastAsia="Arial" w:cs="Arial"/>
      <w:sz w:val="34"/>
    </w:rPr>
  </w:style>
  <w:style w:type="character" w:styleId="703" w:customStyle="1">
    <w:name w:val="Заголовок 3 Знак"/>
    <w:basedOn w:val="698"/>
    <w:link w:val="691"/>
    <w:uiPriority w:val="9"/>
    <w:rPr>
      <w:rFonts w:ascii="Arial" w:hAnsi="Arial" w:eastAsia="Arial" w:cs="Arial"/>
      <w:sz w:val="30"/>
      <w:szCs w:val="30"/>
    </w:rPr>
  </w:style>
  <w:style w:type="character" w:styleId="704" w:customStyle="1">
    <w:name w:val="Заголовок 4 Знак"/>
    <w:basedOn w:val="698"/>
    <w:link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705" w:customStyle="1">
    <w:name w:val="Заголовок 5 Знак"/>
    <w:basedOn w:val="698"/>
    <w:link w:val="693"/>
    <w:uiPriority w:val="9"/>
    <w:rPr>
      <w:rFonts w:ascii="Arial" w:hAnsi="Arial" w:eastAsia="Arial" w:cs="Arial"/>
      <w:b/>
      <w:bCs/>
      <w:sz w:val="24"/>
      <w:szCs w:val="24"/>
    </w:rPr>
  </w:style>
  <w:style w:type="character" w:styleId="706" w:customStyle="1">
    <w:name w:val="Заголовок 6 Знак"/>
    <w:basedOn w:val="698"/>
    <w:link w:val="694"/>
    <w:uiPriority w:val="9"/>
    <w:rPr>
      <w:rFonts w:ascii="Arial" w:hAnsi="Arial" w:eastAsia="Arial" w:cs="Arial"/>
      <w:b/>
      <w:bCs/>
      <w:sz w:val="22"/>
      <w:szCs w:val="22"/>
    </w:rPr>
  </w:style>
  <w:style w:type="character" w:styleId="707" w:customStyle="1">
    <w:name w:val="Заголовок 7 Знак"/>
    <w:basedOn w:val="69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8" w:customStyle="1">
    <w:name w:val="Заголовок 8 Знак"/>
    <w:basedOn w:val="698"/>
    <w:link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709" w:customStyle="1">
    <w:name w:val="Заголовок 9 Знак"/>
    <w:basedOn w:val="69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No Spacing"/>
    <w:uiPriority w:val="1"/>
    <w:qFormat/>
    <w:pPr>
      <w:spacing w:after="0" w:line="240" w:lineRule="auto"/>
    </w:pPr>
  </w:style>
  <w:style w:type="paragraph" w:styleId="711">
    <w:name w:val="Title"/>
    <w:basedOn w:val="688"/>
    <w:next w:val="688"/>
    <w:link w:val="71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2" w:customStyle="1">
    <w:name w:val="Название Знак"/>
    <w:basedOn w:val="698"/>
    <w:link w:val="711"/>
    <w:uiPriority w:val="10"/>
    <w:rPr>
      <w:sz w:val="48"/>
      <w:szCs w:val="48"/>
    </w:rPr>
  </w:style>
  <w:style w:type="paragraph" w:styleId="713">
    <w:name w:val="Subtitle"/>
    <w:basedOn w:val="688"/>
    <w:next w:val="688"/>
    <w:link w:val="714"/>
    <w:uiPriority w:val="11"/>
    <w:qFormat/>
    <w:pPr>
      <w:spacing w:before="200" w:after="200"/>
    </w:pPr>
    <w:rPr>
      <w:sz w:val="24"/>
      <w:szCs w:val="24"/>
    </w:rPr>
  </w:style>
  <w:style w:type="character" w:styleId="714" w:customStyle="1">
    <w:name w:val="Подзаголовок Знак"/>
    <w:basedOn w:val="698"/>
    <w:link w:val="713"/>
    <w:uiPriority w:val="11"/>
    <w:rPr>
      <w:sz w:val="24"/>
      <w:szCs w:val="24"/>
    </w:rPr>
  </w:style>
  <w:style w:type="paragraph" w:styleId="715">
    <w:name w:val="Quote"/>
    <w:basedOn w:val="688"/>
    <w:next w:val="688"/>
    <w:link w:val="716"/>
    <w:uiPriority w:val="29"/>
    <w:qFormat/>
    <w:pPr>
      <w:ind w:left="720" w:right="720"/>
    </w:pPr>
    <w:rPr>
      <w:i/>
    </w:rPr>
  </w:style>
  <w:style w:type="character" w:styleId="716" w:customStyle="1">
    <w:name w:val="Цитата 2 Знак"/>
    <w:link w:val="715"/>
    <w:uiPriority w:val="29"/>
    <w:rPr>
      <w:i/>
    </w:rPr>
  </w:style>
  <w:style w:type="paragraph" w:styleId="717">
    <w:name w:val="Intense Quote"/>
    <w:basedOn w:val="688"/>
    <w:next w:val="688"/>
    <w:link w:val="71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8" w:customStyle="1">
    <w:name w:val="Выделенная цитата Знак"/>
    <w:link w:val="717"/>
    <w:uiPriority w:val="30"/>
    <w:rPr>
      <w:i/>
    </w:rPr>
  </w:style>
  <w:style w:type="character" w:styleId="719" w:customStyle="1">
    <w:name w:val="Header Char"/>
    <w:basedOn w:val="698"/>
    <w:uiPriority w:val="99"/>
  </w:style>
  <w:style w:type="character" w:styleId="720" w:customStyle="1">
    <w:name w:val="Footer Char"/>
    <w:basedOn w:val="698"/>
    <w:uiPriority w:val="99"/>
  </w:style>
  <w:style w:type="paragraph" w:styleId="721">
    <w:name w:val="Caption"/>
    <w:basedOn w:val="688"/>
    <w:next w:val="688"/>
    <w:link w:val="722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722" w:customStyle="1">
    <w:name w:val="Название объекта Знак"/>
    <w:basedOn w:val="698"/>
    <w:link w:val="721"/>
    <w:uiPriority w:val="35"/>
    <w:rPr>
      <w:b/>
      <w:bCs/>
      <w:color w:val="4472c4" w:themeColor="accent1"/>
      <w:sz w:val="18"/>
      <w:szCs w:val="18"/>
    </w:rPr>
  </w:style>
  <w:style w:type="table" w:styleId="723" w:customStyle="1">
    <w:name w:val="Table Grid Light"/>
    <w:basedOn w:val="69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4" w:customStyle="1">
    <w:name w:val="Plain Table 1"/>
    <w:basedOn w:val="69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Plain Table 2"/>
    <w:basedOn w:val="69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 w:customStyle="1">
    <w:name w:val="Plain Table 3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 w:customStyle="1">
    <w:name w:val="Plain Table 4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Plain Table 5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1 Light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4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 w:customStyle="1">
    <w:name w:val="Grid Table 4 - Accent 1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752" w:customStyle="1">
    <w:name w:val="Grid Table 4 - Accent 2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53" w:customStyle="1">
    <w:name w:val="Grid Table 4 - Accent 3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54" w:customStyle="1">
    <w:name w:val="Grid Table 4 - Accent 4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55" w:customStyle="1">
    <w:name w:val="Grid Table 4 - Accent 5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756" w:customStyle="1">
    <w:name w:val="Grid Table 4 - Accent 6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57" w:customStyle="1">
    <w:name w:val="Grid Table 5 Dark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6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5" w:customStyle="1">
    <w:name w:val="Grid Table 6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766" w:customStyle="1">
    <w:name w:val="Grid Table 6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67" w:customStyle="1">
    <w:name w:val="Grid Table 6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68" w:customStyle="1">
    <w:name w:val="Grid Table 6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69" w:customStyle="1">
    <w:name w:val="Grid Table 6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70" w:customStyle="1">
    <w:name w:val="Grid Table 6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71" w:customStyle="1">
    <w:name w:val="Grid Table 7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List Table 1 Light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1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2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3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4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5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6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92" w:customStyle="1">
    <w:name w:val="List Table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5 Dark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6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4" w:customStyle="1">
    <w:name w:val="List Table 6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15" w:customStyle="1">
    <w:name w:val="List Table 6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16" w:customStyle="1">
    <w:name w:val="List Table 6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17" w:customStyle="1">
    <w:name w:val="List Table 6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18" w:customStyle="1">
    <w:name w:val="List Table 6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19" w:customStyle="1">
    <w:name w:val="List Table 6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20" w:customStyle="1">
    <w:name w:val="List Table 7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ned - Accent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Lined - Accent 1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29" w:customStyle="1">
    <w:name w:val="Lined - Accent 2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0" w:customStyle="1">
    <w:name w:val="Lined - Accent 3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1" w:customStyle="1">
    <w:name w:val="Lined - Accent 4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2" w:customStyle="1">
    <w:name w:val="Lined - Accent 5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33" w:customStyle="1">
    <w:name w:val="Lined - Accent 6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34" w:customStyle="1">
    <w:name w:val="Bordered &amp; Lined - Accent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Bordered &amp; Lined - Accent 1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36" w:customStyle="1">
    <w:name w:val="Bordered &amp; Lined - Accent 2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7" w:customStyle="1">
    <w:name w:val="Bordered &amp; Lined - Accent 3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8" w:customStyle="1">
    <w:name w:val="Bordered &amp; Lined - Accent 4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9" w:customStyle="1">
    <w:name w:val="Bordered &amp; Lined - Accent 5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40" w:customStyle="1">
    <w:name w:val="Bordered &amp; Lined - Accent 6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1" w:customStyle="1">
    <w:name w:val="Bordered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2" w:customStyle="1">
    <w:name w:val="Bordered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843" w:customStyle="1">
    <w:name w:val="Bordered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44" w:customStyle="1">
    <w:name w:val="Bordered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45" w:customStyle="1">
    <w:name w:val="Bordered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46" w:customStyle="1">
    <w:name w:val="Bordered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847" w:customStyle="1">
    <w:name w:val="Bordered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48" w:customStyle="1">
    <w:name w:val="Footnote Text Char"/>
    <w:uiPriority w:val="99"/>
    <w:rPr>
      <w:sz w:val="18"/>
    </w:rPr>
  </w:style>
  <w:style w:type="paragraph" w:styleId="849">
    <w:name w:val="endnote text"/>
    <w:basedOn w:val="688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8"/>
    <w:uiPriority w:val="99"/>
    <w:semiHidden/>
    <w:unhideWhenUsed/>
    <w:rPr>
      <w:vertAlign w:val="superscript"/>
    </w:rPr>
  </w:style>
  <w:style w:type="paragraph" w:styleId="852">
    <w:name w:val="toc 1"/>
    <w:basedOn w:val="688"/>
    <w:next w:val="688"/>
    <w:uiPriority w:val="39"/>
    <w:unhideWhenUsed/>
    <w:pPr>
      <w:spacing w:after="57"/>
    </w:pPr>
  </w:style>
  <w:style w:type="paragraph" w:styleId="853">
    <w:name w:val="toc 2"/>
    <w:basedOn w:val="688"/>
    <w:next w:val="688"/>
    <w:uiPriority w:val="39"/>
    <w:unhideWhenUsed/>
    <w:pPr>
      <w:ind w:left="283"/>
      <w:spacing w:after="57"/>
    </w:pPr>
  </w:style>
  <w:style w:type="paragraph" w:styleId="854">
    <w:name w:val="toc 3"/>
    <w:basedOn w:val="688"/>
    <w:next w:val="688"/>
    <w:uiPriority w:val="39"/>
    <w:unhideWhenUsed/>
    <w:pPr>
      <w:ind w:left="567"/>
      <w:spacing w:after="57"/>
    </w:pPr>
  </w:style>
  <w:style w:type="paragraph" w:styleId="855">
    <w:name w:val="toc 4"/>
    <w:basedOn w:val="688"/>
    <w:next w:val="688"/>
    <w:uiPriority w:val="39"/>
    <w:unhideWhenUsed/>
    <w:pPr>
      <w:ind w:left="850"/>
      <w:spacing w:after="57"/>
    </w:pPr>
  </w:style>
  <w:style w:type="paragraph" w:styleId="856">
    <w:name w:val="toc 5"/>
    <w:basedOn w:val="688"/>
    <w:next w:val="688"/>
    <w:uiPriority w:val="39"/>
    <w:unhideWhenUsed/>
    <w:pPr>
      <w:ind w:left="1134"/>
      <w:spacing w:after="57"/>
    </w:pPr>
  </w:style>
  <w:style w:type="paragraph" w:styleId="857">
    <w:name w:val="toc 6"/>
    <w:basedOn w:val="688"/>
    <w:next w:val="688"/>
    <w:uiPriority w:val="39"/>
    <w:unhideWhenUsed/>
    <w:pPr>
      <w:ind w:left="1417"/>
      <w:spacing w:after="57"/>
    </w:pPr>
  </w:style>
  <w:style w:type="paragraph" w:styleId="858">
    <w:name w:val="toc 7"/>
    <w:basedOn w:val="688"/>
    <w:next w:val="688"/>
    <w:uiPriority w:val="39"/>
    <w:unhideWhenUsed/>
    <w:pPr>
      <w:ind w:left="1701"/>
      <w:spacing w:after="57"/>
    </w:pPr>
  </w:style>
  <w:style w:type="paragraph" w:styleId="859">
    <w:name w:val="toc 8"/>
    <w:basedOn w:val="688"/>
    <w:next w:val="688"/>
    <w:uiPriority w:val="39"/>
    <w:unhideWhenUsed/>
    <w:pPr>
      <w:ind w:left="1984"/>
      <w:spacing w:after="57"/>
    </w:pPr>
  </w:style>
  <w:style w:type="paragraph" w:styleId="860">
    <w:name w:val="toc 9"/>
    <w:basedOn w:val="688"/>
    <w:next w:val="688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8"/>
    <w:next w:val="688"/>
    <w:uiPriority w:val="99"/>
    <w:unhideWhenUsed/>
    <w:pPr>
      <w:spacing w:after="0"/>
    </w:pPr>
  </w:style>
  <w:style w:type="paragraph" w:styleId="863">
    <w:name w:val="Header"/>
    <w:basedOn w:val="688"/>
    <w:link w:val="86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4" w:customStyle="1">
    <w:name w:val="Верхний колонтитул Знак"/>
    <w:basedOn w:val="698"/>
    <w:link w:val="863"/>
    <w:uiPriority w:val="99"/>
  </w:style>
  <w:style w:type="character" w:styleId="865">
    <w:name w:val="footnote reference"/>
    <w:rPr>
      <w:vertAlign w:val="superscript"/>
    </w:rPr>
  </w:style>
  <w:style w:type="paragraph" w:styleId="866">
    <w:name w:val="footnote text"/>
    <w:basedOn w:val="688"/>
    <w:link w:val="867"/>
    <w:semiHidden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67" w:customStyle="1">
    <w:name w:val="Текст сноски Знак"/>
    <w:basedOn w:val="698"/>
    <w:link w:val="866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68">
    <w:name w:val="Balloon Text"/>
    <w:basedOn w:val="688"/>
    <w:link w:val="869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69" w:customStyle="1">
    <w:name w:val="Текст выноски Знак"/>
    <w:basedOn w:val="698"/>
    <w:link w:val="868"/>
    <w:uiPriority w:val="99"/>
    <w:semiHidden/>
    <w:rPr>
      <w:rFonts w:ascii="Segoe UI" w:hAnsi="Segoe UI" w:cs="Segoe UI"/>
      <w:sz w:val="18"/>
      <w:szCs w:val="18"/>
    </w:rPr>
  </w:style>
  <w:style w:type="character" w:styleId="870">
    <w:name w:val="Hyperlink"/>
    <w:basedOn w:val="698"/>
    <w:uiPriority w:val="99"/>
    <w:unhideWhenUsed/>
    <w:rPr>
      <w:color w:val="0563c1" w:themeColor="hyperlink"/>
      <w:u w:val="single"/>
    </w:rPr>
  </w:style>
  <w:style w:type="paragraph" w:styleId="871">
    <w:name w:val="Footer"/>
    <w:basedOn w:val="688"/>
    <w:link w:val="87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2" w:customStyle="1">
    <w:name w:val="Нижний колонтитул Знак"/>
    <w:basedOn w:val="698"/>
    <w:link w:val="871"/>
    <w:uiPriority w:val="99"/>
  </w:style>
  <w:style w:type="paragraph" w:styleId="873">
    <w:name w:val="List Paragraph"/>
    <w:basedOn w:val="688"/>
    <w:uiPriority w:val="34"/>
    <w:qFormat/>
    <w:pPr>
      <w:contextualSpacing/>
      <w:ind w:left="720"/>
    </w:pPr>
  </w:style>
  <w:style w:type="table" w:styleId="874" w:customStyle="1">
    <w:name w:val="Сетка таблицы1"/>
    <w:basedOn w:val="699"/>
    <w:next w:val="875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75">
    <w:name w:val="Table Grid"/>
    <w:basedOn w:val="699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hyperlink" Target="http://www.consultant.ru/document/cons_doc_LAW_155057/?dst=100010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76B62-8273-4A0F-8920-C9070D088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User</cp:lastModifiedBy>
  <cp:revision>36</cp:revision>
  <dcterms:created xsi:type="dcterms:W3CDTF">2023-05-15T09:05:00Z</dcterms:created>
  <dcterms:modified xsi:type="dcterms:W3CDTF">2026-10-08T12:15:23Z</dcterms:modified>
</cp:coreProperties>
</file>