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4"/>
        <w:gridCol w:w="2353"/>
        <w:gridCol w:w="1334"/>
        <w:gridCol w:w="3853"/>
      </w:tblGrid>
      <w:tr w:rsidR="0081002A" w:rsidTr="00AF2878">
        <w:trPr>
          <w:trHeight w:val="1552"/>
        </w:trPr>
        <w:tc>
          <w:tcPr>
            <w:tcW w:w="2834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7" w:type="dxa"/>
            <w:gridSpan w:val="2"/>
            <w:tcMar>
              <w:left w:w="108" w:type="dxa"/>
              <w:right w:w="108" w:type="dxa"/>
            </w:tcMar>
          </w:tcPr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53" w:type="dxa"/>
            <w:tcMar>
              <w:left w:w="108" w:type="dxa"/>
              <w:right w:w="108" w:type="dxa"/>
            </w:tcMar>
            <w:vAlign w:val="center"/>
          </w:tcPr>
          <w:p w:rsidR="0081002A" w:rsidRDefault="00A736F1" w:rsidP="00AF2878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«Утверждаю»</w:t>
            </w:r>
          </w:p>
          <w:p w:rsidR="0081002A" w:rsidRDefault="00A736F1" w:rsidP="00AF2878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Врио главного врача ГБУЗ ЛО</w:t>
            </w:r>
          </w:p>
          <w:p w:rsidR="0081002A" w:rsidRDefault="00A736F1" w:rsidP="00AF2878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«Гатчинская КМБ»</w:t>
            </w:r>
          </w:p>
          <w:p w:rsidR="0081002A" w:rsidRDefault="00A736F1" w:rsidP="00AF2878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Ю.М. Шишкин</w:t>
            </w:r>
          </w:p>
          <w:p w:rsidR="0081002A" w:rsidRDefault="00A736F1" w:rsidP="00AF2878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«____» __________202__ года</w:t>
            </w:r>
          </w:p>
        </w:tc>
      </w:tr>
      <w:tr w:rsidR="0081002A">
        <w:tc>
          <w:tcPr>
            <w:tcW w:w="10374" w:type="dxa"/>
            <w:gridSpan w:val="4"/>
            <w:tcMar>
              <w:left w:w="108" w:type="dxa"/>
              <w:right w:w="108" w:type="dxa"/>
            </w:tcMar>
          </w:tcPr>
          <w:p w:rsidR="0081002A" w:rsidRDefault="00A736F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ЛИЦЕНЗИОННЫЙ ДОГОВОР </w:t>
            </w:r>
          </w:p>
          <w:p w:rsidR="0081002A" w:rsidRDefault="00A736F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 ___</w:t>
            </w:r>
          </w:p>
          <w:p w:rsidR="0081002A" w:rsidRDefault="00A736F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Оказание услуг по предоставлению неисключительного права использования программы для ЭВМ</w:t>
            </w:r>
          </w:p>
          <w:p w:rsidR="00F05F72" w:rsidRDefault="00F05F72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ИКЗ </w:t>
            </w:r>
            <w:r w:rsidRPr="00F05F7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262470501326047050100106270000000244</w:t>
            </w: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rPr>
          <w:trHeight w:val="529"/>
        </w:trPr>
        <w:tc>
          <w:tcPr>
            <w:tcW w:w="5187" w:type="dxa"/>
            <w:gridSpan w:val="2"/>
          </w:tcPr>
          <w:p w:rsidR="0081002A" w:rsidRDefault="00A736F1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Гатчина</w:t>
            </w:r>
          </w:p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87" w:type="dxa"/>
            <w:gridSpan w:val="2"/>
          </w:tcPr>
          <w:p w:rsidR="0081002A" w:rsidRDefault="00A736F1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«____»________2026 г.</w:t>
            </w:r>
          </w:p>
        </w:tc>
      </w:tr>
    </w:tbl>
    <w:p w:rsidR="0081002A" w:rsidRDefault="0081002A">
      <w:pPr>
        <w:widowControl w:val="0"/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Государственное бюджетное учреждение здравоохранения Ленинградской области «Гатчинская клиническая межрайонная больница» (ГБУЗ ЛО «Гатчинская КМБ») именуемое в дальнейшем «</w:t>
      </w:r>
      <w:r>
        <w:rPr>
          <w:rFonts w:ascii="Times New Roman" w:hAnsi="Times New Roman"/>
          <w:color w:val="000000"/>
          <w:sz w:val="24"/>
          <w:szCs w:val="24"/>
        </w:rPr>
        <w:t>Лицензиат</w:t>
      </w:r>
      <w:r>
        <w:rPr>
          <w:rFonts w:ascii="Times New Roman" w:hAnsi="Times New Roman"/>
          <w:b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>, в лице врио главного врача Шишкина Юрия Михайлов</w:t>
      </w:r>
      <w:r>
        <w:rPr>
          <w:rFonts w:ascii="Times New Roman" w:hAnsi="Times New Roman"/>
          <w:color w:val="000000"/>
          <w:sz w:val="24"/>
          <w:szCs w:val="24"/>
        </w:rPr>
        <w:t>ича, действующего на основании распоряжения Комитета по здравоохранению Ленинградской области № 88 от 14.05.2026 г., с одной стороны, и</w:t>
      </w:r>
      <w:r>
        <w:rPr>
          <w:rFonts w:ascii="Times New Roman" w:hAnsi="Times New Roman"/>
          <w:b/>
          <w:color w:val="000000"/>
          <w:sz w:val="24"/>
          <w:szCs w:val="24"/>
        </w:rPr>
        <w:t>_____________________________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именуемое в дальнейшем</w:t>
      </w:r>
      <w:r>
        <w:rPr>
          <w:rFonts w:ascii="Times New Roman" w:hAnsi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/>
          <w:b/>
          <w:color w:val="000000"/>
          <w:sz w:val="24"/>
          <w:szCs w:val="24"/>
        </w:rPr>
        <w:t>Лицензиар</w:t>
      </w:r>
      <w:r>
        <w:rPr>
          <w:rFonts w:ascii="Times New Roman" w:hAnsi="Times New Roman"/>
          <w:color w:val="000000"/>
          <w:sz w:val="24"/>
          <w:szCs w:val="24"/>
        </w:rPr>
        <w:t>», в лице ______________, действующего на основании _____,</w:t>
      </w:r>
      <w:r>
        <w:rPr>
          <w:rFonts w:ascii="Times New Roman" w:hAnsi="Times New Roman"/>
          <w:color w:val="000000"/>
          <w:sz w:val="24"/>
          <w:szCs w:val="24"/>
        </w:rPr>
        <w:t xml:space="preserve"> с другой стороны, далее совместно именуемые «</w:t>
      </w:r>
      <w:r>
        <w:rPr>
          <w:rFonts w:ascii="Times New Roman" w:hAnsi="Times New Roman"/>
          <w:b/>
          <w:color w:val="000000"/>
          <w:sz w:val="24"/>
          <w:szCs w:val="24"/>
        </w:rPr>
        <w:t>Стороны</w:t>
      </w:r>
      <w:r>
        <w:rPr>
          <w:rFonts w:ascii="Times New Roman" w:hAnsi="Times New Roman"/>
          <w:color w:val="000000"/>
          <w:sz w:val="24"/>
          <w:szCs w:val="24"/>
        </w:rPr>
        <w:t>», а по отдельности «</w:t>
      </w:r>
      <w:r>
        <w:rPr>
          <w:rFonts w:ascii="Times New Roman" w:hAnsi="Times New Roman"/>
          <w:b/>
          <w:color w:val="000000"/>
          <w:sz w:val="24"/>
          <w:szCs w:val="24"/>
        </w:rPr>
        <w:t>Сторона</w:t>
      </w:r>
      <w:r>
        <w:rPr>
          <w:rFonts w:ascii="Times New Roman" w:hAnsi="Times New Roman"/>
          <w:color w:val="000000"/>
          <w:sz w:val="24"/>
          <w:szCs w:val="24"/>
        </w:rPr>
        <w:t>», в соответствии с законодательством Российской Федерации и иными нормативными правовыми актами о контрактной системе в сфере закупок, и на основании пункта 4, части 1, стать</w:t>
      </w:r>
      <w:r>
        <w:rPr>
          <w:rFonts w:ascii="Times New Roman" w:hAnsi="Times New Roman"/>
          <w:color w:val="000000"/>
          <w:sz w:val="24"/>
          <w:szCs w:val="24"/>
        </w:rPr>
        <w:t>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нужд») заключили настоящий Контракт (далее – «</w:t>
      </w:r>
      <w:r>
        <w:rPr>
          <w:rFonts w:ascii="Times New Roman" w:hAnsi="Times New Roman"/>
          <w:b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color w:val="000000"/>
          <w:sz w:val="24"/>
          <w:szCs w:val="24"/>
        </w:rPr>
        <w:t>») о нижеследующем: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1. Термины и определени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я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1.1. Контур.Страхование − результат интеллектуальной деятельности − программа для ЭВМ «Контур.Страхование» (в том числе интеграционные модули и иные модули, предусмотренные Прайс-листом и позволяющие Лицензиату использовать дополнительную функциональност</w:t>
      </w:r>
      <w:r>
        <w:rPr>
          <w:rFonts w:ascii="Times New Roman" w:hAnsi="Times New Roman"/>
          <w:color w:val="000000"/>
          <w:sz w:val="24"/>
          <w:szCs w:val="24"/>
        </w:rPr>
        <w:t>ь Контур.Страхования), размещенная на сервере Лицензиара, предназначенная для обмена электронными документами между страховыми компаниями, ассистанскими компаниями, страхователями (юридическими лицами) и лечебно-профилактическими учреждениями. При этом для</w:t>
      </w:r>
      <w:r>
        <w:rPr>
          <w:rFonts w:ascii="Times New Roman" w:hAnsi="Times New Roman"/>
          <w:color w:val="000000"/>
          <w:sz w:val="24"/>
          <w:szCs w:val="24"/>
        </w:rPr>
        <w:t xml:space="preserve"> обмена электронными документами применяется программа для ЭВМ «Контур.Диадок» (иное наименование – Диадок) (далее – Контур.Диадок), правообладателем которой является Лицензиар. Лицензиар предоставляет Лицензиату право использования Контур.Диадока в том об</w:t>
      </w:r>
      <w:r>
        <w:rPr>
          <w:rFonts w:ascii="Times New Roman" w:hAnsi="Times New Roman"/>
          <w:color w:val="000000"/>
          <w:sz w:val="24"/>
          <w:szCs w:val="24"/>
        </w:rPr>
        <w:t>ъеме, который предусмотрен Тарифными планами Контур.Страхования в части обмена электронными документами. Условия и способы использования, а также территория действия Контур.Диадока аналогичны изложенным в Лицензионном договоре.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Электронные документы могут </w:t>
      </w:r>
      <w:r>
        <w:rPr>
          <w:rFonts w:ascii="Times New Roman" w:hAnsi="Times New Roman"/>
          <w:color w:val="000000"/>
          <w:sz w:val="24"/>
          <w:szCs w:val="24"/>
        </w:rPr>
        <w:t>передаваться в формате, установленном Лицензиаром, установленном нормативными правовыми актами, либо без установленного формата. Возможность использования тех или иных видов документов предусматривается Тарифным планом. Электронные документы в формате, уст</w:t>
      </w:r>
      <w:r>
        <w:rPr>
          <w:rFonts w:ascii="Times New Roman" w:hAnsi="Times New Roman"/>
          <w:color w:val="000000"/>
          <w:sz w:val="24"/>
          <w:szCs w:val="24"/>
        </w:rPr>
        <w:t>ановленном Лицензиаром, не подписываются электронной подписью.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1.2. Оператор электронного документооборота – обязательства Лицензиара в рамках исполнения организациями и (или) индивидуальными предпринимателями обязанности по получению счетов-фактур, в том </w:t>
      </w:r>
      <w:r>
        <w:rPr>
          <w:rFonts w:ascii="Times New Roman" w:hAnsi="Times New Roman"/>
          <w:color w:val="000000"/>
          <w:sz w:val="24"/>
          <w:szCs w:val="24"/>
        </w:rPr>
        <w:t>числе корректировочных счетов-фактур при приобретении товаров, подлежащих прослеживаемости в соответствии с пунктом 1.2 статьи 169 Налогового кодекса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1.3. Лицензиат – юридическое лицо или индивидуальный предприниматель, заключившие с </w:t>
      </w:r>
      <w:r>
        <w:rPr>
          <w:rFonts w:ascii="Times New Roman" w:hAnsi="Times New Roman"/>
          <w:color w:val="000000"/>
          <w:sz w:val="24"/>
          <w:szCs w:val="24"/>
        </w:rPr>
        <w:t>Лицензиаром Лицензионный договор. Везде в тексте Лицензионного договора под Лицензиатом подразумевается также Конечный пользователь.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1.4. Конечный пользователь – структурные подразделения, обособленные подразделения Лицензиата, а также юридические лица − а</w:t>
      </w:r>
      <w:r>
        <w:rPr>
          <w:rFonts w:ascii="Times New Roman" w:hAnsi="Times New Roman"/>
          <w:color w:val="000000"/>
          <w:sz w:val="24"/>
          <w:szCs w:val="24"/>
        </w:rPr>
        <w:t>ффилированные лица Лицензиата, в интересах которых действует Лицензиат в рамках Лицензионного договора. Ответственность за ознакомление Конечного пользо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вателя с текстом Лицензионного договора возлагается на Лицензиата. Все условия Лицензионного договора, з</w:t>
      </w:r>
      <w:r>
        <w:rPr>
          <w:rFonts w:ascii="Times New Roman" w:hAnsi="Times New Roman"/>
          <w:color w:val="000000"/>
          <w:sz w:val="24"/>
          <w:szCs w:val="24"/>
        </w:rPr>
        <w:t>а исключением условий, установленных п. 5.3.1, а также разделами 7, 9, 11, распространяются в равной степени как на Лицензиата, так и на Конечных пользователей. Конечные пользователи обладают теми же правами и несут те же обязанности по Лицензионному догов</w:t>
      </w:r>
      <w:r>
        <w:rPr>
          <w:rFonts w:ascii="Times New Roman" w:hAnsi="Times New Roman"/>
          <w:color w:val="000000"/>
          <w:sz w:val="24"/>
          <w:szCs w:val="24"/>
        </w:rPr>
        <w:t>ору, что и Лицензиат. Везде в Лицензионном договоре, за исключением п. 5.3.1, а также разделов 7, 9, 11, при упоминании Лицензиата подразумевается также Конечный пользователь.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1.5. Список Конечных пользователей (Приложение № 3 к Лицензионному договору) – д</w:t>
      </w:r>
      <w:r>
        <w:rPr>
          <w:rFonts w:ascii="Times New Roman" w:hAnsi="Times New Roman"/>
          <w:color w:val="000000"/>
          <w:sz w:val="24"/>
          <w:szCs w:val="24"/>
        </w:rPr>
        <w:t>окумент, содержащий информацию о Конечных пользователях. Неотъемлемая часть Лицензионного договора в том случае, если под Лицензиатом в рамках Лицензионного договора подразумевается в том числе и Конечный пользователь, указанный в п. 1.4 Лицензионного дого</w:t>
      </w:r>
      <w:r>
        <w:rPr>
          <w:rFonts w:ascii="Times New Roman" w:hAnsi="Times New Roman"/>
          <w:color w:val="000000"/>
          <w:sz w:val="24"/>
          <w:szCs w:val="24"/>
        </w:rPr>
        <w:t>вора. В случае необходимости приобретения Лицензиатом или Конечными пользователями лицензий на использование модулей Контур.Страхования и/или лицензий на иное программное обеспечение, а также оказания разовых услуг или выполнения работ, предусмотренных Пра</w:t>
      </w:r>
      <w:r>
        <w:rPr>
          <w:rFonts w:ascii="Times New Roman" w:hAnsi="Times New Roman"/>
          <w:color w:val="000000"/>
          <w:sz w:val="24"/>
          <w:szCs w:val="24"/>
        </w:rPr>
        <w:t>йс-листом, такие лицензии, услуги и работы приобретаются отдельно в отношении Лицензиата и/или каждого Конечного пользователя. В случае необходимости изменения Списка Конечных пользователей Стороны оформляют и подписывают Список Конечных пользователей в но</w:t>
      </w:r>
      <w:r>
        <w:rPr>
          <w:rFonts w:ascii="Times New Roman" w:hAnsi="Times New Roman"/>
          <w:color w:val="000000"/>
          <w:sz w:val="24"/>
          <w:szCs w:val="24"/>
        </w:rPr>
        <w:t xml:space="preserve">вой редакции (также являющийся Приложением № 3 к Лицензионному договору). Каждая новая редакция Списка Конечных пользователей заменяет собой предыдущую, и с момента подписания последней редакции Списка Конечных пользователей предыдущая редакция утрачивает </w:t>
      </w:r>
      <w:r>
        <w:rPr>
          <w:rFonts w:ascii="Times New Roman" w:hAnsi="Times New Roman"/>
          <w:color w:val="000000"/>
          <w:sz w:val="24"/>
          <w:szCs w:val="24"/>
        </w:rPr>
        <w:t>свою силу, если иное не указано в Списке Конечных пользователей.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1.6. Спецификация (Приложение № 2 к Лицензионному договору, если в период действия Лицензионного договора Стороны согласовывают финансовые условия путем подписания Спецификации) − документ, с</w:t>
      </w:r>
      <w:r>
        <w:rPr>
          <w:rFonts w:ascii="Times New Roman" w:hAnsi="Times New Roman"/>
          <w:color w:val="000000"/>
          <w:sz w:val="24"/>
          <w:szCs w:val="24"/>
        </w:rPr>
        <w:t>одержащий информацию о стоимости и комплекте предоставляемых Лицензиату неисключительных прав использования программ для ЭВМ и оказываемых услуг/выполняемых работ. Одновременно с подписанием Лицензионного договора Стороны подписывают Спецификацию.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1.7. Сублицензионный договор (Приложение к Лицензионному договору) – договор, устанавливающий порядок передачи и использования СКЗИ. Является офертой, не требующей подписания Сторонами, полный и безоговорочный акцепт которой Лицензиатом является существенн</w:t>
      </w:r>
      <w:r>
        <w:rPr>
          <w:rFonts w:ascii="Times New Roman" w:hAnsi="Times New Roman"/>
          <w:color w:val="000000"/>
          <w:sz w:val="24"/>
          <w:szCs w:val="24"/>
        </w:rPr>
        <w:t>ым условием Лицензионного договора.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1.8. Квалифицированный сертификат (далее − Сертификат) − документ,</w:t>
      </w:r>
      <w:r>
        <w:rPr>
          <w:rFonts w:ascii="Times New Roman" w:hAnsi="Times New Roman"/>
          <w:color w:val="000000"/>
          <w:sz w:val="24"/>
          <w:szCs w:val="24"/>
        </w:rPr>
        <w:t xml:space="preserve"> выданный аккредитованным в соответствии с Федеральным законом Российской Федерации «Об электронной подписи» удостоверяющим центром и подтверждающий принадлежность ключа проверки электронной подписи владельцу сертификата ключа проверки электронной подписи.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1.9. Правила по обеспечению информационной безопасности на рабочем месте − документ, составленный Лицензиаром на основании положений законодательства Российской Федерации в области применения и использования электронной подписи и СКЗИ и обязательный для о</w:t>
      </w:r>
      <w:r>
        <w:rPr>
          <w:rFonts w:ascii="Times New Roman" w:hAnsi="Times New Roman"/>
          <w:color w:val="000000"/>
          <w:sz w:val="24"/>
          <w:szCs w:val="24"/>
        </w:rPr>
        <w:t xml:space="preserve">знакомления всеми специалистами Лицензиата, работающими с использованием СКЗИ. Актуальная редакция правил публикуется на сайте </w:t>
      </w:r>
      <w:hyperlink r:id="rId7" w:tooltip="https://ca.skbkontur.ru/" w:history="1">
        <w:r>
          <w:rPr>
            <w:rFonts w:ascii="Times New Roman" w:hAnsi="Times New Roman"/>
            <w:color w:val="0000CD"/>
            <w:sz w:val="24"/>
            <w:szCs w:val="24"/>
          </w:rPr>
          <w:t>https://ca.skbkontur.ru</w:t>
        </w:r>
      </w:hyperlink>
      <w:r>
        <w:rPr>
          <w:rFonts w:ascii="Times New Roman" w:hAnsi="Times New Roman"/>
          <w:color w:val="000000"/>
          <w:sz w:val="24"/>
          <w:szCs w:val="24"/>
        </w:rPr>
        <w:t>. Подписанием Лицензионного договор</w:t>
      </w:r>
      <w:r>
        <w:rPr>
          <w:rFonts w:ascii="Times New Roman" w:hAnsi="Times New Roman"/>
          <w:color w:val="000000"/>
          <w:sz w:val="24"/>
          <w:szCs w:val="24"/>
        </w:rPr>
        <w:t>а Лицензиат подтверждает исполнение Лицензиаром обязанности, установленной частью 4 статьи 18 Федерального закона от 06.04.2011 № 63-ФЗ «Об электронной подписи».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1.10. СКЗИ – программа для ЭВМ, средство криптографической защиты информации (средство электро</w:t>
      </w:r>
      <w:r>
        <w:rPr>
          <w:rFonts w:ascii="Times New Roman" w:hAnsi="Times New Roman"/>
          <w:color w:val="000000"/>
          <w:sz w:val="24"/>
          <w:szCs w:val="24"/>
        </w:rPr>
        <w:t>нной подписи) «КриптоПро», включая носители и документацию, и/или иные программы для ЭВМ, исключительные права на которые принадлежат ООО «КРИПТО-ПРО» (далее – Правообладатель).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1.11. Тарифный план − совокупность предоставляемых Лицензиаром неисключительны</w:t>
      </w:r>
      <w:r>
        <w:rPr>
          <w:rFonts w:ascii="Times New Roman" w:hAnsi="Times New Roman"/>
          <w:color w:val="000000"/>
          <w:sz w:val="24"/>
          <w:szCs w:val="24"/>
        </w:rPr>
        <w:t>х прав использования программ для ЭВМ и оказываемых услуг/выполняемых работ. Состав Тарифного плана определяется Прайс-листом.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1.12. Прайс-лист – документ (неотъемлемая часть Лицензионного договора), отражающий ценовую политику Лицензиара и содержащий свед</w:t>
      </w:r>
      <w:r>
        <w:rPr>
          <w:rFonts w:ascii="Times New Roman" w:hAnsi="Times New Roman"/>
          <w:color w:val="000000"/>
          <w:sz w:val="24"/>
          <w:szCs w:val="24"/>
        </w:rPr>
        <w:t>ения о Тарифных планах. Действующая редакция Прайс-листа представляется по требованию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1.13. Программный интерфейс (API) Application Programming Interface – интерфейс прикладного программирования, позволяющий провести интеграцию Контур.Страхован</w:t>
      </w:r>
      <w:r>
        <w:rPr>
          <w:rFonts w:ascii="Times New Roman" w:hAnsi="Times New Roman"/>
          <w:color w:val="000000"/>
          <w:sz w:val="24"/>
          <w:szCs w:val="24"/>
        </w:rPr>
        <w:t>ия с любой учетной системой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1.14. Ключ разработчика – последовательность символов, буквенно-цифровой код, позволяющий получить доступ к функциональности Контур.Страхования, используя программные методы API.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1.15. Заявка – документ, подтверждающ</w:t>
      </w:r>
      <w:r>
        <w:rPr>
          <w:rFonts w:ascii="Times New Roman" w:hAnsi="Times New Roman"/>
          <w:color w:val="000000"/>
          <w:sz w:val="24"/>
          <w:szCs w:val="24"/>
        </w:rPr>
        <w:t xml:space="preserve">ий намерение Лицензиата на подключение к Контур.Страхованию, устанавливающий уровень прав доступа для пользователей, уполномоченных Лицензиатом для работы в Контур.Страховании. Форма Заявки установлена Лицензиаром и публикуется по адресу </w:t>
      </w:r>
      <w:hyperlink r:id="rId8" w:tooltip="https://support.kontur.ru/pages/viewpage.action?pageId=60785752" w:history="1">
        <w:r>
          <w:rPr>
            <w:rFonts w:ascii="Times New Roman" w:hAnsi="Times New Roman"/>
            <w:color w:val="0000CD"/>
            <w:sz w:val="24"/>
            <w:szCs w:val="24"/>
          </w:rPr>
          <w:t>https://support.kontur.ru/pages/viewpage.action?pageId=60785752</w:t>
        </w:r>
      </w:hyperlink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1.16. Сервисный центр – юридическое лицо или индивидуальный </w:t>
      </w:r>
      <w:r>
        <w:rPr>
          <w:rFonts w:ascii="Times New Roman" w:hAnsi="Times New Roman"/>
          <w:color w:val="000000"/>
          <w:sz w:val="24"/>
          <w:szCs w:val="24"/>
        </w:rPr>
        <w:t xml:space="preserve">предприниматель, уполномоченные Лицензиаром на основании агентского договора представлять интересы Лицензиара во взаимоотношениях с Лицензиатом. Список Сервисных центров публикуется на сайте </w:t>
      </w:r>
      <w:hyperlink r:id="rId9" w:tooltip="https://kontur.ru/contacts/all" w:history="1">
        <w:r>
          <w:rPr>
            <w:rFonts w:ascii="Times New Roman" w:hAnsi="Times New Roman"/>
            <w:color w:val="0000CD"/>
            <w:sz w:val="24"/>
            <w:szCs w:val="24"/>
          </w:rPr>
          <w:t>https://kontur.ru/contacts/all</w:t>
        </w:r>
      </w:hyperlink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2. Предмет Лицензионного договора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Лицензиар предоставляет Лицензиату неисключительное право использования Контур.Страхования на условиях простой (неисключительной) лицензии в пределах, предусмотренных </w:t>
      </w:r>
      <w:r>
        <w:rPr>
          <w:rFonts w:ascii="Times New Roman" w:hAnsi="Times New Roman"/>
          <w:color w:val="000000"/>
          <w:sz w:val="24"/>
          <w:szCs w:val="24"/>
        </w:rPr>
        <w:t>Лицензионным договором, а также оказывает услуги по сопровождению (техническая поддержка в виде абонентского обслуживания) в случае, если они предусмотрены оплаченным Тарифным планом, а Лицензиат обязуется принять и оплатить предоставленные неисключительны</w:t>
      </w:r>
      <w:r>
        <w:rPr>
          <w:rFonts w:ascii="Times New Roman" w:hAnsi="Times New Roman"/>
          <w:color w:val="000000"/>
          <w:sz w:val="24"/>
          <w:szCs w:val="24"/>
        </w:rPr>
        <w:t>е имущественные права и услуги в порядке, установленном Лицензионным договором.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2.2. Заключение Лицензионного договора рассматривается Сторонами как поручение Оператора персональных данных другому лицу, предусмотренное частью 3 статьи 6 Федерального закона</w:t>
      </w:r>
      <w:r>
        <w:rPr>
          <w:rFonts w:ascii="Times New Roman" w:hAnsi="Times New Roman"/>
          <w:color w:val="000000"/>
          <w:sz w:val="24"/>
          <w:szCs w:val="24"/>
        </w:rPr>
        <w:t xml:space="preserve"> от 27.07.2006 № 152-ФЗ «О персональных данных». При этом Лицензиат поручает Лицензиару осуществление следующих действий (операций) с персональными данными, совершаемых с использованием средств автоматизации или без использования таких средств: сбор, запис</w:t>
      </w:r>
      <w:r>
        <w:rPr>
          <w:rFonts w:ascii="Times New Roman" w:hAnsi="Times New Roman"/>
          <w:color w:val="000000"/>
          <w:sz w:val="24"/>
          <w:szCs w:val="24"/>
        </w:rPr>
        <w:t>ь, систематизацию, накопление, хранение на сервере Лицензиара, уточнение (обновление, изменение) после внесения изменений Лицензиатом, извлечение, использование, передачу (предоставление, доступ), обезличивание, блокирование, удаление, уничтожение персонал</w:t>
      </w:r>
      <w:r>
        <w:rPr>
          <w:rFonts w:ascii="Times New Roman" w:hAnsi="Times New Roman"/>
          <w:color w:val="000000"/>
          <w:sz w:val="24"/>
          <w:szCs w:val="24"/>
        </w:rPr>
        <w:t>ьных данных – исключительно с целью исполнения обязательств, предусмотренных Лицензионным договором. Лицензиат дает поручение Лицензиару в отношении перечня всех возможных персональных данных (включая, но не ограничиваясь ФИО, должность, контактные данные)</w:t>
      </w:r>
      <w:r>
        <w:rPr>
          <w:rFonts w:ascii="Times New Roman" w:hAnsi="Times New Roman"/>
          <w:color w:val="000000"/>
          <w:sz w:val="24"/>
          <w:szCs w:val="24"/>
        </w:rPr>
        <w:t>, которые Лицензиат может разместить в Контур.Страховании.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2.3. Заключая Лицензионный договор, Лицензиат обязуется признавать юридическую силу электронных документов, формат которых установлен Лицензиаром, полученных от своих контрагентов в Контур.Страхова</w:t>
      </w:r>
      <w:r>
        <w:rPr>
          <w:rFonts w:ascii="Times New Roman" w:hAnsi="Times New Roman"/>
          <w:color w:val="000000"/>
          <w:sz w:val="24"/>
          <w:szCs w:val="24"/>
        </w:rPr>
        <w:t>нии.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2.4. Если Лицензионный договор заключается и исполняется Сторонами в рамках законодательства о контрактной системе, в случае неисполнения или ненадлежащего исполнения любой из Сторон обязательства, предусмотренного Лицензионным договором, другая Сторо</w:t>
      </w:r>
      <w:r>
        <w:rPr>
          <w:rFonts w:ascii="Times New Roman" w:hAnsi="Times New Roman"/>
          <w:color w:val="000000"/>
          <w:sz w:val="24"/>
          <w:szCs w:val="24"/>
        </w:rPr>
        <w:t>на вправе потребовать уплату неустойки (пеней, штрафов). Порядок исчисления штрафных санкций определяется в соответствии с Федеральным законом от 05.04.2013 № 44-ФЗ «О контрактной системе в сфере закупок товаров, работ, услуг для обеспечения государственны</w:t>
      </w:r>
      <w:r>
        <w:rPr>
          <w:rFonts w:ascii="Times New Roman" w:hAnsi="Times New Roman"/>
          <w:color w:val="000000"/>
          <w:sz w:val="24"/>
          <w:szCs w:val="24"/>
        </w:rPr>
        <w:t>х и муниципальных нужд» и правилами, утвержденными Правительством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Лицензиар оставляет за собой право отказать Лицензиату в заключении Лицензионного договора в интересах третьих лиц (Конечных пользователей) без объяснения причин. </w:t>
      </w:r>
      <w:r>
        <w:rPr>
          <w:rFonts w:ascii="Times New Roman" w:hAnsi="Times New Roman"/>
          <w:color w:val="000000"/>
          <w:sz w:val="24"/>
          <w:szCs w:val="24"/>
        </w:rPr>
        <w:t>После заключения Лицензионного договора в интересах третьих лиц (Конечных пользователей) Лицензиат и Лицензиар вправе изменять и расторгать Лицензионный договор без согласия Конечных пользователей.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3. Исключительные права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3.1. Исключительные права на Конту</w:t>
      </w:r>
      <w:r>
        <w:rPr>
          <w:rFonts w:ascii="Times New Roman" w:hAnsi="Times New Roman"/>
          <w:color w:val="000000"/>
          <w:sz w:val="24"/>
          <w:szCs w:val="24"/>
        </w:rPr>
        <w:t>р.Страхование принадлежат Лицензиару и охраняются как объект интеллектуальной собственности.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3.2. В Контур.Страховании не используются никакие элементы в нарушение прав третьих лиц. В случае если эти гарантии будут нарушены, Лицензиар обязуется принять мер</w:t>
      </w:r>
      <w:r>
        <w:rPr>
          <w:rFonts w:ascii="Times New Roman" w:hAnsi="Times New Roman"/>
          <w:color w:val="000000"/>
          <w:sz w:val="24"/>
          <w:szCs w:val="24"/>
        </w:rPr>
        <w:t>ы, которые обеспечат Лицензиату беспрепятственное использование прав, передаваемых по Лицензионному договору.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3.3. Свидетельство о государственной регистрации прав на Контур.Страхование официально публикуется на сайте Лицензиара </w:t>
      </w:r>
      <w:hyperlink r:id="rId10" w:tooltip="https://kontur.ru/" w:history="1">
        <w:r>
          <w:rPr>
            <w:rFonts w:ascii="Times New Roman" w:hAnsi="Times New Roman"/>
            <w:color w:val="0000CD"/>
            <w:sz w:val="24"/>
            <w:szCs w:val="24"/>
          </w:rPr>
          <w:t>https://kontur.ru</w:t>
        </w:r>
      </w:hyperlink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3.4. Контур.Страхование внесена в единый реестр российских программ для электронных вычислительных машин и баз данных 22 ноября 2021 г., регистрационный номер 12129.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3.5. Права на использование Контур.Стра</w:t>
      </w:r>
      <w:r>
        <w:rPr>
          <w:rFonts w:ascii="Times New Roman" w:hAnsi="Times New Roman"/>
          <w:color w:val="000000"/>
          <w:sz w:val="24"/>
          <w:szCs w:val="24"/>
        </w:rPr>
        <w:t>хования передаются исключительно Лицензиату и Конечным пользователям Лицензиата без права передачи третьим лицам, если нет письменного разрешения Лицензиара на иное.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3.6. Лицензиар гарантирует, что Контур.Страхование не содержит вредоносных, шпионских элем</w:t>
      </w:r>
      <w:r>
        <w:rPr>
          <w:rFonts w:ascii="Times New Roman" w:hAnsi="Times New Roman"/>
          <w:color w:val="000000"/>
          <w:sz w:val="24"/>
          <w:szCs w:val="24"/>
        </w:rPr>
        <w:t>ентов и программного кода, созданных для вывода из строя, нарушения работы или выполнения несанкционированных действий в компьютерной системе или для передачи каких-либо данных с компьютера Конечного пользователя без его предварительного уведомления и согл</w:t>
      </w:r>
      <w:r>
        <w:rPr>
          <w:rFonts w:ascii="Times New Roman" w:hAnsi="Times New Roman"/>
          <w:color w:val="000000"/>
          <w:sz w:val="24"/>
          <w:szCs w:val="24"/>
        </w:rPr>
        <w:t>асия.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3.7. Контур.Страхование предоставляется Лицензиату «как есть». Лицензиар не дает никаких гарантий относительно того, что функциональность Контур.Страхования будет полностью отвечать ожиданиям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4. Объем предоставляемых прав, способы и условия использования, порядок предоставления доступа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4.1. Лицензиар предоставляет Лицензиату право использования Контур.Страхования путем открытия доступа к серверу Лицензиара и/или предоставления ключа разработчик</w:t>
      </w:r>
      <w:r>
        <w:rPr>
          <w:rFonts w:ascii="Times New Roman" w:hAnsi="Times New Roman"/>
          <w:color w:val="000000"/>
          <w:sz w:val="24"/>
          <w:szCs w:val="24"/>
        </w:rPr>
        <w:t>а следующими способами: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воспроизведение графической части (рабочего интерфейса) на экране персонального компьютера и мобильного устройства;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интеграция Контур.Страхования с информационной системой Лицензиата в случае использования API или интеграционных</w:t>
      </w:r>
      <w:r>
        <w:rPr>
          <w:rFonts w:ascii="Times New Roman" w:hAnsi="Times New Roman"/>
          <w:color w:val="000000"/>
          <w:sz w:val="24"/>
          <w:szCs w:val="24"/>
        </w:rPr>
        <w:t xml:space="preserve"> модулей Контур.Страхования;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самостоятельная модификация, адаптация и доработка модулей Контур.Страхования.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 Лицензиату предоставляется право использования Контур.Страхования на всей территории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 Лицензиату предоставляется право использования Контур.Страхования для собственных нужд по его функциональному назначению.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Объем предоставленного права использования Контур.Страхования зависит от выбранного Лицензиатом Тарифного плана.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 Необхо</w:t>
      </w:r>
      <w:r>
        <w:rPr>
          <w:rFonts w:ascii="Times New Roman" w:hAnsi="Times New Roman"/>
          <w:color w:val="000000"/>
          <w:sz w:val="24"/>
          <w:szCs w:val="24"/>
        </w:rPr>
        <w:t>димым условием использования Контур.Страхования является наличие у Лицензиата: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4.5.1. Подключения к сети Интернет;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4.5.2. Учетной записи на сервере Лицензиара;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4.5.3. действующего Сертификата;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4.5.4. СКЗИ.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4.6. Лицензиату запрещается: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допускать использов</w:t>
      </w:r>
      <w:r>
        <w:rPr>
          <w:rFonts w:ascii="Times New Roman" w:hAnsi="Times New Roman"/>
          <w:color w:val="000000"/>
          <w:sz w:val="24"/>
          <w:szCs w:val="24"/>
        </w:rPr>
        <w:t>ание Контур.Страхования лицами, не имеющими прав на такое использование;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дизассемблировать, декомпилировать, адаптировать и модифицировать Контур.Страхование;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предоставлять Контур.Страхование в прокат, в аренду или во временное пользование третьим лица</w:t>
      </w:r>
      <w:r>
        <w:rPr>
          <w:rFonts w:ascii="Times New Roman" w:hAnsi="Times New Roman"/>
          <w:color w:val="000000"/>
          <w:sz w:val="24"/>
          <w:szCs w:val="24"/>
        </w:rPr>
        <w:t>м с целью извлечения прибыли, а также совершать относительно программы для ЭВМ другие действия, нарушающие российские и международные нормы по авторскому праву и использованию программных средств;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организовывать с помощью Контур.Страхования спам-рассылку</w:t>
      </w:r>
      <w:r>
        <w:rPr>
          <w:rFonts w:ascii="Times New Roman" w:hAnsi="Times New Roman"/>
          <w:color w:val="000000"/>
          <w:sz w:val="24"/>
          <w:szCs w:val="24"/>
        </w:rPr>
        <w:t xml:space="preserve"> корреспонденции рекламного характера пользователям Контур.Страхования, не выражавшим желание её получать.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4.7. Доступ к веб-версии Контур.Страхования предоставляется Лицензиату после оплаты 30% лицензионного вознаграждения в порядке, предусмотренном Лицен</w:t>
      </w:r>
      <w:r>
        <w:rPr>
          <w:rFonts w:ascii="Times New Roman" w:hAnsi="Times New Roman"/>
          <w:color w:val="000000"/>
          <w:sz w:val="24"/>
          <w:szCs w:val="24"/>
        </w:rPr>
        <w:t>зионным договором, путем регистрации Лицензиаром учетной записи Лицензиата на сервере Контур.Страхования в течение 5 (пяти) календарных дней с момента получения Лицензиаром Заявки.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4.8. Для интеграции Контур.Страхования с информационными системами Лицензиа</w:t>
      </w:r>
      <w:r>
        <w:rPr>
          <w:rFonts w:ascii="Times New Roman" w:hAnsi="Times New Roman"/>
          <w:color w:val="000000"/>
          <w:sz w:val="24"/>
          <w:szCs w:val="24"/>
        </w:rPr>
        <w:t>та Лицензиар направляет дистрибутивы программных компонентов модуля Контур.Страхования Лицензиату после оплаты Лицензиатом 30% лицензионного вознаграждения, предусмотренного для модулей. Для интеграции Контур.Страхования с информационной системой Лицензиат</w:t>
      </w:r>
      <w:r>
        <w:rPr>
          <w:rFonts w:ascii="Times New Roman" w:hAnsi="Times New Roman"/>
          <w:color w:val="000000"/>
          <w:sz w:val="24"/>
          <w:szCs w:val="24"/>
        </w:rPr>
        <w:t>а при помощи API и для использования дополнительной функциональности Контур.Страхования Лицензиар направляет Лицензиату Ключ разработчика и дистрибутивы программных компонентов модуля в течение 5 (пяти) календарных дней с момента получения 30% оплаты, пред</w:t>
      </w:r>
      <w:r>
        <w:rPr>
          <w:rFonts w:ascii="Times New Roman" w:hAnsi="Times New Roman"/>
          <w:color w:val="000000"/>
          <w:sz w:val="24"/>
          <w:szCs w:val="24"/>
        </w:rPr>
        <w:t>усмотренной для API-лицензии и для модуля.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5. Права и обязанности Сторон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 Обязанности Лицензиара: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5.1.1. Предоставление неисключительных прав на Контур.Страхование Лицензиату;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5.1.2. Обеспечение выполнения Контур.Страхованием заявленной функциональност</w:t>
      </w:r>
      <w:r>
        <w:rPr>
          <w:rFonts w:ascii="Times New Roman" w:hAnsi="Times New Roman"/>
          <w:color w:val="000000"/>
          <w:sz w:val="24"/>
          <w:szCs w:val="24"/>
        </w:rPr>
        <w:t>и;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5.1.3. Своевременное обновление Контур.Страхования на сервере Лицензиара;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5.1.4. Соблюдение конфиденциальности информации, ставшей известной Лицензиару в процессе исполнения Лицензионного договора;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5.1.5. Обеспечение круглосуточной доступности сервера, </w:t>
      </w:r>
      <w:r>
        <w:rPr>
          <w:rFonts w:ascii="Times New Roman" w:hAnsi="Times New Roman"/>
          <w:color w:val="000000"/>
          <w:sz w:val="24"/>
          <w:szCs w:val="24"/>
        </w:rPr>
        <w:t>за исключением времени проведения профилактических работ, при этом Лицензиат уведомляется о проведении профилактических работ за 4 (четыре) календарных дня до их начала путем размещения информации на сервере Лицензиара. Профилактические работы проводятся н</w:t>
      </w:r>
      <w:r>
        <w:rPr>
          <w:rFonts w:ascii="Times New Roman" w:hAnsi="Times New Roman"/>
          <w:color w:val="000000"/>
          <w:sz w:val="24"/>
          <w:szCs w:val="24"/>
        </w:rPr>
        <w:t>е более 2 (двух) рабочих дней в месяц преимущественно в ночное время;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5.1.6. Воздержание от каких-либо действий, способных воспрепятствовать нормальному использованию Лицензиатом Контур.Страхования;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5.1.7. Обеспечение сохранности электронных документов Лиц</w:t>
      </w:r>
      <w:r>
        <w:rPr>
          <w:rFonts w:ascii="Times New Roman" w:hAnsi="Times New Roman"/>
          <w:color w:val="000000"/>
          <w:sz w:val="24"/>
          <w:szCs w:val="24"/>
        </w:rPr>
        <w:t>ензиата в течение всего срока действия Лицензионного договора и не менее 5 (пяти) лет после прекращения его действия при условии, что от каждого из их владельцев не поступило заявление на удаление электронных документов. Владельцами каждого электронного до</w:t>
      </w:r>
      <w:r>
        <w:rPr>
          <w:rFonts w:ascii="Times New Roman" w:hAnsi="Times New Roman"/>
          <w:color w:val="000000"/>
          <w:sz w:val="24"/>
          <w:szCs w:val="24"/>
        </w:rPr>
        <w:t>кумента при этом считаются Лицензиаты, подписавшие такой документ;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5.1.8. Наличие всех необходимых лицензий для исполнения обязательств по Лицензионному договору. Место публикации лицензий Лицензиара: </w:t>
      </w:r>
      <w:hyperlink r:id="rId11" w:tooltip="https://kontur.ru/about/licences" w:history="1">
        <w:r>
          <w:rPr>
            <w:rFonts w:ascii="Times New Roman" w:hAnsi="Times New Roman"/>
            <w:color w:val="0000CD"/>
            <w:sz w:val="24"/>
            <w:szCs w:val="24"/>
          </w:rPr>
          <w:t>https://kontur.ru/about/licences</w:t>
        </w:r>
      </w:hyperlink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 Права Лицензиара: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5.2.1. Модификация или выпуск новой версии Контур.Страхования в любое время и по любой причине, в том числе в целях удовлетворения потребностей Лицензиата или требований конкурентоспособности, в целях соблюдения законодательства Российской Федерации. Лицен</w:t>
      </w:r>
      <w:r>
        <w:rPr>
          <w:rFonts w:ascii="Times New Roman" w:hAnsi="Times New Roman"/>
          <w:color w:val="000000"/>
          <w:sz w:val="24"/>
          <w:szCs w:val="24"/>
        </w:rPr>
        <w:t>зиар оставляет за собой право добавлять новые свойства и функциональные возможности Контур.Страхования или удалять из Контур.Страхования уже существующие свойства и функциональные возможности;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5.2.2. Заключение с третьими лицами любых договоров о предостав</w:t>
      </w:r>
      <w:r>
        <w:rPr>
          <w:rFonts w:ascii="Times New Roman" w:hAnsi="Times New Roman"/>
          <w:color w:val="000000"/>
          <w:sz w:val="24"/>
          <w:szCs w:val="24"/>
        </w:rPr>
        <w:t>лении права использования Контур.Страхования, в том числе на условиях, аналогичных условиям Лицензионного договора;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5.2.3. Обработка данных, циркулирующих в Контур.Страховании, с целью формирования отчетов для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 Обязанности Лицензиата: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5.3.1. Своевременная оплата предоставляемых прав использования, услуг, работ Лицензиара в порядке и сроки, установленные Лицензионным договором;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5.3.2. Соблюдение требований пользовательской документации при использовании Контур.Страхования и СКЗИ;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5.3.3. </w:t>
      </w:r>
      <w:r>
        <w:rPr>
          <w:rFonts w:ascii="Times New Roman" w:hAnsi="Times New Roman"/>
          <w:color w:val="000000"/>
          <w:sz w:val="24"/>
          <w:szCs w:val="24"/>
        </w:rPr>
        <w:t xml:space="preserve">Соблюдение требований по защите информации на рабочем месте в соответствии с приказом ФСБ России от 09.02.2005 № 66 «Об утверждении Положения о разработке, производстве, реализации и эксплуатации шифровальных (криптографических) средств защиты информации» </w:t>
      </w:r>
      <w:r>
        <w:rPr>
          <w:rFonts w:ascii="Times New Roman" w:hAnsi="Times New Roman"/>
          <w:color w:val="000000"/>
          <w:sz w:val="24"/>
          <w:szCs w:val="24"/>
        </w:rPr>
        <w:t>(Положение ПКЗ-2005) и Правилами по обеспечению информационной безопасности на рабочем месте;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5.3.4. Своевременное информирование Конечных пользователей об условиях заключения, а также расторжения Лицензионного договора;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5.3.5. В случае необходимости измен</w:t>
      </w:r>
      <w:r>
        <w:rPr>
          <w:rFonts w:ascii="Times New Roman" w:hAnsi="Times New Roman"/>
          <w:color w:val="000000"/>
          <w:sz w:val="24"/>
          <w:szCs w:val="24"/>
        </w:rPr>
        <w:t>ения Списка Конечных пользователей (Приложение № 3 к Лицензионному договору) – подписание его в новой редакции в порядке, установленном п. 1.5 Лицензионного договора. В случае отсутствия того или иного Конечного пользователя в Списке Конечных пользователей</w:t>
      </w:r>
      <w:r>
        <w:rPr>
          <w:rFonts w:ascii="Times New Roman" w:hAnsi="Times New Roman"/>
          <w:color w:val="000000"/>
          <w:sz w:val="24"/>
          <w:szCs w:val="24"/>
        </w:rPr>
        <w:t xml:space="preserve"> такой Конечный пользователь считается использующим Контур.Страхование незаконно;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5.3.6. Предоставление Лицензиару всех сведений и документов, необходимых для исполнения Лицензиаром обязательств по Лицензионному договору;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5.3.7. Самостоятельное обеспечение</w:t>
      </w:r>
      <w:r>
        <w:rPr>
          <w:rFonts w:ascii="Times New Roman" w:hAnsi="Times New Roman"/>
          <w:color w:val="000000"/>
          <w:sz w:val="24"/>
          <w:szCs w:val="24"/>
        </w:rPr>
        <w:t xml:space="preserve"> подключения к сети Интернет;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5.3.8. Незамедлительное обращение в техническую поддержку Лицензиара в случае возникновения у Лицензиата технических проблем, препятствующих нормальному использованию Контур.Страхования;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5.3.9. Направление Заявки Лицензиару в </w:t>
      </w:r>
      <w:r>
        <w:rPr>
          <w:rFonts w:ascii="Times New Roman" w:hAnsi="Times New Roman"/>
          <w:color w:val="000000"/>
          <w:sz w:val="24"/>
          <w:szCs w:val="24"/>
        </w:rPr>
        <w:t>течение 3 (трех) календарных дней с момента оплаты лицензионного вознаграждения;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5.3.10. Обеспечение полноты и достоверности информации, указываемой в Заявке.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 Права Лицензиата: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5.4.1. Получение круглосуточного доступа к серверу с целью использования в</w:t>
      </w:r>
      <w:r>
        <w:rPr>
          <w:rFonts w:ascii="Times New Roman" w:hAnsi="Times New Roman"/>
          <w:color w:val="000000"/>
          <w:sz w:val="24"/>
          <w:szCs w:val="24"/>
        </w:rPr>
        <w:t>сех функциональных возможностей Контур.Страхования, описанных в пользовательской документации, за исключением времени проведения профилактических работ, проводимых преимущественно в ночное время;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5.4.2. Внесение предложений по изменению функциональных возм</w:t>
      </w:r>
      <w:r>
        <w:rPr>
          <w:rFonts w:ascii="Times New Roman" w:hAnsi="Times New Roman"/>
          <w:color w:val="000000"/>
          <w:sz w:val="24"/>
          <w:szCs w:val="24"/>
        </w:rPr>
        <w:t>ожностей Контур.Страхования;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5.4.3. Непредставление отчетов об использовании Контур.Страхования Лицензиару;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5.4.4. Обращение к Лицензиару для удаления электронного документа в Контур.Страховании или в Контур.Диадоке совместно с другим владельцем документа </w:t>
      </w:r>
      <w:r>
        <w:rPr>
          <w:rFonts w:ascii="Times New Roman" w:hAnsi="Times New Roman"/>
          <w:color w:val="000000"/>
          <w:sz w:val="24"/>
          <w:szCs w:val="24"/>
        </w:rPr>
        <w:t>(по смыслу п. 5.1.7 Лицензионного договора);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5.4.5. Получение технической поддержки, которая осуществляется в виде абонентского обслуживания в круглосуточном ежедневном режиме путем телефонных консультаций в федеральном контакт-центре Лицензиара без ограни</w:t>
      </w:r>
      <w:r>
        <w:rPr>
          <w:rFonts w:ascii="Times New Roman" w:hAnsi="Times New Roman"/>
          <w:color w:val="000000"/>
          <w:sz w:val="24"/>
          <w:szCs w:val="24"/>
        </w:rPr>
        <w:t>чения по времени и количеству обращений.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6. Обязательства Сторон в области обработки персональных данных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 Лицензиат гарантирует: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6.1.1. Что при обработке персональных данных им соблюдены все права субъектов персональных данных, предусмотренные законода</w:t>
      </w:r>
      <w:r>
        <w:rPr>
          <w:rFonts w:ascii="Times New Roman" w:hAnsi="Times New Roman"/>
          <w:color w:val="000000"/>
          <w:sz w:val="24"/>
          <w:szCs w:val="24"/>
        </w:rPr>
        <w:t>тельством Российской Федерации в области защиты персональных данных;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6.1.2. Что им получено согласие субъектов персональных данных на обработку принадлежащих им персональных данных с использованием Контур.Страхования, в том числе на поручение такой обработ</w:t>
      </w:r>
      <w:r>
        <w:rPr>
          <w:rFonts w:ascii="Times New Roman" w:hAnsi="Times New Roman"/>
          <w:color w:val="000000"/>
          <w:sz w:val="24"/>
          <w:szCs w:val="24"/>
        </w:rPr>
        <w:t>ки Лицензиару как третьему лицу;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6.1.3. Что при размещении персональных данных им соблюдены все принципы и условия обработки персональных данных и ограничения, предусмотренные законодательством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 Лицензиар гарантирует: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6.2.1. Соблю</w:t>
      </w:r>
      <w:r>
        <w:rPr>
          <w:rFonts w:ascii="Times New Roman" w:hAnsi="Times New Roman"/>
          <w:color w:val="000000"/>
          <w:sz w:val="24"/>
          <w:szCs w:val="24"/>
        </w:rPr>
        <w:t>дение конфиденциальности и обеспечение безопасности обрабатываемых персональных данных;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6.2.2. Обработку персональных данных на территории Российской Федерации;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6.2.3. Принятие необходимых организационных и технических мер для защиты персональных данных от</w:t>
      </w:r>
      <w:r>
        <w:rPr>
          <w:rFonts w:ascii="Times New Roman" w:hAnsi="Times New Roman"/>
          <w:color w:val="000000"/>
          <w:sz w:val="24"/>
          <w:szCs w:val="24"/>
        </w:rPr>
        <w:t xml:space="preserve">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 в отношении персональных данных, в частности: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определение угроз безопасности перс</w:t>
      </w:r>
      <w:r>
        <w:rPr>
          <w:rFonts w:ascii="Times New Roman" w:hAnsi="Times New Roman"/>
          <w:color w:val="000000"/>
          <w:sz w:val="24"/>
          <w:szCs w:val="24"/>
        </w:rPr>
        <w:t>ональных данных при их обработке;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установление правил доступа к обрабатываемым персональным данным;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− обнаружение фактов несанкционированного доступа к персональным данным и принятие мер по их пресечению;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− </w:t>
      </w:r>
      <w:r>
        <w:rPr>
          <w:rFonts w:ascii="Times New Roman" w:hAnsi="Times New Roman"/>
          <w:color w:val="000000"/>
          <w:sz w:val="24"/>
          <w:szCs w:val="24"/>
        </w:rPr>
        <w:t>проведение оценки эффективности принимаемых мер по обеспечению безопасности персональных данных и контроля за принимаемыми мерами.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6.3. Лицензиар уведомляет, что им направлено в уполномоченный орган по защите прав субъектов персональных данных уведомление </w:t>
      </w:r>
      <w:r>
        <w:rPr>
          <w:rFonts w:ascii="Times New Roman" w:hAnsi="Times New Roman"/>
          <w:color w:val="000000"/>
          <w:sz w:val="24"/>
          <w:szCs w:val="24"/>
        </w:rPr>
        <w:t xml:space="preserve">о намерении осуществлять обработку персональных данных в порядке, предусмотренном законодательством Российской Федерации. Политика обработки персональных данных публикуется Лицензиаром на сайте </w:t>
      </w:r>
      <w:hyperlink r:id="rId12" w:tooltip="https://kontur.ru/" w:history="1">
        <w:r>
          <w:rPr>
            <w:rFonts w:ascii="Times New Roman" w:hAnsi="Times New Roman"/>
            <w:color w:val="0000CD"/>
            <w:sz w:val="24"/>
            <w:szCs w:val="24"/>
          </w:rPr>
          <w:t>htt</w:t>
        </w:r>
        <w:r>
          <w:rPr>
            <w:rFonts w:ascii="Times New Roman" w:hAnsi="Times New Roman"/>
            <w:color w:val="0000CD"/>
            <w:sz w:val="24"/>
            <w:szCs w:val="24"/>
          </w:rPr>
          <w:t>ps://kontur.ru</w:t>
        </w:r>
      </w:hyperlink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6.4. В случае прекращения действия Лицензионного договора и/или получения запроса субъекта персональных данных, содержащего отзыв согласия на обработку персональных данных, Ли</w:t>
      </w:r>
      <w:r>
        <w:rPr>
          <w:rFonts w:ascii="Times New Roman" w:hAnsi="Times New Roman"/>
          <w:color w:val="000000"/>
          <w:sz w:val="24"/>
          <w:szCs w:val="24"/>
        </w:rPr>
        <w:t>цензиат совместно с другими владельцами документов (по смыслу п. 5.1.7 Лицензионного договора) вправе направить уведомление Лицензиару о необходимости удаления документов, содержащих персональные данные, размещенных в Контур.Страховании или Контур.Диадоке.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 В целях соблюдения прав субъекта персональных данных, предусмотренных Федеральным законом от 27.07.2006 № 152-ФЗ «О персональных данных», и ввиду отсутствия возможности у Лицензиара самостоятельно производить какие-либо действия, касающиеся обработки</w:t>
      </w:r>
      <w:r>
        <w:rPr>
          <w:rFonts w:ascii="Times New Roman" w:hAnsi="Times New Roman"/>
          <w:color w:val="000000"/>
          <w:sz w:val="24"/>
          <w:szCs w:val="24"/>
        </w:rPr>
        <w:t xml:space="preserve"> персональных данных, Стороны договорились установить следующий порядок взаимодействия: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6.5.1. Лицензиат (Оператор персональных данных) обязуется в течение 5 (пяти) рабочих дней с мо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мента получения запроса, содержащего отзыв субъекта персональных данных со</w:t>
      </w:r>
      <w:r>
        <w:rPr>
          <w:rFonts w:ascii="Times New Roman" w:hAnsi="Times New Roman"/>
          <w:color w:val="000000"/>
          <w:sz w:val="24"/>
          <w:szCs w:val="24"/>
        </w:rPr>
        <w:t>гласия на обработку персональных данных, уведомить Лицензиара о необходимости удаления отозванных данных либо представить субъекту персональных данных мотивированный отказ от выполнения такого запроса;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6.5.2. По требованию Лицензиара Лицензиат обязан предо</w:t>
      </w:r>
      <w:r>
        <w:rPr>
          <w:rFonts w:ascii="Times New Roman" w:hAnsi="Times New Roman"/>
          <w:color w:val="000000"/>
          <w:sz w:val="24"/>
          <w:szCs w:val="24"/>
        </w:rPr>
        <w:t>ставить доказательства соблюдения прав субъекта персональных данных, предусмотренных законодательством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6.6. Лицензиар обязуется: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6.6.1. по письменному запросу Лицензиата в течение срока действия его поручения на обработку персональных</w:t>
      </w:r>
      <w:r>
        <w:rPr>
          <w:rFonts w:ascii="Times New Roman" w:hAnsi="Times New Roman"/>
          <w:color w:val="000000"/>
          <w:sz w:val="24"/>
          <w:szCs w:val="24"/>
        </w:rPr>
        <w:t xml:space="preserve"> данных, в том числе до обработки персональных данных, предоставлять Лицензиату документы и иную информацию, подтверждающие принятие мер и соблюдение в целях исполнения поручения Лицензиата требований, установленных Федеральным законом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 xml:space="preserve"> от 27.07.2006 № 152-ФЗ «О персональных данных»;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6.6.2. своевременно уведомлять Лицензиата о случаях установления факта неправомерной или случайной передачи (предоставления, распространения, доступа) персональных данных, повлекшей нарушение прав субъектов </w:t>
      </w:r>
      <w:r>
        <w:rPr>
          <w:rFonts w:ascii="Times New Roman" w:hAnsi="Times New Roman"/>
          <w:color w:val="000000"/>
          <w:sz w:val="24"/>
          <w:szCs w:val="24"/>
        </w:rPr>
        <w:t>персональных данных.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6.7. Принимая условия Лицензионного договора, Лицензиат заверяет (по смыслу ст. 431.2 Гражданского кодекса Российской Федерации) о наличии согласий субъектов персональных данных – уполномоченных лиц Лицензиата, контактные данные (ФИО, </w:t>
      </w:r>
      <w:r>
        <w:rPr>
          <w:rFonts w:ascii="Times New Roman" w:hAnsi="Times New Roman"/>
          <w:color w:val="000000"/>
          <w:sz w:val="24"/>
          <w:szCs w:val="24"/>
        </w:rPr>
        <w:t>номер телефона, адрес электронной почты) которых передаются Лицензиатом Лицензиару, на обработку принадлежащих им персональных данных, в том числе на передачу персональных данных Лицензиару и Сервисным центрам в целях исполнения Лицензионного договора, вкл</w:t>
      </w:r>
      <w:r>
        <w:rPr>
          <w:rFonts w:ascii="Times New Roman" w:hAnsi="Times New Roman"/>
          <w:color w:val="000000"/>
          <w:sz w:val="24"/>
          <w:szCs w:val="24"/>
        </w:rPr>
        <w:t>ючая совершение массовых и (или) автоматических вызовов (все вызовы Лицензиара, совершаемые с его АТС).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7. Финансовые условия, порядок приемки предоставленных прав, оказанных услуг и выполненных работ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7.1. Лицензионное вознаграждение за право использования</w:t>
      </w:r>
      <w:r>
        <w:rPr>
          <w:rFonts w:ascii="Times New Roman" w:hAnsi="Times New Roman"/>
          <w:color w:val="000000"/>
          <w:sz w:val="24"/>
          <w:szCs w:val="24"/>
        </w:rPr>
        <w:t xml:space="preserve"> программы для ЭВМ определяется Прайс-листом Лицензиара и устанавливается в Спецификации или в выставленном Лицензиаром счете на оплату. 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Лицензионное вознаграждение не может превышать </w:t>
      </w:r>
      <w:r>
        <w:rPr>
          <w:rFonts w:ascii="Times New Roman" w:hAnsi="Times New Roman"/>
          <w:b/>
          <w:color w:val="000000"/>
          <w:sz w:val="24"/>
          <w:szCs w:val="24"/>
        </w:rPr>
        <w:t>48 000 (сорок восемь тысяч рублей) 00 копеек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Реализация права использо</w:t>
      </w:r>
      <w:r>
        <w:rPr>
          <w:rFonts w:ascii="Times New Roman" w:hAnsi="Times New Roman"/>
          <w:color w:val="000000"/>
          <w:sz w:val="24"/>
          <w:szCs w:val="24"/>
        </w:rPr>
        <w:t>вания программ для ЭВМ, внесенных в единый реестр российских программ для электронных вычислительных машин и баз данных, НДС не облагается на основании подп. 26 п. 2 ст. 149 Налогового кодекса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7.2. Счет, УПД могут быть отправлены Лице</w:t>
      </w:r>
      <w:r>
        <w:rPr>
          <w:rFonts w:ascii="Times New Roman" w:hAnsi="Times New Roman"/>
          <w:color w:val="000000"/>
          <w:sz w:val="24"/>
          <w:szCs w:val="24"/>
        </w:rPr>
        <w:t>нзиату электронной почтой, заказным почтовым отправлением, в электронном виде, подписанные электронной подписью.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7.3. Все расчеты по Лицензионному договору осуществляются в российских рублях путем безналичного перечисления денежных средств Лицензиатом плат</w:t>
      </w:r>
      <w:r>
        <w:rPr>
          <w:rFonts w:ascii="Times New Roman" w:hAnsi="Times New Roman"/>
          <w:color w:val="000000"/>
          <w:sz w:val="24"/>
          <w:szCs w:val="24"/>
        </w:rPr>
        <w:t>ежными поручениями на расчетный счет Лицензиара.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7.4. Обязанность Лицензиата по оплате счета считается исполненной Лицензиатом после поступления денежных средств на расчетный счет Лицензиара.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7.5. Лицензиат обязан оплатить счет, выставленный Лицензиаром, в</w:t>
      </w:r>
      <w:r>
        <w:rPr>
          <w:rFonts w:ascii="Times New Roman" w:hAnsi="Times New Roman"/>
          <w:color w:val="000000"/>
          <w:sz w:val="24"/>
          <w:szCs w:val="24"/>
        </w:rPr>
        <w:t xml:space="preserve"> течение 10 (десяти) рабочих дней с момента его получения путем перечисления 30% суммы, указанной в счете. Оставшиеся 70% Лицензиат обязан оплатить в течение 10 (десяти) рабочих дней с даты, указанной в УПД. Отсутствие оплаты счета в указанный срок являетс</w:t>
      </w:r>
      <w:r>
        <w:rPr>
          <w:rFonts w:ascii="Times New Roman" w:hAnsi="Times New Roman"/>
          <w:color w:val="000000"/>
          <w:sz w:val="24"/>
          <w:szCs w:val="24"/>
        </w:rPr>
        <w:t>я основанием для блокирования доступа Лицензиату к Контур.Страхованию. Возобновление доступа возможно только при полном погашении задолженности.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7.6. Стороны подтверждают исполнение обязательств по Лицензионному договору путем подписания УПД. Лицензиат обя</w:t>
      </w:r>
      <w:r>
        <w:rPr>
          <w:rFonts w:ascii="Times New Roman" w:hAnsi="Times New Roman"/>
          <w:color w:val="000000"/>
          <w:sz w:val="24"/>
          <w:szCs w:val="24"/>
        </w:rPr>
        <w:t>зан вернуть Лицензиару подписанный экземпляр УПД до момента окончания срока, установленного пп. 7.8−7.9 Лицензионного договора.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7.7. В случае отсутствия в течение 10 (десяти) рабочих дней с момента получения Лицензиаром оплаты 30% стоимости счета или начал</w:t>
      </w:r>
      <w:r>
        <w:rPr>
          <w:rFonts w:ascii="Times New Roman" w:hAnsi="Times New Roman"/>
          <w:color w:val="000000"/>
          <w:sz w:val="24"/>
          <w:szCs w:val="24"/>
        </w:rPr>
        <w:t>а использования Лицензиатом Контур.Страхования (в зависимости от того, какое событие наступило ранее) мотивированного отказа в письменном виде от приемки предоставленных прав использования Контур.Страхования, СКЗИ (за исключением Лицензий в составе Сертифи</w:t>
      </w:r>
      <w:r>
        <w:rPr>
          <w:rFonts w:ascii="Times New Roman" w:hAnsi="Times New Roman"/>
          <w:color w:val="000000"/>
          <w:sz w:val="24"/>
          <w:szCs w:val="24"/>
        </w:rPr>
        <w:t xml:space="preserve">ката/встроенных в ключевой контейнер), API-лицензий Контур.Страхования,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права на получение услуг по сопровождению (технической поддержке в виде абонентского обслуживания), а также иных услуг в виде абонентского обслуживания, модулей Контур.Страхования (за </w:t>
      </w:r>
      <w:r>
        <w:rPr>
          <w:rFonts w:ascii="Times New Roman" w:hAnsi="Times New Roman"/>
          <w:color w:val="000000"/>
          <w:sz w:val="24"/>
          <w:szCs w:val="24"/>
        </w:rPr>
        <w:t>исключением указанных в п. 7.9 Лицензионного договора) переданные права признаются принятыми Лицензиатом в полном объеме без замечаний.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7.8. В случае отсутствия в течение 10 (десяти) рабочих дней с момента получения Лицензиатом УПД мотивированного отказа в</w:t>
      </w:r>
      <w:r>
        <w:rPr>
          <w:rFonts w:ascii="Times New Roman" w:hAnsi="Times New Roman"/>
          <w:color w:val="000000"/>
          <w:sz w:val="24"/>
          <w:szCs w:val="24"/>
        </w:rPr>
        <w:t xml:space="preserve"> письменном виде от приемки разовых услуг и/или выполнения работ, предоставленных прав использования интеграционных модулей, а также Лицензий СКЗИ в составе Сертификата ключа/встроенных в ключевой контейнер оказанные Лицензиаром услуги/выполненные работы, </w:t>
      </w:r>
      <w:r>
        <w:rPr>
          <w:rFonts w:ascii="Times New Roman" w:hAnsi="Times New Roman"/>
          <w:color w:val="000000"/>
          <w:sz w:val="24"/>
          <w:szCs w:val="24"/>
        </w:rPr>
        <w:t>переданные права признаются принятыми Лицензиатом в полном объеме без замечаний. При этом разовыми являются услуги, оказываемые не в виде абонентского обслуживания.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7.9. Мотивированный отказ от приемки прав, услуг/работ может быть отправлен Лицензиару элек</w:t>
      </w:r>
      <w:r>
        <w:rPr>
          <w:rFonts w:ascii="Times New Roman" w:hAnsi="Times New Roman"/>
          <w:color w:val="000000"/>
          <w:sz w:val="24"/>
          <w:szCs w:val="24"/>
        </w:rPr>
        <w:t>тронной почтой с последующим отправлением оригинала по почте, либо в электронном виде, подписанный электронной подписью. После истечения срока, указанного для мотивированного отказа, лицензионное вознаграждение, оплаченное Лицензиатом, возврату не подлежит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7.10. При одностороннем отказе Лицензиата от оказания услуг на основании пункта 1 статьи 782 Гражданского кодекса Российской Федерации Лицензиар вправе удержать плату за отказ в размере 20% от стоимости услуг на основании пункта 3 статьи 310 Гражданского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кодекса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7.11. При одностороннем отказе Лицензиата от выполнения работ на основании статьи 717 Гражданского кодекса Российской Федерации Лицензиар вправе на выбор удержать часть установленной цены за работы пропорционально части, выпо</w:t>
      </w:r>
      <w:r>
        <w:rPr>
          <w:rFonts w:ascii="Times New Roman" w:hAnsi="Times New Roman"/>
          <w:color w:val="000000"/>
          <w:sz w:val="24"/>
          <w:szCs w:val="24"/>
        </w:rPr>
        <w:t>лненной до получения извещения об отказе от работ, либо удержать плату за отказ в размере 20% от стоимости работ на основании пункта 3 статьи 310 Гражданского кодекса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7.12. В случае если на момент одностороннего отказа от оказания усл</w:t>
      </w:r>
      <w:r>
        <w:rPr>
          <w:rFonts w:ascii="Times New Roman" w:hAnsi="Times New Roman"/>
          <w:color w:val="000000"/>
          <w:sz w:val="24"/>
          <w:szCs w:val="24"/>
        </w:rPr>
        <w:t>уг/выполнения работ Лицензиатом внесена предоплата, данная сумма засчитывается Лицензиаром в качестве платы за часть установленной цены пропорционально части выполненной работы или платы за отказ и в установленном для них размере не подлежит возврату Лицен</w:t>
      </w:r>
      <w:r>
        <w:rPr>
          <w:rFonts w:ascii="Times New Roman" w:hAnsi="Times New Roman"/>
          <w:color w:val="000000"/>
          <w:sz w:val="24"/>
          <w:szCs w:val="24"/>
        </w:rPr>
        <w:t>зиату. Иной размер платы за отказ или порядок её исчисления для отдельных видов услуг/работ могут быть установлены Прайс-листом.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8. Ответственность Сторон. Информационная безопасность и конфиденциальность информации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8.1. За неисполнение или ненадлежащее исполнение обязательств по Лицензионному договору Стороны будут нести ответственность в соответствии с законодательством Российской Федерации и условиями Лицензионного договора.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8.2. Стороны будут нести ответственность</w:t>
      </w:r>
      <w:r>
        <w:rPr>
          <w:rFonts w:ascii="Times New Roman" w:hAnsi="Times New Roman"/>
          <w:color w:val="000000"/>
          <w:sz w:val="24"/>
          <w:szCs w:val="24"/>
        </w:rPr>
        <w:t xml:space="preserve"> за несоблюдение конфиденциальности информации в соответствии с законодательством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8.3. Лицензиар будет нести ответственность за невыполнение обязанностей оператора электронного документооборота в размере реально причиненного ущерба, п</w:t>
      </w:r>
      <w:r>
        <w:rPr>
          <w:rFonts w:ascii="Times New Roman" w:hAnsi="Times New Roman"/>
          <w:color w:val="000000"/>
          <w:sz w:val="24"/>
          <w:szCs w:val="24"/>
        </w:rPr>
        <w:t>ри наличии вины Лицензиара.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8.4. Лицензиар не будет нести ответственность за отсутствие у Лицензиата подключения к сети Интернет, за функционирование Контур.Страхования и/или СКЗИ на неисправном компьютере, либо компьютере, зараженном каким-либо компьютерн</w:t>
      </w:r>
      <w:r>
        <w:rPr>
          <w:rFonts w:ascii="Times New Roman" w:hAnsi="Times New Roman"/>
          <w:color w:val="000000"/>
          <w:sz w:val="24"/>
          <w:szCs w:val="24"/>
        </w:rPr>
        <w:t>ым вирусом, а также при использовании Лицензиатом нелицензионного программного обеспечения.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8.5. Лицензиар не будет нести ответственность за содержание и достоверность информации Лицензиата, циркулирующей в Контур.Страховании.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8.6. Лицензиар не будет нести</w:t>
      </w:r>
      <w:r>
        <w:rPr>
          <w:rFonts w:ascii="Times New Roman" w:hAnsi="Times New Roman"/>
          <w:color w:val="000000"/>
          <w:sz w:val="24"/>
          <w:szCs w:val="24"/>
        </w:rPr>
        <w:t xml:space="preserve"> ответственность за прямые или косвенные убытки, включая упущенную выгоду, возникшие в результате применения Контур.Страхования, за исключением случаев, прямо установленных Лицензионным договором.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8.7. Лицензиар не будет нести ответственность за невозможность использования Контур.Страхования по причинам, не зависящим от Лицензиара.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8.8. Все возможные убытки, которые будет нести Конечный пользователь, при невозможности использования Контур.Страховани</w:t>
      </w:r>
      <w:r>
        <w:rPr>
          <w:rFonts w:ascii="Times New Roman" w:hAnsi="Times New Roman"/>
          <w:color w:val="000000"/>
          <w:sz w:val="24"/>
          <w:szCs w:val="24"/>
        </w:rPr>
        <w:t>я по причинам, не зависящим от Лицензиара, в том числе при несвоевременном уведомлении Лицензиара Лицензиатом об изменении списка Конечных пользователей или несвоевременной оплате Лицензиатом лицензионного вознаграждения, возлагаются на Ли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8.9. Ли</w:t>
      </w:r>
      <w:r>
        <w:rPr>
          <w:rFonts w:ascii="Times New Roman" w:hAnsi="Times New Roman"/>
          <w:color w:val="000000"/>
          <w:sz w:val="24"/>
          <w:szCs w:val="24"/>
        </w:rPr>
        <w:t>цензиар не будет нести ответственность за ущерб, понесенный Лицензиатом в результате несоблюдения им Положения ПКЗ-2005 и Правил по обеспечению информационной безопасности на рабочем месте.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8.10. Лицензиар не будет нести ответственность за обеспечение дост</w:t>
      </w:r>
      <w:r>
        <w:rPr>
          <w:rFonts w:ascii="Times New Roman" w:hAnsi="Times New Roman"/>
          <w:color w:val="000000"/>
          <w:sz w:val="24"/>
          <w:szCs w:val="24"/>
        </w:rPr>
        <w:t>оверности, полноты, точности и актуальности персональных данных, размещенных Лицензиатом. Все полученные от Лицензиата персональные данные обрабатываются в том виде, в каком они были получены.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8.11. Лицензиар обязуется соблюдать конфиденциальность персонал</w:t>
      </w:r>
      <w:r>
        <w:rPr>
          <w:rFonts w:ascii="Times New Roman" w:hAnsi="Times New Roman"/>
          <w:color w:val="000000"/>
          <w:sz w:val="24"/>
          <w:szCs w:val="24"/>
        </w:rPr>
        <w:t>ьных данных, ставших ему известными при регистрации Лицензиата, в ходе оказания услуг, при проведении профилактических работ на сервере Контур.Страхования или иным образом.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8.12. Лицензиар не будет нести ответственность за некорректную работу модулей Конту</w:t>
      </w:r>
      <w:r>
        <w:rPr>
          <w:rFonts w:ascii="Times New Roman" w:hAnsi="Times New Roman"/>
          <w:color w:val="000000"/>
          <w:sz w:val="24"/>
          <w:szCs w:val="24"/>
        </w:rPr>
        <w:t>р.Страхования при их самостоятельной модификации, адаптации или доработке Лицензиатом.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8.13. Лицензиар не будет нести ответственность за несоблюдение Лицензиатом организационных и иных мер, приведшее к неправомерному или случайному доступу к персональным д</w:t>
      </w:r>
      <w:r>
        <w:rPr>
          <w:rFonts w:ascii="Times New Roman" w:hAnsi="Times New Roman"/>
          <w:color w:val="000000"/>
          <w:sz w:val="24"/>
          <w:szCs w:val="24"/>
        </w:rPr>
        <w:t>анным лиц, не уполномоченных Лицензиатом на обработку персональных данных, а также повлекшее их уничтожение, изменение, блокирование, копирование или распространение, а также иные неправомерные действия со стороны работников Лицензиата и/или третьих лиц.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>
        <w:rPr>
          <w:rFonts w:ascii="Times New Roman" w:hAnsi="Times New Roman"/>
          <w:color w:val="000000"/>
          <w:sz w:val="24"/>
          <w:szCs w:val="24"/>
        </w:rPr>
        <w:t>.14. Лицензиар не будет нести ответственность за возникшие у Лицензиата убытки, вызванные техническими проблемами, в случае если Лицензиат нарушит обязательство, установленное п. 5.3.8 Лицензионного договора.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8.15. Лицензиар не будет нести ответственность </w:t>
      </w:r>
      <w:r>
        <w:rPr>
          <w:rFonts w:ascii="Times New Roman" w:hAnsi="Times New Roman"/>
          <w:color w:val="000000"/>
          <w:sz w:val="24"/>
          <w:szCs w:val="24"/>
        </w:rPr>
        <w:t>за действия, совершаемые пользователями Лицензиата в Контур.Страховании.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8.16. Совокупный размер ответственности Лицензиара, включая любые убытки (в случае если Лицензиат в конкретном случае имеет право на их возмещение), не может превышать стоимость прав,</w:t>
      </w:r>
      <w:r>
        <w:rPr>
          <w:rFonts w:ascii="Times New Roman" w:hAnsi="Times New Roman"/>
          <w:color w:val="000000"/>
          <w:sz w:val="24"/>
          <w:szCs w:val="24"/>
        </w:rPr>
        <w:t xml:space="preserve"> услуг и работ, которые были реализованы Лицензиаром Лицензиату по Лицензионному договору в течение одного года, предшествующего моменту возникновения убытков.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8.17. Стороны обязуются соблюдать конфиденциальность информации, отнесенной ими к коммерческой т</w:t>
      </w:r>
      <w:r>
        <w:rPr>
          <w:rFonts w:ascii="Times New Roman" w:hAnsi="Times New Roman"/>
          <w:color w:val="000000"/>
          <w:sz w:val="24"/>
          <w:szCs w:val="24"/>
        </w:rPr>
        <w:t>айне в соответствии с законодательством Российской Федерации и ставшей известной Сторонам в процессе исполнения Лицензионного договора.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8.18. Факт заключения Лицензионного договора не является конфиденциальной информацией.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8.19. Стороны освобождаются от от</w:t>
      </w:r>
      <w:r>
        <w:rPr>
          <w:rFonts w:ascii="Times New Roman" w:hAnsi="Times New Roman"/>
          <w:color w:val="000000"/>
          <w:sz w:val="24"/>
          <w:szCs w:val="24"/>
        </w:rPr>
        <w:t>ветственности за неисполнение или ненадлежащее исполнение условий Лицензионного договора в случае наступления обстоятельств непреодолимой силы (форс-мажор), определяемых в соответствии с законодательством Российской Федерации, если они предъявят доказатель</w:t>
      </w:r>
      <w:r>
        <w:rPr>
          <w:rFonts w:ascii="Times New Roman" w:hAnsi="Times New Roman"/>
          <w:color w:val="000000"/>
          <w:sz w:val="24"/>
          <w:szCs w:val="24"/>
        </w:rPr>
        <w:t xml:space="preserve">ства того, что эти обстоятельства воспрепятствовали исполнению обязательств по Лицензионному договору, такими доказательствами являются документы компетентных органов Российской Федерации. С момента устранения обстоятельств непреодолимой силы Лицензионный </w:t>
      </w:r>
      <w:r>
        <w:rPr>
          <w:rFonts w:ascii="Times New Roman" w:hAnsi="Times New Roman"/>
          <w:color w:val="000000"/>
          <w:sz w:val="24"/>
          <w:szCs w:val="24"/>
        </w:rPr>
        <w:t>договор действует в обычном порядке.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9. Срок и территория действия. Внесение изменений в условия Лицензионного договора. Порядок рассмотрения споров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9.1. Лицензионный договор действует на всей территории Российской Федерации.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9.2. </w:t>
      </w:r>
      <w:r>
        <w:rPr>
          <w:rFonts w:ascii="Times New Roman" w:hAnsi="Times New Roman"/>
          <w:color w:val="000000"/>
          <w:sz w:val="24"/>
        </w:rPr>
        <w:t>Лицензионный договор всту</w:t>
      </w:r>
      <w:r>
        <w:rPr>
          <w:rFonts w:ascii="Times New Roman" w:hAnsi="Times New Roman"/>
          <w:color w:val="000000"/>
          <w:sz w:val="24"/>
        </w:rPr>
        <w:t>пает в силу с момента принятия условий Лицензионного договора и действует до конца действия тарифного плана (неисключительных прав) предоставленного Лицензиаром.</w:t>
      </w:r>
      <w:r>
        <w:rPr>
          <w:rFonts w:ascii="Times New Roman" w:hAnsi="Times New Roman"/>
          <w:color w:val="000000"/>
          <w:sz w:val="24"/>
          <w:szCs w:val="24"/>
        </w:rPr>
        <w:t xml:space="preserve"> Под принятием условий Лицензионного договора Стороны понимают: подписание Лицензиатом Лицензио</w:t>
      </w:r>
      <w:r>
        <w:rPr>
          <w:rFonts w:ascii="Times New Roman" w:hAnsi="Times New Roman"/>
          <w:color w:val="000000"/>
          <w:sz w:val="24"/>
          <w:szCs w:val="24"/>
        </w:rPr>
        <w:t>нного договора, фактическое использование Лицензиатом Контур.Страхования, оплату Лицензиатом выставленного Лицензиаром счета в зависимости от того, какое из этих событий наступит раньше.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9.3. В случае нарушения Лицензиатом условий Лицензионного договора Ли</w:t>
      </w:r>
      <w:r>
        <w:rPr>
          <w:rFonts w:ascii="Times New Roman" w:hAnsi="Times New Roman"/>
          <w:color w:val="000000"/>
          <w:sz w:val="24"/>
          <w:szCs w:val="24"/>
        </w:rPr>
        <w:t>цензиар вправе досрочно расторгнуть Лицензионный договор и незамедлительно блокировать доступ к серверу или блокировать ключ разработчика без предварительного уведомления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9.4. Досрочное расторжение Лицензионного договора не освобождает Лицензиа</w:t>
      </w:r>
      <w:r>
        <w:rPr>
          <w:rFonts w:ascii="Times New Roman" w:hAnsi="Times New Roman"/>
          <w:color w:val="000000"/>
          <w:sz w:val="24"/>
          <w:szCs w:val="24"/>
        </w:rPr>
        <w:t>та от исполнения обязанности по оплате лицензионного вознаграждения.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9.5. Любые изменения и/или дополнения к Лицензионному договору, за исключением случаев, указанных в п. 1.5 Лицензионного договора, оформляются дополнительным соглашением, которое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>подписыв</w:t>
      </w:r>
      <w:r>
        <w:rPr>
          <w:rFonts w:ascii="Times New Roman" w:hAnsi="Times New Roman"/>
          <w:color w:val="000000"/>
          <w:sz w:val="24"/>
          <w:szCs w:val="24"/>
        </w:rPr>
        <w:t>ается Сторонами в том же порядке, что и Лицензионный договор.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9.6. Все споры и разногласия, возникающие в связи с исполнением и (или) толкованием Лицензионного договора, разрешаются Сторонами путем переговоров. При невозможности урегулирования Сторонами во</w:t>
      </w:r>
      <w:r>
        <w:rPr>
          <w:rFonts w:ascii="Times New Roman" w:hAnsi="Times New Roman"/>
          <w:color w:val="000000"/>
          <w:sz w:val="24"/>
          <w:szCs w:val="24"/>
        </w:rPr>
        <w:t>зникших разногласий путем переговоров спор подлежит разрешению в арбитражном суде по месту нахождения ответчика с обязательным соблюдением претензионного порядка урегулирования споров и разногласий. Срок ответа на претензию составляет 30 (тридцать) календа</w:t>
      </w:r>
      <w:r>
        <w:rPr>
          <w:rFonts w:ascii="Times New Roman" w:hAnsi="Times New Roman"/>
          <w:color w:val="000000"/>
          <w:sz w:val="24"/>
          <w:szCs w:val="24"/>
        </w:rPr>
        <w:t>рных дней с момента ее поступления в письменной форме или в электронном виде, подписанной электронной подписью.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10. Заверения об обстоятельствах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10.1. Каждая из Сторон заявляет и подтверждает другой Стороне, что на момент заключения Лицензионного договора: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является надлежащим образом зарегистрированным юридическим лицом/индивидуальным предпринимателем, состоит на налоговом учете и правомерно осуществляет свою деятельность в соответствии с законодательством Российской Федерации;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– </w:t>
      </w:r>
      <w:r>
        <w:rPr>
          <w:rFonts w:ascii="Times New Roman" w:hAnsi="Times New Roman"/>
          <w:color w:val="000000"/>
          <w:sz w:val="24"/>
          <w:szCs w:val="24"/>
        </w:rPr>
        <w:t>фактически находится по адресу, указанному в ЕГРЮЛ/ЕГРИП;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располагает полномочиями, денежными, материальными и трудовыми ресурсами, а также прочими условиями, необходимыми для заключения Лицензионного договора и исполнения обязательств по нему;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все пол</w:t>
      </w:r>
      <w:r>
        <w:rPr>
          <w:rFonts w:ascii="Times New Roman" w:hAnsi="Times New Roman"/>
          <w:color w:val="000000"/>
          <w:sz w:val="24"/>
          <w:szCs w:val="24"/>
        </w:rPr>
        <w:t>номочия, необходимые для заключения Лицензионного договора и/или осуществления в связи с ним действий, получены должным образом, в том числе получены все необходимые согласия, разрешения, одобрения в соответствии с законодательством.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10.2. Стороны подтверж</w:t>
      </w:r>
      <w:r>
        <w:rPr>
          <w:rFonts w:ascii="Times New Roman" w:hAnsi="Times New Roman"/>
          <w:color w:val="000000"/>
          <w:sz w:val="24"/>
          <w:szCs w:val="24"/>
        </w:rPr>
        <w:t>дают, что: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Лицензионный договор заключается добровольно, Стороны не введены в заблуждение относительно правовой природы сделки и/или правовых последствий, которые возникают или могут возникнуть в связи с заключением Лицензионного договора;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Лицензионный</w:t>
      </w:r>
      <w:r>
        <w:rPr>
          <w:rFonts w:ascii="Times New Roman" w:hAnsi="Times New Roman"/>
          <w:color w:val="000000"/>
          <w:sz w:val="24"/>
          <w:szCs w:val="24"/>
        </w:rPr>
        <w:t xml:space="preserve"> договор не нарушает какие-либо права на объекты интеллектуальной собственности или иные имущественные права какого-либо третьего лица;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Лицензионный договор заключается в соответствии с законодательством Российской Федерации и не является сделкой, в сове</w:t>
      </w:r>
      <w:r>
        <w:rPr>
          <w:rFonts w:ascii="Times New Roman" w:hAnsi="Times New Roman"/>
          <w:color w:val="000000"/>
          <w:sz w:val="24"/>
          <w:szCs w:val="24"/>
        </w:rPr>
        <w:t>ршении которой имеется заинтересованность;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исполнение Лицензионного договора не влечет за собой нарушение или неисполнение положений каких-либо иных договоров, соглашений, судебных и иных запретов или постановлений.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10.3. Сторона, полагавшаяся на недосто</w:t>
      </w:r>
      <w:r>
        <w:rPr>
          <w:rFonts w:ascii="Times New Roman" w:hAnsi="Times New Roman"/>
          <w:color w:val="000000"/>
          <w:sz w:val="24"/>
          <w:szCs w:val="24"/>
        </w:rPr>
        <w:t>верные заверения другой Стороны, вправе досрочно расторгнуть Лицензионный договор, независимо от наличия или отсутствия у нее убытков, а также потребовать возмещение убытков, причиненных недостоверностью таких заверений.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11. Дополнительные условия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11.1. Пр</w:t>
      </w:r>
      <w:r>
        <w:rPr>
          <w:rFonts w:ascii="Times New Roman" w:hAnsi="Times New Roman"/>
          <w:color w:val="000000"/>
          <w:sz w:val="24"/>
          <w:szCs w:val="24"/>
        </w:rPr>
        <w:t>иложениями к Лицензионному договору являются: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Техническое задание;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Спецификация;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– Список конечных пользователей;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11.2. Стороны договорились о возможности использования факсимиле подписи уполномоченного лица Лицензиара для подписания Лицензионного договора и документов, необходимых для заключения и исполнения Лицензионного договора, в качестве аналога собственноручной</w:t>
      </w:r>
      <w:r>
        <w:rPr>
          <w:rFonts w:ascii="Times New Roman" w:hAnsi="Times New Roman"/>
          <w:color w:val="000000"/>
          <w:sz w:val="24"/>
          <w:szCs w:val="24"/>
        </w:rPr>
        <w:t xml:space="preserve"> подписи, равнозначного собственноручной подписи. При этом указанные документы имеют такую же юридическую силу, какую бы имели документы, подписанные уполномоченным лицом Лицензиара собственноручно на основании пункта 2 статьи 160 Гражданского кодекса Росс</w:t>
      </w:r>
      <w:r>
        <w:rPr>
          <w:rFonts w:ascii="Times New Roman" w:hAnsi="Times New Roman"/>
          <w:color w:val="000000"/>
          <w:sz w:val="24"/>
          <w:szCs w:val="24"/>
        </w:rPr>
        <w:t>ийской Федерации. Кроме того, Стороны могут использовать для указанных целей квалифицированные электронные подписи Сторон (или их уполномоченных физических лиц), условия признания которых установлены ст. 11 Федерального закона от 06.04.2011 № 63-ФЗ «Об эле</w:t>
      </w:r>
      <w:r>
        <w:rPr>
          <w:rFonts w:ascii="Times New Roman" w:hAnsi="Times New Roman"/>
          <w:color w:val="000000"/>
          <w:sz w:val="24"/>
          <w:szCs w:val="24"/>
        </w:rPr>
        <w:t>ктронной подписи», в рамках электронного документооборота в Контур.Диадоке. Использование Контур.Диадока для целей обмена электронными документами с Лицензиаром в рамках Лицензионного договора не будет тарифицироваться для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11.3. Стороны вправе </w:t>
      </w:r>
      <w:r>
        <w:rPr>
          <w:rFonts w:ascii="Times New Roman" w:hAnsi="Times New Roman"/>
          <w:color w:val="000000"/>
          <w:sz w:val="24"/>
          <w:szCs w:val="24"/>
        </w:rPr>
        <w:t>использовать фирменные наименования друг друга, коммерческие обозначения, товарные знаки и другие идентифицирующие знаки Сторон, а также информацию о факте за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ключения Лицензионного договора для целей публикации на сайтах Сторон, публикации и цитирования в </w:t>
      </w:r>
      <w:r>
        <w:rPr>
          <w:rFonts w:ascii="Times New Roman" w:hAnsi="Times New Roman"/>
          <w:color w:val="000000"/>
          <w:sz w:val="24"/>
          <w:szCs w:val="24"/>
        </w:rPr>
        <w:t>прессе, использования в маркетинговых материалах, а также в корпоративных изданиях: буклетах о компании, примерах, решениях и т.д.; ссылок друг на друга в интервью и презентациях.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11.4. Принимая условия Лицензионного договора, Лицензиат дает согласие на по</w:t>
      </w:r>
      <w:r>
        <w:rPr>
          <w:rFonts w:ascii="Times New Roman" w:hAnsi="Times New Roman"/>
          <w:color w:val="000000"/>
          <w:sz w:val="24"/>
          <w:szCs w:val="24"/>
        </w:rPr>
        <w:t>лучение дополнительной информации и информационных рассылок по указанному при регистрации, а также предоставленному Лицензиару в ходе исполнения Лицензионного договора адресу электронной почты и телефону.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11.5. Принимая условия Лицензионного договора, Лице</w:t>
      </w:r>
      <w:r>
        <w:rPr>
          <w:rFonts w:ascii="Times New Roman" w:hAnsi="Times New Roman"/>
          <w:color w:val="000000"/>
          <w:sz w:val="24"/>
          <w:szCs w:val="24"/>
        </w:rPr>
        <w:t>нзиат подтверждает наличие у него законных оснований для обработки с использованием Контур.Страхования принадлежащей ему информации.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11.6. Стороны обязуются информировать друг друга в течение 15 (пятнадцати) календарных дней об изменении своих реквизитов, </w:t>
      </w:r>
      <w:r>
        <w:rPr>
          <w:rFonts w:ascii="Times New Roman" w:hAnsi="Times New Roman"/>
          <w:color w:val="000000"/>
          <w:sz w:val="24"/>
          <w:szCs w:val="24"/>
        </w:rPr>
        <w:t>указанных в Лицензионном договоре и возможных приложениях к нему, а также о любых решениях, касающихся их ликвидации, реорганизации как юридического лица. В случае неисполнения указанного обязательства одной из Сторон другая Сторона не несет ответственност</w:t>
      </w:r>
      <w:r>
        <w:rPr>
          <w:rFonts w:ascii="Times New Roman" w:hAnsi="Times New Roman"/>
          <w:color w:val="000000"/>
          <w:sz w:val="24"/>
          <w:szCs w:val="24"/>
        </w:rPr>
        <w:t>и за вызванные таким неисполнением последствия.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11.7. Принимая условия Лицензионного договора, Лицензиат соглашается на массовые и (или) автоматические телефонные вызовы (все вызовы Лицензиара, совершаемые с его АТС), получение сообщений в мессенджеры, а т</w:t>
      </w:r>
      <w:r>
        <w:rPr>
          <w:rFonts w:ascii="Times New Roman" w:hAnsi="Times New Roman"/>
          <w:color w:val="000000"/>
          <w:sz w:val="24"/>
          <w:szCs w:val="24"/>
        </w:rPr>
        <w:t>акже на получение голосовых и текстовых сообщений с использованием голосовых роботов, чат-ботов и почтовых ботов Лицензиара на номер подвижной мобильной связи или адрес электронной почты, с которых произведено обращение, либо указанные уполномоченным лицом</w:t>
      </w:r>
      <w:r>
        <w:rPr>
          <w:rFonts w:ascii="Times New Roman" w:hAnsi="Times New Roman"/>
          <w:color w:val="000000"/>
          <w:sz w:val="24"/>
          <w:szCs w:val="24"/>
        </w:rPr>
        <w:t xml:space="preserve"> Лицензиата. Согласие распространяется в том числе, но не ограничиваясь на информирование о результатах обращения в Федеральный контакт-центр Лицензиара, о результатах выполнения работ, оказания услуг, о необходимости обновления/проведения необходимых дора</w:t>
      </w:r>
      <w:r>
        <w:rPr>
          <w:rFonts w:ascii="Times New Roman" w:hAnsi="Times New Roman"/>
          <w:color w:val="000000"/>
          <w:sz w:val="24"/>
          <w:szCs w:val="24"/>
        </w:rPr>
        <w:t>боток интеграционных модулей.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11.8. Лицензиат подтверждает, что по смыслу п. 4 ст. 185 Гражданского кодекса Российской Федерации все действия, совершаемые пользователями Лицензиата в Контур.Страховании, признаются Сторонами совершаемыми от имени и в интере</w:t>
      </w:r>
      <w:r>
        <w:rPr>
          <w:rFonts w:ascii="Times New Roman" w:hAnsi="Times New Roman"/>
          <w:color w:val="000000"/>
          <w:sz w:val="24"/>
          <w:szCs w:val="24"/>
        </w:rPr>
        <w:t>сах Лицензиата.</w:t>
      </w: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11.9. Лицензиар вправе, в том числе в случае изменения требований законодательства или появления необходимости урегулирования отношений Сторон, которые не были урегулированы на момент заключения Лицензионного договора, вносить изменения в д</w:t>
      </w:r>
      <w:r>
        <w:rPr>
          <w:rFonts w:ascii="Times New Roman" w:hAnsi="Times New Roman"/>
          <w:color w:val="000000"/>
          <w:sz w:val="24"/>
          <w:szCs w:val="24"/>
        </w:rPr>
        <w:t>оговор-оферту, публикуемый в Контур.Страховании. В таком случае к отношениям Сторон в этой части будут применяться условия оферты с момента ее публикации с изменениями. Такие изменения не могут вводить новые меры ответственности и иным явным образом ухудша</w:t>
      </w:r>
      <w:r>
        <w:rPr>
          <w:rFonts w:ascii="Times New Roman" w:hAnsi="Times New Roman"/>
          <w:color w:val="000000"/>
          <w:sz w:val="24"/>
          <w:szCs w:val="24"/>
        </w:rPr>
        <w:t>ть положение Лицензиата.</w:t>
      </w:r>
    </w:p>
    <w:p w:rsidR="0042130F" w:rsidRDefault="0042130F">
      <w:pPr>
        <w:widowControl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1002A" w:rsidRDefault="00A736F1">
      <w:pPr>
        <w:widowControl w:val="0"/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12. Реквизиты и подписи Сторон</w:t>
      </w:r>
    </w:p>
    <w:tbl>
      <w:tblPr>
        <w:tblW w:w="103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8"/>
        <w:gridCol w:w="5186"/>
      </w:tblGrid>
      <w:tr w:rsidR="0081002A">
        <w:tc>
          <w:tcPr>
            <w:tcW w:w="5187" w:type="dxa"/>
          </w:tcPr>
          <w:p w:rsidR="0081002A" w:rsidRDefault="00A736F1">
            <w:pPr>
              <w:widowControl w:val="0"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ЛИЦЕНЗИАТ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ГБУЗ ЛО "ГАТЧИНСКАЯ КМБ"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Российская Федерация, Ленинградская область, г. Гатчина, ул. Рощинская, д.15а, корп.1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 4705013260/470501001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1024701243610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41518000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Расчетный счет: 03224643410000004500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финансов Ленинградской области (ГБУЗ ЛО «Гатчинская КМБ 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20083986073; 21083986073; 22083986073)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 получателя: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Операционно-кассовый центр № 1 Северо-Западного главного управления Центральног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банка Российской Федерации (сокращенное наименование – ОКЦ № 1 Северо-Западного ГУ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Банка России) // УФК по Ленинградской области, г. Санкт-Петербург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к/с 40102810745370000098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Тел./факс: (813-71)76-516/(813-71)32-835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e-mail: </w:t>
            </w:r>
            <w:hyperlink r:id="rId13" w:tooltip="mailto:gcrkb@yandex.ru" w:history="1">
              <w:r>
                <w:rPr>
                  <w:rFonts w:ascii="Times New Roman" w:hAnsi="Times New Roman"/>
                  <w:bCs/>
                  <w:iCs/>
                  <w:color w:val="0000FF"/>
                  <w:sz w:val="24"/>
                  <w:szCs w:val="24"/>
                  <w:u w:val="single"/>
                </w:rPr>
                <w:t>gcrkb@yandex.ru</w:t>
              </w:r>
            </w:hyperlink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 xml:space="preserve"> 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 xml:space="preserve">Ответственное должностное лицо Лицензиата: </w:t>
            </w:r>
          </w:p>
          <w:p w:rsidR="0081002A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Велиев Рауф Адалатович</w:t>
            </w:r>
          </w:p>
          <w:p w:rsidR="0081002A" w:rsidRPr="00F75AF3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</w:rPr>
              <w:t>Тел</w:t>
            </w:r>
            <w:r w:rsidRPr="0024745B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 xml:space="preserve">.: </w:t>
            </w:r>
            <w:r w:rsidR="0024745B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88137176516</w:t>
            </w:r>
          </w:p>
          <w:p w:rsidR="0081002A" w:rsidRPr="0024745B" w:rsidRDefault="00A736F1">
            <w:pPr>
              <w:spacing w:after="0"/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E</w:t>
            </w:r>
            <w:r w:rsidRPr="0024745B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-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mail</w:t>
            </w:r>
            <w:r w:rsidRPr="0024745B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:</w:t>
            </w:r>
            <w:r w:rsidR="0024745B" w:rsidRPr="0024745B">
              <w:rPr>
                <w:lang w:val="en-US"/>
              </w:rPr>
              <w:t xml:space="preserve"> </w:t>
            </w:r>
            <w:r w:rsidR="0024745B" w:rsidRPr="0024745B">
              <w:rPr>
                <w:rFonts w:ascii="Times New Roman" w:hAnsi="Times New Roman"/>
                <w:bCs/>
                <w:iCs/>
                <w:sz w:val="24"/>
                <w:szCs w:val="24"/>
                <w:u w:val="single"/>
                <w:lang w:val="en-US"/>
              </w:rPr>
              <w:t>g-kmb@mail.ru</w:t>
            </w:r>
          </w:p>
          <w:p w:rsidR="0081002A" w:rsidRPr="0024745B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186" w:type="dxa"/>
          </w:tcPr>
          <w:p w:rsidR="0081002A" w:rsidRDefault="00A736F1">
            <w:pPr>
              <w:widowControl w:val="0"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ЛИЦЕНЗИАР</w:t>
            </w:r>
          </w:p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5187" w:type="dxa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94"/>
              <w:gridCol w:w="2594"/>
            </w:tblGrid>
            <w:tr w:rsidR="0081002A">
              <w:trPr>
                <w:trHeight w:val="283"/>
              </w:trPr>
              <w:tc>
                <w:tcPr>
                  <w:tcW w:w="5186" w:type="dxa"/>
                  <w:gridSpan w:val="2"/>
                </w:tcPr>
                <w:p w:rsidR="0081002A" w:rsidRDefault="0081002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1002A">
              <w:trPr>
                <w:trHeight w:val="283"/>
              </w:trPr>
              <w:tc>
                <w:tcPr>
                  <w:tcW w:w="5186" w:type="dxa"/>
                  <w:gridSpan w:val="2"/>
                </w:tcPr>
                <w:p w:rsidR="0081002A" w:rsidRDefault="00A736F1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Врио главного врача</w:t>
                  </w:r>
                </w:p>
                <w:p w:rsidR="0081002A" w:rsidRDefault="00A736F1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ГБУЗ ЛО «Гатчинская КМБ»</w:t>
                  </w:r>
                </w:p>
                <w:p w:rsidR="0081002A" w:rsidRDefault="0081002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1002A">
              <w:trPr>
                <w:trHeight w:val="170"/>
              </w:trPr>
              <w:tc>
                <w:tcPr>
                  <w:tcW w:w="2593" w:type="dxa"/>
                  <w:tcBorders>
                    <w:bottom w:val="single" w:sz="6" w:space="0" w:color="000000"/>
                  </w:tcBorders>
                </w:tcPr>
                <w:p w:rsidR="0081002A" w:rsidRDefault="0081002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93" w:type="dxa"/>
                </w:tcPr>
                <w:p w:rsidR="0081002A" w:rsidRDefault="00A736F1">
                  <w:pPr>
                    <w:widowControl w:val="0"/>
                    <w:spacing w:after="0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Ю.М. Шишкин</w:t>
                  </w:r>
                </w:p>
              </w:tc>
            </w:tr>
            <w:tr w:rsidR="0081002A">
              <w:trPr>
                <w:trHeight w:val="170"/>
              </w:trPr>
              <w:tc>
                <w:tcPr>
                  <w:tcW w:w="5186" w:type="dxa"/>
                  <w:gridSpan w:val="2"/>
                </w:tcPr>
                <w:p w:rsidR="0081002A" w:rsidRDefault="00A736F1" w:rsidP="007E1A84">
                  <w:pPr>
                    <w:widowControl w:val="0"/>
                    <w:spacing w:after="0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86" w:type="dxa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2593"/>
            </w:tblGrid>
            <w:tr w:rsidR="0081002A">
              <w:trPr>
                <w:trHeight w:val="283"/>
              </w:trPr>
              <w:tc>
                <w:tcPr>
                  <w:tcW w:w="5186" w:type="dxa"/>
                  <w:gridSpan w:val="2"/>
                </w:tcPr>
                <w:p w:rsidR="0081002A" w:rsidRDefault="0081002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1002A">
              <w:trPr>
                <w:trHeight w:val="283"/>
              </w:trPr>
              <w:tc>
                <w:tcPr>
                  <w:tcW w:w="5186" w:type="dxa"/>
                  <w:gridSpan w:val="2"/>
                </w:tcPr>
                <w:p w:rsidR="0081002A" w:rsidRDefault="00A736F1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Должность</w:t>
                  </w:r>
                </w:p>
                <w:p w:rsidR="007E1A84" w:rsidRDefault="007E1A84">
                  <w:pPr>
                    <w:widowControl w:val="0"/>
                    <w:spacing w:after="0"/>
                  </w:pPr>
                </w:p>
              </w:tc>
            </w:tr>
            <w:tr w:rsidR="0081002A">
              <w:trPr>
                <w:trHeight w:val="170"/>
              </w:trPr>
              <w:tc>
                <w:tcPr>
                  <w:tcW w:w="2593" w:type="dxa"/>
                  <w:tcBorders>
                    <w:bottom w:val="single" w:sz="6" w:space="0" w:color="000000"/>
                  </w:tcBorders>
                </w:tcPr>
                <w:p w:rsidR="0081002A" w:rsidRDefault="0081002A">
                  <w:pPr>
                    <w:widowControl w:val="0"/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93" w:type="dxa"/>
                </w:tcPr>
                <w:p w:rsidR="0081002A" w:rsidRDefault="00A736F1">
                  <w:pPr>
                    <w:widowControl w:val="0"/>
                    <w:spacing w:after="0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ФИО</w:t>
                  </w:r>
                </w:p>
              </w:tc>
            </w:tr>
            <w:tr w:rsidR="0081002A">
              <w:trPr>
                <w:trHeight w:val="170"/>
              </w:trPr>
              <w:tc>
                <w:tcPr>
                  <w:tcW w:w="5186" w:type="dxa"/>
                  <w:gridSpan w:val="2"/>
                </w:tcPr>
                <w:p w:rsidR="0081002A" w:rsidRDefault="00A736F1" w:rsidP="007E1A84">
                  <w:pPr>
                    <w:widowControl w:val="0"/>
                    <w:spacing w:after="0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002A" w:rsidRDefault="0081002A">
      <w:pPr>
        <w:widowControl w:val="0"/>
        <w:spacing w:after="0"/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2D2B99" w:rsidRDefault="002D2B9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0"/>
      </w:tblGrid>
      <w:tr w:rsidR="0081002A">
        <w:tc>
          <w:tcPr>
            <w:tcW w:w="10600" w:type="dxa"/>
          </w:tcPr>
          <w:p w:rsidR="0081002A" w:rsidRDefault="00A736F1">
            <w:pPr>
              <w:widowControl w:val="0"/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Приложение 1</w:t>
            </w:r>
          </w:p>
          <w:p w:rsidR="0081002A" w:rsidRDefault="00A736F1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 Договору № _____ от «___»___2026 г.</w:t>
            </w:r>
          </w:p>
        </w:tc>
      </w:tr>
    </w:tbl>
    <w:p w:rsidR="0081002A" w:rsidRDefault="0081002A">
      <w:pPr>
        <w:rPr>
          <w:rFonts w:ascii="Times New Roman" w:hAnsi="Times New Roman"/>
          <w:sz w:val="24"/>
          <w:szCs w:val="24"/>
        </w:rPr>
      </w:pPr>
    </w:p>
    <w:p w:rsidR="0081002A" w:rsidRDefault="00A736F1">
      <w:pPr>
        <w:tabs>
          <w:tab w:val="center" w:pos="518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Техническое задание</w:t>
      </w:r>
    </w:p>
    <w:p w:rsidR="0081002A" w:rsidRDefault="00A736F1">
      <w:pPr>
        <w:ind w:left="-142" w:firstLine="56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Оказание услуг по предоставлению неисключительного права использования программы для ЭВМ </w:t>
      </w:r>
    </w:p>
    <w:p w:rsidR="0081002A" w:rsidRDefault="0081002A">
      <w:pPr>
        <w:ind w:left="-142" w:right="2" w:firstLine="568"/>
        <w:jc w:val="both"/>
        <w:rPr>
          <w:rFonts w:ascii="Times New Roman" w:hAnsi="Times New Roman"/>
          <w:b/>
          <w:sz w:val="24"/>
          <w:szCs w:val="24"/>
        </w:rPr>
      </w:pPr>
    </w:p>
    <w:p w:rsidR="0081002A" w:rsidRDefault="00A736F1">
      <w:pPr>
        <w:spacing w:after="0"/>
        <w:ind w:left="-142" w:right="2"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Заказчик: ГБУЗ ЛО "</w:t>
      </w:r>
      <w:r>
        <w:rPr>
          <w:rFonts w:ascii="Times New Roman" w:hAnsi="Times New Roman"/>
          <w:sz w:val="24"/>
          <w:szCs w:val="24"/>
        </w:rPr>
        <w:t>ГАТЧИНСКАЯ КМБ"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Предмет закупки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Оказание услуг по предоставлению неисключительного права использования программы для ЭВМ «Контур.Страхование», предназначенной для обмена электронными документами между страховыми компаниями и лечебно-профилактически</w:t>
      </w:r>
      <w:r>
        <w:rPr>
          <w:rFonts w:ascii="Times New Roman" w:hAnsi="Times New Roman"/>
          <w:sz w:val="24"/>
          <w:szCs w:val="24"/>
        </w:rPr>
        <w:t xml:space="preserve">ми учреждениями (далее – Программа для ЭВМ). 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Срок предоставления прав:</w:t>
      </w:r>
      <w:r>
        <w:rPr>
          <w:rFonts w:ascii="Times New Roman" w:hAnsi="Times New Roman"/>
          <w:bCs/>
          <w:sz w:val="24"/>
          <w:szCs w:val="24"/>
          <w:lang w:bidi="hi-I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с даты заключения контракта в течении 5 рабочих дней сроком на 12 месяцев с даты предоставления прав.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bCs/>
          <w:sz w:val="24"/>
          <w:szCs w:val="24"/>
          <w:lang w:eastAsia="zh-CN"/>
        </w:rPr>
      </w:pPr>
      <w:r>
        <w:rPr>
          <w:rFonts w:ascii="Times New Roman" w:hAnsi="Times New Roman"/>
          <w:bCs/>
          <w:sz w:val="24"/>
          <w:szCs w:val="24"/>
          <w:lang w:eastAsia="zh-CN"/>
        </w:rPr>
        <w:t>3. Требования к Программе для ЭВМ: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bCs/>
          <w:sz w:val="24"/>
          <w:szCs w:val="24"/>
          <w:lang w:eastAsia="zh-CN"/>
        </w:rPr>
      </w:pPr>
      <w:r>
        <w:rPr>
          <w:rFonts w:ascii="Times New Roman" w:hAnsi="Times New Roman"/>
          <w:bCs/>
          <w:sz w:val="24"/>
          <w:szCs w:val="24"/>
          <w:lang w:eastAsia="zh-CN"/>
        </w:rPr>
        <w:t>3.1. Программа для ЭВМ должна позволять ЛПУ обмениваться со страховыми компаниями следующими документами:</w:t>
      </w:r>
    </w:p>
    <w:p w:rsidR="0081002A" w:rsidRDefault="00A736F1">
      <w:pPr>
        <w:pStyle w:val="afd"/>
        <w:numPr>
          <w:ilvl w:val="0"/>
          <w:numId w:val="1"/>
        </w:numPr>
        <w:ind w:left="-142" w:firstLine="568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>электронными стандартизированными сообщениями (MEDI-сообщения):</w:t>
      </w:r>
    </w:p>
    <w:p w:rsidR="0081002A" w:rsidRDefault="00A736F1">
      <w:pPr>
        <w:pStyle w:val="afd"/>
        <w:numPr>
          <w:ilvl w:val="3"/>
          <w:numId w:val="2"/>
        </w:numPr>
        <w:ind w:left="-142" w:firstLine="568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запрос на согласование оплаты услуг пациенту (IHCEBI (Inquiry)), сообщение должно отпр</w:t>
      </w:r>
      <w:r>
        <w:rPr>
          <w:sz w:val="24"/>
          <w:szCs w:val="24"/>
          <w:lang w:eastAsia="zh-CN"/>
        </w:rPr>
        <w:t>авлять от ЛПУ к СК с указанием пациента и перечня услуг, планируемых для оказания пациенту,</w:t>
      </w:r>
    </w:p>
    <w:p w:rsidR="0081002A" w:rsidRDefault="00A736F1">
      <w:pPr>
        <w:pStyle w:val="afd"/>
        <w:numPr>
          <w:ilvl w:val="0"/>
          <w:numId w:val="2"/>
        </w:numPr>
        <w:ind w:left="-142" w:firstLine="568"/>
        <w:rPr>
          <w:bCs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гарантийными письмами (IHCEBR (Response)), сообщение должно отправляться от СК к ЛПУ и являться ответом на сообщение IHCEBI. Гарантийной письмо должно содержать под</w:t>
      </w:r>
      <w:r>
        <w:rPr>
          <w:sz w:val="24"/>
          <w:szCs w:val="24"/>
          <w:lang w:eastAsia="zh-CN"/>
        </w:rPr>
        <w:t>тверждение оказания запрошенных услуг пациенту,</w:t>
      </w:r>
    </w:p>
    <w:p w:rsidR="0081002A" w:rsidRDefault="00A736F1">
      <w:pPr>
        <w:pStyle w:val="afd"/>
        <w:numPr>
          <w:ilvl w:val="0"/>
          <w:numId w:val="2"/>
        </w:numPr>
        <w:ind w:left="-142" w:firstLine="568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>списками прикрепления/открепления/изменения (RELIST), сообщение должно отправляться от СК к ЛПУ и содержат данные о прикреплении застрахованных к программе обслуживания, информацию о номере полиса и сроках ег</w:t>
      </w:r>
      <w:r>
        <w:rPr>
          <w:bCs/>
          <w:sz w:val="24"/>
          <w:szCs w:val="24"/>
          <w:lang w:eastAsia="zh-CN"/>
        </w:rPr>
        <w:t>о действия,</w:t>
      </w:r>
    </w:p>
    <w:p w:rsidR="0081002A" w:rsidRDefault="00A736F1">
      <w:pPr>
        <w:pStyle w:val="afd"/>
        <w:numPr>
          <w:ilvl w:val="0"/>
          <w:numId w:val="2"/>
        </w:numPr>
        <w:ind w:left="-142" w:firstLine="568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реестрами оказанных услуг (</w:t>
      </w:r>
      <w:r>
        <w:rPr>
          <w:sz w:val="24"/>
          <w:szCs w:val="24"/>
          <w:lang w:val="en-US" w:eastAsia="zh-CN"/>
        </w:rPr>
        <w:t>IHCLME</w:t>
      </w:r>
      <w:r>
        <w:rPr>
          <w:sz w:val="24"/>
          <w:szCs w:val="24"/>
          <w:lang w:eastAsia="zh-CN"/>
        </w:rPr>
        <w:t>), сообщение должно отправляться от ЛПУ к СК и содержать все услуги за определенный период, которые были оказаны пациентам в рамках договора добровольного медицинского страхования,</w:t>
      </w:r>
    </w:p>
    <w:p w:rsidR="0081002A" w:rsidRDefault="00A736F1">
      <w:pPr>
        <w:pStyle w:val="afd"/>
        <w:numPr>
          <w:ilvl w:val="0"/>
          <w:numId w:val="2"/>
        </w:numPr>
        <w:ind w:left="-142" w:firstLine="568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актами медико-экономической эк</w:t>
      </w:r>
      <w:r>
        <w:rPr>
          <w:sz w:val="24"/>
          <w:szCs w:val="24"/>
          <w:lang w:eastAsia="zh-CN"/>
        </w:rPr>
        <w:t>спертизы (</w:t>
      </w:r>
      <w:r>
        <w:rPr>
          <w:sz w:val="24"/>
          <w:szCs w:val="24"/>
          <w:lang w:val="en-US" w:eastAsia="zh-CN"/>
        </w:rPr>
        <w:t>IHCLMR</w:t>
      </w:r>
      <w:r>
        <w:rPr>
          <w:sz w:val="24"/>
          <w:szCs w:val="24"/>
          <w:lang w:eastAsia="zh-CN"/>
        </w:rPr>
        <w:t xml:space="preserve">), сообщение должно отправлять от СК к ЛПУ и являться ответом на сообщение </w:t>
      </w:r>
      <w:r>
        <w:rPr>
          <w:sz w:val="24"/>
          <w:szCs w:val="24"/>
          <w:lang w:val="en-US" w:eastAsia="zh-CN"/>
        </w:rPr>
        <w:t>IHCLME</w:t>
      </w:r>
      <w:r>
        <w:rPr>
          <w:sz w:val="24"/>
          <w:szCs w:val="24"/>
          <w:lang w:eastAsia="zh-CN"/>
        </w:rPr>
        <w:t>,</w:t>
      </w:r>
    </w:p>
    <w:p w:rsidR="0081002A" w:rsidRDefault="00A736F1">
      <w:pPr>
        <w:pStyle w:val="afd"/>
        <w:numPr>
          <w:ilvl w:val="0"/>
          <w:numId w:val="2"/>
        </w:numPr>
        <w:ind w:left="-142" w:firstLine="568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актами медико-технической экспертизы (</w:t>
      </w:r>
      <w:r>
        <w:rPr>
          <w:sz w:val="24"/>
          <w:szCs w:val="24"/>
          <w:lang w:val="en-US" w:eastAsia="zh-CN"/>
        </w:rPr>
        <w:t>IHCLMTR</w:t>
      </w:r>
      <w:r>
        <w:rPr>
          <w:sz w:val="24"/>
          <w:szCs w:val="24"/>
          <w:lang w:eastAsia="zh-CN"/>
        </w:rPr>
        <w:t>), сообщение должно отправлять от СК к ЛПУ и являться ответом на сообщение IHCLME;</w:t>
      </w:r>
    </w:p>
    <w:p w:rsidR="0081002A" w:rsidRDefault="00A736F1">
      <w:pPr>
        <w:pStyle w:val="afd"/>
        <w:numPr>
          <w:ilvl w:val="0"/>
          <w:numId w:val="1"/>
        </w:numPr>
        <w:ind w:left="-142" w:firstLine="568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электронные неформализованные</w:t>
      </w:r>
      <w:r>
        <w:rPr>
          <w:sz w:val="24"/>
          <w:szCs w:val="24"/>
          <w:lang w:eastAsia="zh-CN"/>
        </w:rPr>
        <w:t xml:space="preserve"> сообщениями - сообщения, которые содержат произвольные файлы с медицинскими ПДн, должна быть возможность работы с файлами следующих форматов файлов: doc, docx, xls, xlsx, pdf, xml, jpg, jpeg, tiff, png. Должна быть предусмотрена возможность направлять соо</w:t>
      </w:r>
      <w:r>
        <w:rPr>
          <w:sz w:val="24"/>
          <w:szCs w:val="24"/>
          <w:lang w:eastAsia="zh-CN"/>
        </w:rPr>
        <w:t>бщения как от ЛПУ к СК, так и от СК к ЛПУ.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3.2. Должна быть предусмотрена возможность обмена реестрами, гарантийными письмами, списками застрахованных, актами экспертизы, неформализованными документами с медицинскими персональными данными по защищенному за</w:t>
      </w:r>
      <w:r>
        <w:rPr>
          <w:rFonts w:ascii="Times New Roman" w:hAnsi="Times New Roman"/>
          <w:sz w:val="24"/>
          <w:szCs w:val="24"/>
          <w:lang w:eastAsia="zh-CN"/>
        </w:rPr>
        <w:t>шифрованному каналу связи.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3.3. Должна быть предусмотрена возможность передачи договоров страхования, прейскурантов, счетов, обезличенных реестров, информационных писем с обеспечением юридической силы.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3.4. Должна быть предусмотрена возможность автоматической отправки документов в страховую компанию после подписания.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3.5. Должна быть предусмотрена возможность отправка реестров оказанных услуг в едином формате.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3.6. Должна быть предусмотрена возможность о</w:t>
      </w:r>
      <w:r>
        <w:rPr>
          <w:rFonts w:ascii="Times New Roman" w:hAnsi="Times New Roman"/>
          <w:sz w:val="24"/>
          <w:szCs w:val="24"/>
          <w:lang w:eastAsia="zh-CN"/>
        </w:rPr>
        <w:t>тслеживания статуса документов.</w:t>
      </w:r>
    </w:p>
    <w:p w:rsidR="0081002A" w:rsidRDefault="00A736F1">
      <w:pPr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3.7. Должно быть предусмотрено хранение документов и данных.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3.8.    Должна быть предусмотрена возможность скачивания стандартизованных сообщений </w:t>
      </w:r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xcel и в формате xml.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3.9. Должна быть предусмотрена возможность скачивания н</w:t>
      </w:r>
      <w:r>
        <w:rPr>
          <w:sz w:val="24"/>
          <w:szCs w:val="24"/>
        </w:rPr>
        <w:t>еформализованных сообщений формате xml и скачивания вложений в формате doc, docx, xls, xlsx, pdf, xml, jpg, jpeg, tiff, png.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3.10. Программа для ЭВМ должна соответствовать Федеральному закону от 27.07.2006 № 152-ФЗ «О персональных данных».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3.11. Программа </w:t>
      </w:r>
      <w:r>
        <w:rPr>
          <w:sz w:val="24"/>
          <w:szCs w:val="24"/>
        </w:rPr>
        <w:t>для ЭВМ должна располагаться на серверах Исполнителя, находящимся на территории Российской Федерации.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3.12. Программа для ЭВМ должна быть внесена в Единый реестр российских программ для ЭВМ и БД.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3.13. Обмен электронными документами в Программе для ЭВМ должен осуществляться через оператора электронного документооборота в рамках исполнения организациями и (или) индивидуальными предпринимателями обязанности по получению счетов-фактур, в том числе кор</w:t>
      </w:r>
      <w:r>
        <w:rPr>
          <w:sz w:val="24"/>
          <w:szCs w:val="24"/>
        </w:rPr>
        <w:t>ректировочных счетов-фактур, при приобретении товаров, подлежащих прослеживаемости в соответствии с пунктом 1.2 статьи 169 Налогового кодекса Российской Федерации.</w:t>
      </w:r>
      <w:r>
        <w:rPr>
          <w:sz w:val="24"/>
          <w:szCs w:val="24"/>
        </w:rPr>
        <w:tab/>
      </w:r>
    </w:p>
    <w:p w:rsidR="0081002A" w:rsidRDefault="00A736F1">
      <w:pPr>
        <w:spacing w:after="0"/>
        <w:ind w:left="-142" w:firstLine="5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3.14. Заказчику должна быть предоставлена возможность осуществлять обмен электронными докум</w:t>
      </w:r>
      <w:r>
        <w:rPr>
          <w:rFonts w:ascii="Times New Roman" w:hAnsi="Times New Roman"/>
          <w:sz w:val="24"/>
          <w:szCs w:val="24"/>
        </w:rPr>
        <w:t>ентами с без лимитным количеством документов со страховыми компаниями.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4. Обязанности Заказчика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4.1. Сообщить обо всех организациях (ЛПУ), в отношении которых он действует.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4.2. Иметь квалифицированный сертификат ключа проверки электронной подписи, приобре</w:t>
      </w:r>
      <w:r>
        <w:rPr>
          <w:sz w:val="24"/>
          <w:szCs w:val="24"/>
        </w:rPr>
        <w:t>тенный у удостоверяющего центра, аккредитованного согласно требованиям Федерального закона от 06.04.2011 №63</w:t>
      </w:r>
      <w:r>
        <w:rPr>
          <w:sz w:val="24"/>
          <w:szCs w:val="24"/>
        </w:rPr>
        <w:noBreakHyphen/>
        <w:t>ФЗ «Об электронной подписи».</w:t>
      </w:r>
    </w:p>
    <w:p w:rsidR="0081002A" w:rsidRDefault="00A736F1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  <w:r>
        <w:rPr>
          <w:sz w:val="24"/>
          <w:szCs w:val="24"/>
        </w:rPr>
        <w:t>4.3. Иметь лицензию на программу для ЭВМ сертифицированную криптографическую защиту информации КриптоПро CSP.</w:t>
      </w:r>
    </w:p>
    <w:p w:rsidR="0081002A" w:rsidRDefault="0081002A">
      <w:pPr>
        <w:pStyle w:val="afd"/>
        <w:tabs>
          <w:tab w:val="left" w:pos="993"/>
        </w:tabs>
        <w:ind w:left="-142" w:firstLine="568"/>
        <w:contextualSpacing/>
        <w:rPr>
          <w:sz w:val="24"/>
          <w:szCs w:val="24"/>
        </w:rPr>
      </w:pPr>
    </w:p>
    <w:p w:rsidR="0081002A" w:rsidRDefault="00A736F1">
      <w:pPr>
        <w:spacing w:after="0"/>
        <w:ind w:left="-142" w:firstLine="568"/>
        <w:rPr>
          <w:rFonts w:ascii="Times New Roman" w:hAnsi="Times New Roman"/>
          <w:bCs/>
          <w:sz w:val="24"/>
          <w:szCs w:val="24"/>
          <w:lang w:eastAsia="zh-CN"/>
        </w:rPr>
      </w:pPr>
      <w:r>
        <w:rPr>
          <w:rFonts w:ascii="Times New Roman" w:hAnsi="Times New Roman"/>
          <w:bCs/>
          <w:sz w:val="24"/>
          <w:szCs w:val="24"/>
          <w:lang w:eastAsia="zh-CN"/>
        </w:rPr>
        <w:t>5. Испо</w:t>
      </w:r>
      <w:r>
        <w:rPr>
          <w:rFonts w:ascii="Times New Roman" w:hAnsi="Times New Roman"/>
          <w:bCs/>
          <w:sz w:val="24"/>
          <w:szCs w:val="24"/>
          <w:lang w:eastAsia="zh-CN"/>
        </w:rPr>
        <w:t>лнитель обязан:</w:t>
      </w:r>
    </w:p>
    <w:p w:rsidR="0081002A" w:rsidRDefault="00A736F1">
      <w:pPr>
        <w:tabs>
          <w:tab w:val="left" w:pos="360"/>
        </w:tabs>
        <w:spacing w:after="0"/>
        <w:ind w:left="-142" w:firstLine="568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5.1 Обеспечить надлежащую передачу прав (простых (неисключительных) лицензий) на использование результатов интеллектуальной деятельности – программ для ЭВМ: путем заключения с Лицензиатом лицензионного(ых) и (или) сублицензионного (ых) дого</w:t>
      </w:r>
      <w:r>
        <w:rPr>
          <w:rFonts w:ascii="Times New Roman" w:hAnsi="Times New Roman"/>
          <w:sz w:val="24"/>
          <w:szCs w:val="24"/>
          <w:lang w:eastAsia="zh-CN"/>
        </w:rPr>
        <w:t>вора (ов).</w:t>
      </w:r>
    </w:p>
    <w:p w:rsidR="0081002A" w:rsidRDefault="0081002A">
      <w:pPr>
        <w:pStyle w:val="afd"/>
        <w:ind w:left="-142" w:firstLine="568"/>
        <w:jc w:val="right"/>
        <w:rPr>
          <w:b/>
          <w:sz w:val="24"/>
          <w:szCs w:val="24"/>
        </w:rPr>
      </w:pPr>
    </w:p>
    <w:p w:rsidR="0081002A" w:rsidRDefault="0081002A">
      <w:pPr>
        <w:pStyle w:val="afd"/>
        <w:ind w:left="-142" w:firstLine="568"/>
        <w:jc w:val="right"/>
        <w:rPr>
          <w:b/>
          <w:sz w:val="24"/>
          <w:szCs w:val="24"/>
        </w:rPr>
      </w:pP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0"/>
        <w:gridCol w:w="2650"/>
        <w:gridCol w:w="2649"/>
      </w:tblGrid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ЛИЦЕНЗИАТ</w:t>
            </w:r>
          </w:p>
        </w:tc>
        <w:tc>
          <w:tcPr>
            <w:tcW w:w="5299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ЛИЦЕНЗИАР</w:t>
            </w:r>
          </w:p>
        </w:tc>
      </w:tr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Врио главного врача</w:t>
            </w:r>
          </w:p>
        </w:tc>
        <w:tc>
          <w:tcPr>
            <w:tcW w:w="5299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ГБУЗ ЛО «Гатчинская КМБ»</w:t>
            </w:r>
          </w:p>
        </w:tc>
        <w:tc>
          <w:tcPr>
            <w:tcW w:w="5299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650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0" w:type="dxa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Ю.М. Шишкин</w:t>
            </w:r>
          </w:p>
        </w:tc>
        <w:tc>
          <w:tcPr>
            <w:tcW w:w="2650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9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650" w:type="dxa"/>
          </w:tcPr>
          <w:p w:rsidR="0081002A" w:rsidRDefault="00A736F1" w:rsidP="001867B9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650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0" w:type="dxa"/>
          </w:tcPr>
          <w:p w:rsidR="0081002A" w:rsidRDefault="00A736F1" w:rsidP="001867B9">
            <w:pPr>
              <w:widowControl w:val="0"/>
              <w:spacing w:after="0"/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649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002A" w:rsidRDefault="0081002A">
      <w:pPr>
        <w:pStyle w:val="afd"/>
        <w:tabs>
          <w:tab w:val="left" w:pos="993"/>
        </w:tabs>
        <w:ind w:left="0" w:firstLine="567"/>
        <w:contextualSpacing/>
        <w:rPr>
          <w:sz w:val="24"/>
          <w:szCs w:val="24"/>
        </w:rPr>
      </w:pPr>
    </w:p>
    <w:p w:rsidR="0083429E" w:rsidRDefault="0083429E">
      <w:r>
        <w:br w:type="page"/>
      </w: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"/>
        <w:gridCol w:w="793"/>
        <w:gridCol w:w="2268"/>
        <w:gridCol w:w="567"/>
        <w:gridCol w:w="709"/>
        <w:gridCol w:w="1161"/>
        <w:gridCol w:w="1247"/>
        <w:gridCol w:w="1077"/>
        <w:gridCol w:w="850"/>
        <w:gridCol w:w="1190"/>
        <w:gridCol w:w="397"/>
      </w:tblGrid>
      <w:tr w:rsidR="0081002A" w:rsidTr="0083429E">
        <w:tc>
          <w:tcPr>
            <w:tcW w:w="1134" w:type="dxa"/>
            <w:gridSpan w:val="2"/>
          </w:tcPr>
          <w:p w:rsidR="0081002A" w:rsidRDefault="0081002A">
            <w:pPr>
              <w:widowControl w:val="0"/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66" w:type="dxa"/>
            <w:gridSpan w:val="9"/>
          </w:tcPr>
          <w:p w:rsidR="0081002A" w:rsidRDefault="00A736F1">
            <w:pPr>
              <w:widowControl w:val="0"/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Приложение 2</w:t>
            </w:r>
          </w:p>
          <w:p w:rsidR="0081002A" w:rsidRDefault="00A736F1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 Договору № _____ от «___»___2026 г.</w:t>
            </w:r>
          </w:p>
        </w:tc>
      </w:tr>
      <w:tr w:rsidR="0081002A" w:rsidTr="0083429E">
        <w:tc>
          <w:tcPr>
            <w:tcW w:w="10600" w:type="dxa"/>
            <w:gridSpan w:val="11"/>
          </w:tcPr>
          <w:p w:rsidR="0081002A" w:rsidRDefault="00A736F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Спецификация </w:t>
            </w:r>
          </w:p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 w:rsidTr="0083429E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без налога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Налоговая ставка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 налога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Стоимость с налогом</w:t>
            </w:r>
          </w:p>
        </w:tc>
        <w:tc>
          <w:tcPr>
            <w:tcW w:w="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1002A" w:rsidTr="0083429E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Право использования программы для ЭВМ «Контур.Страхование» по тарифному плану «L» сроком на 12 мес.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 НДС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Без НДС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widowControl w:val="0"/>
              <w:spacing w:after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 w:rsidTr="0083429E">
        <w:tc>
          <w:tcPr>
            <w:tcW w:w="816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A736F1">
            <w:pPr>
              <w:widowControl w:val="0"/>
              <w:spacing w:after="0"/>
              <w:jc w:val="right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Без НДС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widowControl w:val="0"/>
              <w:spacing w:after="0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81002A" w:rsidRDefault="0081002A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1002A" w:rsidRDefault="00A736F1">
      <w:pPr>
        <w:widowControl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</w:t>
      </w:r>
    </w:p>
    <w:p w:rsidR="0081002A" w:rsidRDefault="00A736F1">
      <w:pPr>
        <w:widowControl w:val="0"/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</w:t>
      </w:r>
    </w:p>
    <w:tbl>
      <w:tblPr>
        <w:tblW w:w="10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0"/>
        <w:gridCol w:w="2650"/>
        <w:gridCol w:w="2649"/>
      </w:tblGrid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ЛИЦЕНЗИАТ</w:t>
            </w:r>
          </w:p>
        </w:tc>
        <w:tc>
          <w:tcPr>
            <w:tcW w:w="5299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ЛИЦЕНЗИАР</w:t>
            </w:r>
          </w:p>
        </w:tc>
      </w:tr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Врио главного врача</w:t>
            </w:r>
          </w:p>
        </w:tc>
        <w:tc>
          <w:tcPr>
            <w:tcW w:w="5299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5300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ГБУЗ ЛО «Гатчинская КМБ»</w:t>
            </w:r>
          </w:p>
        </w:tc>
        <w:tc>
          <w:tcPr>
            <w:tcW w:w="5299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650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0" w:type="dxa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Ю.М. Шишкин</w:t>
            </w:r>
          </w:p>
        </w:tc>
        <w:tc>
          <w:tcPr>
            <w:tcW w:w="2650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49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650" w:type="dxa"/>
          </w:tcPr>
          <w:p w:rsidR="0081002A" w:rsidRDefault="00A736F1" w:rsidP="00F146E3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650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650" w:type="dxa"/>
          </w:tcPr>
          <w:p w:rsidR="0081002A" w:rsidRDefault="00A736F1" w:rsidP="00F146E3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649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002A" w:rsidRDefault="0081002A">
      <w:pPr>
        <w:pStyle w:val="13"/>
        <w:sectPr w:rsidR="0081002A">
          <w:pgSz w:w="11906" w:h="16838"/>
          <w:pgMar w:top="623" w:right="623" w:bottom="623" w:left="907" w:header="0" w:footer="0" w:gutter="0"/>
          <w:cols w:space="1701"/>
          <w:docGrid w:linePitch="360"/>
        </w:sectPr>
      </w:pPr>
    </w:p>
    <w:p w:rsidR="0081002A" w:rsidRDefault="00A736F1">
      <w:pPr>
        <w:widowControl w:val="0"/>
        <w:spacing w:after="0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Приложение 3</w:t>
      </w:r>
    </w:p>
    <w:p w:rsidR="0081002A" w:rsidRDefault="00A736F1">
      <w:pPr>
        <w:widowControl w:val="0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 Лицензионному договору №  от «___»______2026 г.</w:t>
      </w:r>
    </w:p>
    <w:p w:rsidR="0081002A" w:rsidRDefault="00A736F1">
      <w:pPr>
        <w:widowControl w:val="0"/>
        <w:spacing w:before="170" w:after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Список Конечных пользователей</w:t>
      </w:r>
    </w:p>
    <w:p w:rsidR="0081002A" w:rsidRDefault="0081002A">
      <w:pPr>
        <w:widowControl w:val="0"/>
        <w:spacing w:after="170"/>
        <w:jc w:val="right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203" w:type="dxa"/>
        <w:tblInd w:w="119" w:type="dxa"/>
        <w:tblLayout w:type="fixed"/>
        <w:tblCellMar>
          <w:top w:w="28" w:type="dxa"/>
          <w:left w:w="56" w:type="dxa"/>
          <w:bottom w:w="28" w:type="dxa"/>
          <w:right w:w="56" w:type="dxa"/>
        </w:tblCellMar>
        <w:tblLook w:val="04A0" w:firstRow="1" w:lastRow="0" w:firstColumn="1" w:lastColumn="0" w:noHBand="0" w:noVBand="1"/>
      </w:tblPr>
      <w:tblGrid>
        <w:gridCol w:w="395"/>
        <w:gridCol w:w="3629"/>
        <w:gridCol w:w="3685"/>
        <w:gridCol w:w="1416"/>
        <w:gridCol w:w="1078"/>
      </w:tblGrid>
      <w:tr w:rsidR="0081002A"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тарифа/Модификатора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A736F1">
            <w:pPr>
              <w:widowControl w:val="0"/>
              <w:spacing w:after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КПП</w:t>
            </w:r>
          </w:p>
        </w:tc>
      </w:tr>
      <w:tr w:rsidR="0081002A">
        <w:tc>
          <w:tcPr>
            <w:tcW w:w="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002A" w:rsidRDefault="00A736F1">
      <w:pPr>
        <w:widowControl w:val="0"/>
        <w:spacing w:before="170" w:after="1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1037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2593"/>
        <w:gridCol w:w="2593"/>
        <w:gridCol w:w="2593"/>
      </w:tblGrid>
      <w:tr w:rsidR="0081002A">
        <w:tc>
          <w:tcPr>
            <w:tcW w:w="5186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ЛИЦЕНЗИАТ</w:t>
            </w:r>
          </w:p>
        </w:tc>
        <w:tc>
          <w:tcPr>
            <w:tcW w:w="5186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ЛИЦЕНЗИАР</w:t>
            </w:r>
          </w:p>
        </w:tc>
      </w:tr>
      <w:tr w:rsidR="0081002A">
        <w:tc>
          <w:tcPr>
            <w:tcW w:w="5186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Врио главного врача</w:t>
            </w:r>
          </w:p>
        </w:tc>
        <w:tc>
          <w:tcPr>
            <w:tcW w:w="5186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5186" w:type="dxa"/>
            <w:gridSpan w:val="2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ГБУЗ ЛО «Гатчинская КМБ»</w:t>
            </w:r>
          </w:p>
        </w:tc>
        <w:tc>
          <w:tcPr>
            <w:tcW w:w="5186" w:type="dxa"/>
            <w:gridSpan w:val="2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593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:rsidR="0081002A" w:rsidRDefault="00A736F1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Ю.М. Шишкин</w:t>
            </w:r>
          </w:p>
        </w:tc>
        <w:tc>
          <w:tcPr>
            <w:tcW w:w="2593" w:type="dxa"/>
            <w:tcBorders>
              <w:bottom w:val="single" w:sz="6" w:space="0" w:color="000000"/>
            </w:tcBorders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1002A">
        <w:tc>
          <w:tcPr>
            <w:tcW w:w="2593" w:type="dxa"/>
          </w:tcPr>
          <w:p w:rsidR="0081002A" w:rsidRDefault="00A736F1" w:rsidP="00CC6B26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93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93" w:type="dxa"/>
          </w:tcPr>
          <w:p w:rsidR="0081002A" w:rsidRDefault="00A736F1" w:rsidP="00CC6B26">
            <w:pPr>
              <w:widowControl w:val="0"/>
              <w:spacing w:after="0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93" w:type="dxa"/>
          </w:tcPr>
          <w:p w:rsidR="0081002A" w:rsidRDefault="0081002A">
            <w:pPr>
              <w:widowControl w:val="0"/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81002A" w:rsidRDefault="0081002A">
      <w:pPr>
        <w:widowControl w:val="0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</w:p>
    <w:sectPr w:rsidR="0081002A">
      <w:pgSz w:w="11906" w:h="16838"/>
      <w:pgMar w:top="623" w:right="623" w:bottom="623" w:left="907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6F1" w:rsidRDefault="00A736F1">
      <w:pPr>
        <w:pStyle w:val="13"/>
        <w:spacing w:after="0" w:line="240" w:lineRule="auto"/>
      </w:pPr>
      <w:r>
        <w:separator/>
      </w:r>
    </w:p>
  </w:endnote>
  <w:endnote w:type="continuationSeparator" w:id="0">
    <w:p w:rsidR="00A736F1" w:rsidRDefault="00A736F1">
      <w:pPr>
        <w:pStyle w:val="13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6F1" w:rsidRDefault="00A736F1">
      <w:pPr>
        <w:pStyle w:val="13"/>
        <w:spacing w:after="0" w:line="240" w:lineRule="auto"/>
      </w:pPr>
      <w:r>
        <w:separator/>
      </w:r>
    </w:p>
  </w:footnote>
  <w:footnote w:type="continuationSeparator" w:id="0">
    <w:p w:rsidR="00A736F1" w:rsidRDefault="00A736F1">
      <w:pPr>
        <w:pStyle w:val="13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E92A7B"/>
    <w:multiLevelType w:val="hybridMultilevel"/>
    <w:tmpl w:val="C8D07584"/>
    <w:lvl w:ilvl="0" w:tplc="BC70BD36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 w:tplc="74CE96D6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 w:tplc="1EFE78AE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 w:tplc="1FBE0828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 w:tplc="51768AF0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 w:tplc="9466B454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 w:tplc="9CF6350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 w:tplc="B2D665D0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 w:tplc="42F298A0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62E7509"/>
    <w:multiLevelType w:val="hybridMultilevel"/>
    <w:tmpl w:val="484CFEDE"/>
    <w:lvl w:ilvl="0" w:tplc="2110EDAC">
      <w:start w:val="1"/>
      <w:numFmt w:val="bullet"/>
      <w:lvlText w:val=""/>
      <w:lvlJc w:val="left"/>
      <w:pPr>
        <w:tabs>
          <w:tab w:val="num" w:pos="0"/>
        </w:tabs>
        <w:ind w:left="2007" w:hanging="360"/>
      </w:pPr>
      <w:rPr>
        <w:rFonts w:ascii="Symbol" w:hAnsi="Symbol" w:cs="Symbol" w:hint="default"/>
      </w:rPr>
    </w:lvl>
    <w:lvl w:ilvl="1" w:tplc="632295A2">
      <w:start w:val="1"/>
      <w:numFmt w:val="bullet"/>
      <w:lvlText w:val="o"/>
      <w:lvlJc w:val="left"/>
      <w:pPr>
        <w:tabs>
          <w:tab w:val="num" w:pos="0"/>
        </w:tabs>
        <w:ind w:left="2727" w:hanging="360"/>
      </w:pPr>
      <w:rPr>
        <w:rFonts w:ascii="Courier New" w:hAnsi="Courier New" w:cs="Courier New" w:hint="default"/>
      </w:rPr>
    </w:lvl>
    <w:lvl w:ilvl="2" w:tplc="D40C79FE">
      <w:start w:val="1"/>
      <w:numFmt w:val="bullet"/>
      <w:lvlText w:val=""/>
      <w:lvlJc w:val="left"/>
      <w:pPr>
        <w:tabs>
          <w:tab w:val="num" w:pos="0"/>
        </w:tabs>
        <w:ind w:left="3447" w:hanging="360"/>
      </w:pPr>
      <w:rPr>
        <w:rFonts w:ascii="Wingdings" w:hAnsi="Wingdings" w:cs="Wingdings" w:hint="default"/>
      </w:rPr>
    </w:lvl>
    <w:lvl w:ilvl="3" w:tplc="7C60E8A0">
      <w:start w:val="1"/>
      <w:numFmt w:val="bullet"/>
      <w:lvlText w:val=""/>
      <w:lvlJc w:val="left"/>
      <w:pPr>
        <w:tabs>
          <w:tab w:val="num" w:pos="0"/>
        </w:tabs>
        <w:ind w:left="4167" w:hanging="360"/>
      </w:pPr>
      <w:rPr>
        <w:rFonts w:ascii="Symbol" w:hAnsi="Symbol" w:cs="Symbol" w:hint="default"/>
      </w:rPr>
    </w:lvl>
    <w:lvl w:ilvl="4" w:tplc="D3202930">
      <w:start w:val="1"/>
      <w:numFmt w:val="bullet"/>
      <w:lvlText w:val="o"/>
      <w:lvlJc w:val="left"/>
      <w:pPr>
        <w:tabs>
          <w:tab w:val="num" w:pos="0"/>
        </w:tabs>
        <w:ind w:left="4887" w:hanging="360"/>
      </w:pPr>
      <w:rPr>
        <w:rFonts w:ascii="Courier New" w:hAnsi="Courier New" w:cs="Courier New" w:hint="default"/>
      </w:rPr>
    </w:lvl>
    <w:lvl w:ilvl="5" w:tplc="910C24E4">
      <w:start w:val="1"/>
      <w:numFmt w:val="bullet"/>
      <w:lvlText w:val=""/>
      <w:lvlJc w:val="left"/>
      <w:pPr>
        <w:tabs>
          <w:tab w:val="num" w:pos="0"/>
        </w:tabs>
        <w:ind w:left="5607" w:hanging="360"/>
      </w:pPr>
      <w:rPr>
        <w:rFonts w:ascii="Wingdings" w:hAnsi="Wingdings" w:cs="Wingdings" w:hint="default"/>
      </w:rPr>
    </w:lvl>
    <w:lvl w:ilvl="6" w:tplc="8F42737C">
      <w:start w:val="1"/>
      <w:numFmt w:val="bullet"/>
      <w:lvlText w:val=""/>
      <w:lvlJc w:val="left"/>
      <w:pPr>
        <w:tabs>
          <w:tab w:val="num" w:pos="0"/>
        </w:tabs>
        <w:ind w:left="6327" w:hanging="360"/>
      </w:pPr>
      <w:rPr>
        <w:rFonts w:ascii="Symbol" w:hAnsi="Symbol" w:cs="Symbol" w:hint="default"/>
      </w:rPr>
    </w:lvl>
    <w:lvl w:ilvl="7" w:tplc="E4FE5F9E">
      <w:start w:val="1"/>
      <w:numFmt w:val="bullet"/>
      <w:lvlText w:val="o"/>
      <w:lvlJc w:val="left"/>
      <w:pPr>
        <w:tabs>
          <w:tab w:val="num" w:pos="0"/>
        </w:tabs>
        <w:ind w:left="7047" w:hanging="360"/>
      </w:pPr>
      <w:rPr>
        <w:rFonts w:ascii="Courier New" w:hAnsi="Courier New" w:cs="Courier New" w:hint="default"/>
      </w:rPr>
    </w:lvl>
    <w:lvl w:ilvl="8" w:tplc="9E2ED646">
      <w:start w:val="1"/>
      <w:numFmt w:val="bullet"/>
      <w:lvlText w:val=""/>
      <w:lvlJc w:val="left"/>
      <w:pPr>
        <w:tabs>
          <w:tab w:val="num" w:pos="0"/>
        </w:tabs>
        <w:ind w:left="776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98B3FE9"/>
    <w:multiLevelType w:val="hybridMultilevel"/>
    <w:tmpl w:val="03ECBA56"/>
    <w:lvl w:ilvl="0" w:tplc="03AC606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255E0DF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4BEE58D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EC7870B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4F2ED7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D6442D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9E4E96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474C7CA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66E0187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2A"/>
    <w:rsid w:val="001867B9"/>
    <w:rsid w:val="0024745B"/>
    <w:rsid w:val="002D2B99"/>
    <w:rsid w:val="0042130F"/>
    <w:rsid w:val="007E1A84"/>
    <w:rsid w:val="0081002A"/>
    <w:rsid w:val="0083429E"/>
    <w:rsid w:val="009E4F71"/>
    <w:rsid w:val="00A736F1"/>
    <w:rsid w:val="00AF2878"/>
    <w:rsid w:val="00C16A8E"/>
    <w:rsid w:val="00CC6B26"/>
    <w:rsid w:val="00F05F72"/>
    <w:rsid w:val="00F146E3"/>
    <w:rsid w:val="00F7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BC08E-094A-44CA-8847-1AD1A587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18A303" w:themeColor="accent1"/>
      <w:sz w:val="18"/>
      <w:szCs w:val="18"/>
    </w:rPr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2FB39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39B4FB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B8039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139FB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54A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9727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BBE03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36B3FB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43E03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032FB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9C00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9211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1BBE03" w:themeColor="accent1" w:themeTint="EA"/>
        <w:insideH w:val="single" w:sz="4" w:space="0" w:color="1BBE03" w:themeColor="accent1" w:themeTint="EA"/>
        <w:insideV w:val="single" w:sz="4" w:space="0" w:color="1BBE03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2FDB9" w:themeColor="accent1" w:themeTint="34" w:fill="C2FDB9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  <w:insideV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1BBE03" w:themeColor="accent1" w:themeTint="EA"/>
          <w:left w:val="single" w:sz="4" w:space="0" w:color="1BBE03" w:themeColor="accent1" w:themeTint="EA"/>
          <w:bottom w:val="single" w:sz="4" w:space="0" w:color="1BBE03" w:themeColor="accent1" w:themeTint="EA"/>
          <w:right w:val="single" w:sz="4" w:space="0" w:color="1BBE03" w:themeColor="accent1" w:themeTint="EA"/>
        </w:tcBorders>
        <w:shd w:val="clear" w:color="1BBE03" w:themeColor="accent1" w:themeTint="EA" w:fill="1BBE03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BBE03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4FDBC" w:themeColor="accent1" w:themeTint="32" w:fill="C4FDBC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  <w:insideV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36B3FB" w:themeColor="accent2" w:themeTint="97"/>
          <w:left w:val="single" w:sz="4" w:space="0" w:color="36B3FB" w:themeColor="accent2" w:themeTint="97"/>
          <w:bottom w:val="single" w:sz="4" w:space="0" w:color="36B3FB" w:themeColor="accent2" w:themeTint="97"/>
          <w:right w:val="single" w:sz="4" w:space="0" w:color="36B3FB" w:themeColor="accent2" w:themeTint="97"/>
        </w:tcBorders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  <w:insideV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43E03" w:themeColor="accent3" w:themeTint="FE"/>
          <w:left w:val="single" w:sz="4" w:space="0" w:color="A43E03" w:themeColor="accent3" w:themeTint="FE"/>
          <w:bottom w:val="single" w:sz="4" w:space="0" w:color="A43E03" w:themeColor="accent3" w:themeTint="FE"/>
          <w:right w:val="single" w:sz="4" w:space="0" w:color="A43E03" w:themeColor="accent3" w:themeTint="FE"/>
        </w:tcBorders>
        <w:shd w:val="clear" w:color="A43E03" w:themeColor="accent3" w:themeTint="FE" w:fill="A43E03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43E03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  <w:insideV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E032FB" w:themeColor="accent4" w:themeTint="9A"/>
          <w:left w:val="single" w:sz="4" w:space="0" w:color="E032FB" w:themeColor="accent4" w:themeTint="9A"/>
          <w:bottom w:val="single" w:sz="4" w:space="0" w:color="E032FB" w:themeColor="accent4" w:themeTint="9A"/>
          <w:right w:val="single" w:sz="4" w:space="0" w:color="E032FB" w:themeColor="accent4" w:themeTint="9A"/>
        </w:tcBorders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9C00" w:themeColor="accent5"/>
          <w:left w:val="single" w:sz="4" w:space="0" w:color="C99C00" w:themeColor="accent5"/>
          <w:bottom w:val="single" w:sz="4" w:space="0" w:color="C99C00" w:themeColor="accent5"/>
          <w:right w:val="single" w:sz="4" w:space="0" w:color="C99C00" w:themeColor="accent5"/>
        </w:tcBorders>
        <w:shd w:val="clear" w:color="C99C00" w:themeColor="accent5" w:fill="C99C00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C9211E" w:themeColor="accent6"/>
          <w:left w:val="single" w:sz="4" w:space="0" w:color="C9211E" w:themeColor="accent6"/>
          <w:bottom w:val="single" w:sz="4" w:space="0" w:color="C9211E" w:themeColor="accent6"/>
          <w:right w:val="single" w:sz="4" w:space="0" w:color="C9211E" w:themeColor="accent6"/>
        </w:tcBorders>
        <w:shd w:val="clear" w:color="C9211E" w:themeColor="accent6" w:fill="C9211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2FDB9" w:themeColor="accent1" w:themeTint="34" w:fill="C2FDB9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8A303" w:themeColor="accent1" w:fill="18A303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band1Vert">
      <w:tblPr/>
      <w:tcPr>
        <w:shd w:val="clear" w:color="77FC63" w:themeColor="accent1" w:themeTint="75" w:fill="77FC63" w:themeFill="accent1" w:themeFillTint="75"/>
      </w:tcPr>
    </w:tblStylePr>
    <w:tblStylePr w:type="band1Horz">
      <w:tblPr/>
      <w:tcPr>
        <w:shd w:val="clear" w:color="77FC63" w:themeColor="accent1" w:themeTint="75" w:fill="77FC63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CE6FD" w:themeColor="accent2" w:themeTint="32" w:fill="BCE6FD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369A3" w:themeColor="accent2" w:fill="0369A3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band1Vert">
      <w:tblPr/>
      <w:tcPr>
        <w:shd w:val="clear" w:color="63C4FC" w:themeColor="accent2" w:themeTint="75" w:fill="63C4FC" w:themeFill="accent2" w:themeFillTint="75"/>
      </w:tcPr>
    </w:tblStylePr>
    <w:tblStylePr w:type="band1Horz">
      <w:tblPr/>
      <w:tcPr>
        <w:shd w:val="clear" w:color="63C4FC" w:themeColor="accent2" w:themeTint="75" w:fill="63C4FC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D2B9" w:themeColor="accent3" w:themeTint="34" w:fill="FDD2B9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33E03" w:themeColor="accent3" w:fill="A33E03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band1Vert">
      <w:tblPr/>
      <w:tcPr>
        <w:shd w:val="clear" w:color="FC9B63" w:themeColor="accent3" w:themeTint="75" w:fill="FC9B63" w:themeFill="accent3" w:themeFillTint="75"/>
      </w:tcPr>
    </w:tblStylePr>
    <w:tblStylePr w:type="band1Horz">
      <w:tblPr/>
      <w:tcPr>
        <w:shd w:val="clear" w:color="FC9B63" w:themeColor="accent3" w:themeTint="75" w:fill="FC9B63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4B9FD" w:themeColor="accent4" w:themeTint="34" w:fill="F4B9FD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E03A3" w:themeColor="accent4" w:fill="8E03A3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band1Vert">
      <w:tblPr/>
      <w:tcPr>
        <w:shd w:val="clear" w:color="E763FC" w:themeColor="accent4" w:themeTint="75" w:fill="E763FC" w:themeFill="accent4" w:themeFillTint="75"/>
      </w:tcPr>
    </w:tblStylePr>
    <w:tblStylePr w:type="band1Horz">
      <w:tblPr/>
      <w:tcPr>
        <w:shd w:val="clear" w:color="E763FC" w:themeColor="accent4" w:themeTint="75" w:fill="E763FC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0BF" w:themeColor="accent5" w:themeTint="34" w:fill="FFF0BF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band1Vert">
      <w:tblPr/>
      <w:tcPr>
        <w:shd w:val="clear" w:color="FFDE71" w:themeColor="accent5" w:themeTint="75" w:fill="FFDE71" w:themeFill="accent5" w:themeFillTint="75"/>
      </w:tcPr>
    </w:tblStylePr>
    <w:tblStylePr w:type="band1Horz">
      <w:tblPr/>
      <w:tcPr>
        <w:shd w:val="clear" w:color="FFDE71" w:themeColor="accent5" w:themeTint="75" w:fill="FFDE71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7CDCD" w:themeColor="accent6" w:themeTint="34" w:fill="F7CDCD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band1Vert">
      <w:tblPr/>
      <w:tcPr>
        <w:shd w:val="clear" w:color="EE908F" w:themeColor="accent6" w:themeTint="75" w:fill="EE908F" w:themeFill="accent6" w:themeFillTint="75"/>
      </w:tcPr>
    </w:tblStylePr>
    <w:tblStylePr w:type="band1Horz">
      <w:tblPr/>
      <w:tcPr>
        <w:shd w:val="clear" w:color="EE908F" w:themeColor="accent6" w:themeTint="75" w:fill="EE908F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6AFC55" w:themeColor="accent1" w:themeTint="80"/>
        <w:left w:val="single" w:sz="4" w:space="0" w:color="6AFC55" w:themeColor="accent1" w:themeTint="80"/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6AFC55" w:themeColor="accent1" w:themeTint="80" w:themeShade="95"/>
      </w:rPr>
      <w:tblPr/>
      <w:tcPr>
        <w:tcBorders>
          <w:bottom w:val="single" w:sz="12" w:space="0" w:color="6AFC55" w:themeColor="accent1" w:themeTint="80"/>
        </w:tcBorders>
      </w:tcPr>
    </w:tblStylePr>
    <w:tblStylePr w:type="lastRow">
      <w:rPr>
        <w:b/>
        <w:color w:val="6AFC55" w:themeColor="accent1" w:themeTint="80" w:themeShade="95"/>
      </w:rPr>
    </w:tblStylePr>
    <w:tblStylePr w:type="firstCol">
      <w:rPr>
        <w:b/>
        <w:color w:val="6AFC55" w:themeColor="accent1" w:themeTint="80" w:themeShade="95"/>
      </w:rPr>
    </w:tblStylePr>
    <w:tblStylePr w:type="lastCol">
      <w:rPr>
        <w:b/>
        <w:color w:val="6AFC55" w:themeColor="accent1" w:themeTint="80" w:themeShade="95"/>
      </w:r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43E03" w:themeColor="accent3" w:themeTint="FE"/>
        <w:left w:val="single" w:sz="4" w:space="0" w:color="A43E03" w:themeColor="accent3" w:themeTint="FE"/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43E03" w:themeColor="accent3" w:themeTint="FE" w:themeShade="95"/>
      </w:rPr>
      <w:tblPr/>
      <w:tcPr>
        <w:tcBorders>
          <w:bottom w:val="single" w:sz="12" w:space="0" w:color="A43E03" w:themeColor="accent3" w:themeTint="FE"/>
        </w:tcBorders>
      </w:tcPr>
    </w:tblStylePr>
    <w:tblStylePr w:type="lastRow">
      <w:rPr>
        <w:b/>
        <w:color w:val="A43E03" w:themeColor="accent3" w:themeTint="FE" w:themeShade="95"/>
      </w:rPr>
    </w:tblStylePr>
    <w:tblStylePr w:type="firstCol">
      <w:rPr>
        <w:b/>
        <w:color w:val="A43E03" w:themeColor="accent3" w:themeTint="FE" w:themeShade="95"/>
      </w:rPr>
    </w:tblStylePr>
    <w:tblStylePr w:type="lastCol">
      <w:rPr>
        <w:b/>
        <w:color w:val="A43E03" w:themeColor="accent3" w:themeTint="FE" w:themeShade="95"/>
      </w:r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C99C00" w:themeColor="accent5"/>
        <w:left w:val="single" w:sz="4" w:space="0" w:color="C99C00" w:themeColor="accent5"/>
        <w:bottom w:val="single" w:sz="4" w:space="0" w:color="C99C00" w:themeColor="accent5"/>
        <w:right w:val="single" w:sz="4" w:space="0" w:color="C99C00" w:themeColor="accent5"/>
        <w:insideH w:val="single" w:sz="4" w:space="0" w:color="C99C00" w:themeColor="accent5"/>
        <w:insideV w:val="single" w:sz="4" w:space="0" w:color="C99C00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9C00" w:themeColor="accent5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C9211E" w:themeColor="accent6"/>
        <w:left w:val="single" w:sz="4" w:space="0" w:color="C9211E" w:themeColor="accent6"/>
        <w:bottom w:val="single" w:sz="4" w:space="0" w:color="C9211E" w:themeColor="accent6"/>
        <w:right w:val="single" w:sz="4" w:space="0" w:color="C9211E" w:themeColor="accent6"/>
        <w:insideH w:val="single" w:sz="4" w:space="0" w:color="C9211E" w:themeColor="accent6"/>
        <w:insideV w:val="single" w:sz="4" w:space="0" w:color="C9211E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55A00" w:themeColor="accent5" w:themeShade="95"/>
      </w:rPr>
      <w:tblPr/>
      <w:tcPr>
        <w:tcBorders>
          <w:bottom w:val="single" w:sz="12" w:space="0" w:color="C9211E" w:themeColor="accent6"/>
        </w:tcBorders>
      </w:tcPr>
    </w:tblStylePr>
    <w:tblStylePr w:type="lastRow">
      <w:rPr>
        <w:b/>
        <w:color w:val="755A00" w:themeColor="accent5" w:themeShade="95"/>
      </w:rPr>
    </w:tblStylePr>
    <w:tblStylePr w:type="firstCol">
      <w:rPr>
        <w:b/>
        <w:color w:val="755A00" w:themeColor="accent5" w:themeShade="95"/>
      </w:rPr>
    </w:tblStylePr>
    <w:tblStylePr w:type="lastCol">
      <w:rPr>
        <w:b/>
        <w:color w:val="755A00" w:themeColor="accent5" w:themeShade="95"/>
      </w:r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6AFC55" w:themeColor="accent1" w:themeTint="80"/>
        <w:right w:val="single" w:sz="4" w:space="0" w:color="6AFC55" w:themeColor="accent1" w:themeTint="80"/>
        <w:insideH w:val="single" w:sz="4" w:space="0" w:color="6AFC55" w:themeColor="accent1" w:themeTint="80"/>
        <w:insideV w:val="single" w:sz="4" w:space="0" w:color="6AFC55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AFC55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6AFC55" w:themeColor="accent1" w:themeTint="80" w:themeShade="95"/>
        <w:sz w:val="22"/>
      </w:rPr>
      <w:tblPr/>
      <w:tcPr>
        <w:tcBorders>
          <w:top w:val="single" w:sz="4" w:space="0" w:color="6AFC55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AFC55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6AFC55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AFC55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2FDB9" w:themeColor="accent1" w:themeTint="34" w:fill="C2FDB9" w:themeFill="accent1" w:themeFillTint="34"/>
      </w:tcPr>
    </w:tblStylePr>
    <w:tblStylePr w:type="band1Horz">
      <w:rPr>
        <w:rFonts w:ascii="Liberation Sans" w:hAnsi="Liberation Sans"/>
        <w:color w:val="6AFC55" w:themeColor="accent1" w:themeTint="80" w:themeShade="95"/>
        <w:sz w:val="22"/>
      </w:rPr>
      <w:tblPr/>
      <w:tcPr>
        <w:shd w:val="clear" w:color="C2FDB9" w:themeColor="accent1" w:themeTint="34" w:fill="C2FDB9" w:themeFill="accent1" w:themeFillTint="34"/>
      </w:tcPr>
    </w:tblStylePr>
    <w:tblStylePr w:type="band2Horz">
      <w:rPr>
        <w:rFonts w:ascii="Liberation Sans" w:hAnsi="Liberation Sans"/>
        <w:color w:val="6AFC55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36B3FB" w:themeColor="accent2" w:themeTint="97"/>
        <w:right w:val="single" w:sz="4" w:space="0" w:color="36B3FB" w:themeColor="accent2" w:themeTint="97"/>
        <w:insideH w:val="single" w:sz="4" w:space="0" w:color="36B3FB" w:themeColor="accent2" w:themeTint="97"/>
        <w:insideV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43E03" w:themeColor="accent3" w:themeTint="FE"/>
        <w:right w:val="single" w:sz="4" w:space="0" w:color="A43E03" w:themeColor="accent3" w:themeTint="FE"/>
        <w:insideH w:val="single" w:sz="4" w:space="0" w:color="A43E03" w:themeColor="accent3" w:themeTint="FE"/>
        <w:insideV w:val="single" w:sz="4" w:space="0" w:color="A43E03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43E03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43E03" w:themeColor="accent3" w:themeTint="FE" w:themeShade="95"/>
        <w:sz w:val="22"/>
      </w:rPr>
      <w:tblPr/>
      <w:tcPr>
        <w:tcBorders>
          <w:top w:val="single" w:sz="4" w:space="0" w:color="A43E03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43E03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43E03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43E03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A43E03" w:themeColor="accent3" w:themeTint="FE" w:themeShade="95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2Horz">
      <w:rPr>
        <w:rFonts w:ascii="Liberation Sans" w:hAnsi="Liberation Sans"/>
        <w:color w:val="A43E03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E032FB" w:themeColor="accent4" w:themeTint="9A"/>
        <w:right w:val="single" w:sz="4" w:space="0" w:color="E032FB" w:themeColor="accent4" w:themeTint="9A"/>
        <w:insideH w:val="single" w:sz="4" w:space="0" w:color="E032FB" w:themeColor="accent4" w:themeTint="9A"/>
        <w:insideV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  <w:insideV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750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5A00" w:themeColor="accent5" w:themeShade="95"/>
        <w:sz w:val="22"/>
      </w:rPr>
      <w:tblPr/>
      <w:tcPr>
        <w:tcBorders>
          <w:top w:val="single" w:sz="4" w:space="0" w:color="FFD750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750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5A00" w:themeColor="accent5" w:themeShade="95"/>
        <w:sz w:val="22"/>
      </w:rPr>
      <w:tblPr/>
      <w:tcPr>
        <w:tcBorders>
          <w:top w:val="none" w:sz="0" w:space="0" w:color="auto"/>
          <w:left w:val="single" w:sz="4" w:space="0" w:color="FFD750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755A00" w:themeColor="accent5" w:themeShade="95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2Horz">
      <w:rPr>
        <w:rFonts w:ascii="Liberation Sans" w:hAnsi="Liberation Sans"/>
        <w:color w:val="755A00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  <w:insideV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A7775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51311" w:themeColor="accent6" w:themeShade="95"/>
        <w:sz w:val="22"/>
      </w:rPr>
      <w:tblPr/>
      <w:tcPr>
        <w:tcBorders>
          <w:top w:val="single" w:sz="4" w:space="0" w:color="EA7775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A7775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51311" w:themeColor="accent6" w:themeShade="95"/>
        <w:sz w:val="22"/>
      </w:rPr>
      <w:tblPr/>
      <w:tcPr>
        <w:tcBorders>
          <w:top w:val="none" w:sz="0" w:space="0" w:color="auto"/>
          <w:left w:val="single" w:sz="4" w:space="0" w:color="EA7775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751311" w:themeColor="accent6" w:themeShade="95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2Horz">
      <w:rPr>
        <w:rFonts w:ascii="Liberation Sans" w:hAnsi="Liberation Sans"/>
        <w:color w:val="751311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8A303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8A303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369A3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369A3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33E03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33E03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E03A3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E03A3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9C00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9C00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211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9211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tblPr/>
      <w:tcPr>
        <w:shd w:val="clear" w:color="F6C2C1" w:themeColor="accent6" w:themeTint="40" w:fill="F6C2C1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bottom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58FB40" w:themeColor="accent1" w:themeTint="90"/>
          <w:left w:val="none" w:sz="4" w:space="0" w:color="000000"/>
          <w:bottom w:val="single" w:sz="4" w:space="0" w:color="58FB40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bottom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40B7FB" w:themeColor="accent2" w:themeTint="90"/>
          <w:left w:val="none" w:sz="4" w:space="0" w:color="000000"/>
          <w:bottom w:val="single" w:sz="4" w:space="0" w:color="40B7FB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bottom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B8540" w:themeColor="accent3" w:themeTint="90"/>
          <w:left w:val="none" w:sz="4" w:space="0" w:color="000000"/>
          <w:bottom w:val="single" w:sz="4" w:space="0" w:color="FB8540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bottom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240FB" w:themeColor="accent4" w:themeTint="90"/>
          <w:left w:val="none" w:sz="4" w:space="0" w:color="000000"/>
          <w:bottom w:val="single" w:sz="4" w:space="0" w:color="E240FB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bottom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750" w:themeColor="accent5" w:themeTint="90"/>
          <w:left w:val="none" w:sz="4" w:space="0" w:color="000000"/>
          <w:bottom w:val="single" w:sz="4" w:space="0" w:color="FFD750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bottom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EA7775" w:themeColor="accent6" w:themeTint="90"/>
          <w:left w:val="none" w:sz="4" w:space="0" w:color="000000"/>
          <w:bottom w:val="single" w:sz="4" w:space="0" w:color="EA7775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left w:val="single" w:sz="4" w:space="0" w:color="18A303" w:themeColor="accent1"/>
        <w:bottom w:val="single" w:sz="4" w:space="0" w:color="18A303" w:themeColor="accent1"/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18A303" w:themeColor="accent1"/>
          <w:right w:val="single" w:sz="4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18A303" w:themeColor="accent1"/>
          <w:bottom w:val="single" w:sz="4" w:space="0" w:color="18A303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left w:val="single" w:sz="4" w:space="0" w:color="36B3FB" w:themeColor="accent2" w:themeTint="97"/>
        <w:bottom w:val="single" w:sz="4" w:space="0" w:color="36B3FB" w:themeColor="accent2" w:themeTint="97"/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36B3FB" w:themeColor="accent2" w:themeTint="97"/>
          <w:right w:val="single" w:sz="4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36B3FB" w:themeColor="accent2" w:themeTint="97"/>
          <w:bottom w:val="single" w:sz="4" w:space="0" w:color="36B3FB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left w:val="single" w:sz="4" w:space="0" w:color="FB7E35" w:themeColor="accent3" w:themeTint="98"/>
        <w:bottom w:val="single" w:sz="4" w:space="0" w:color="FB7E35" w:themeColor="accent3" w:themeTint="98"/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B7E35" w:themeColor="accent3" w:themeTint="98" w:fill="FB7E35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B7E35" w:themeColor="accent3" w:themeTint="98"/>
          <w:right w:val="single" w:sz="4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7E35" w:themeColor="accent3" w:themeTint="98"/>
          <w:bottom w:val="single" w:sz="4" w:space="0" w:color="FB7E35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left w:val="single" w:sz="4" w:space="0" w:color="E032FB" w:themeColor="accent4" w:themeTint="9A"/>
        <w:bottom w:val="single" w:sz="4" w:space="0" w:color="E032FB" w:themeColor="accent4" w:themeTint="9A"/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032FB" w:themeColor="accent4" w:themeTint="9A"/>
          <w:right w:val="single" w:sz="4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032FB" w:themeColor="accent4" w:themeTint="9A"/>
          <w:bottom w:val="single" w:sz="4" w:space="0" w:color="E032FB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left w:val="single" w:sz="4" w:space="0" w:color="FFD444" w:themeColor="accent5" w:themeTint="9A"/>
        <w:bottom w:val="single" w:sz="4" w:space="0" w:color="FFD444" w:themeColor="accent5" w:themeTint="9A"/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444" w:themeColor="accent5" w:themeTint="9A" w:fill="FFD444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444" w:themeColor="accent5" w:themeTint="9A"/>
          <w:right w:val="single" w:sz="4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444" w:themeColor="accent5" w:themeTint="9A"/>
          <w:bottom w:val="single" w:sz="4" w:space="0" w:color="FFD444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left w:val="single" w:sz="4" w:space="0" w:color="E9706E" w:themeColor="accent6" w:themeTint="98"/>
        <w:bottom w:val="single" w:sz="4" w:space="0" w:color="E9706E" w:themeColor="accent6" w:themeTint="98"/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9706E" w:themeColor="accent6" w:themeTint="98" w:fill="E9706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E9706E" w:themeColor="accent6" w:themeTint="98"/>
          <w:right w:val="single" w:sz="4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9706E" w:themeColor="accent6" w:themeTint="98"/>
          <w:bottom w:val="single" w:sz="4" w:space="0" w:color="E9706E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58FB40" w:themeColor="accent1" w:themeTint="90"/>
        <w:left w:val="single" w:sz="4" w:space="0" w:color="58FB40" w:themeColor="accent1" w:themeTint="90"/>
        <w:bottom w:val="single" w:sz="4" w:space="0" w:color="58FB40" w:themeColor="accent1" w:themeTint="90"/>
        <w:right w:val="single" w:sz="4" w:space="0" w:color="58FB40" w:themeColor="accent1" w:themeTint="90"/>
        <w:insideH w:val="single" w:sz="4" w:space="0" w:color="58FB40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18A303" w:themeColor="accent1" w:fill="18A303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4FDA9" w:themeColor="accent1" w:themeTint="40" w:fill="B4FDA9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40B7FB" w:themeColor="accent2" w:themeTint="90"/>
        <w:left w:val="single" w:sz="4" w:space="0" w:color="40B7FB" w:themeColor="accent2" w:themeTint="90"/>
        <w:bottom w:val="single" w:sz="4" w:space="0" w:color="40B7FB" w:themeColor="accent2" w:themeTint="90"/>
        <w:right w:val="single" w:sz="4" w:space="0" w:color="40B7FB" w:themeColor="accent2" w:themeTint="90"/>
        <w:insideH w:val="single" w:sz="4" w:space="0" w:color="40B7FB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369A3" w:themeColor="accent2" w:fill="0369A3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A9DEFD" w:themeColor="accent2" w:themeTint="40" w:fill="A9DEFD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FB8540" w:themeColor="accent3" w:themeTint="90"/>
        <w:left w:val="single" w:sz="4" w:space="0" w:color="FB8540" w:themeColor="accent3" w:themeTint="90"/>
        <w:bottom w:val="single" w:sz="4" w:space="0" w:color="FB8540" w:themeColor="accent3" w:themeTint="90"/>
        <w:right w:val="single" w:sz="4" w:space="0" w:color="FB8540" w:themeColor="accent3" w:themeTint="90"/>
        <w:insideH w:val="single" w:sz="4" w:space="0" w:color="FB8540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33E03" w:themeColor="accent3" w:fill="A33E0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C8A9" w:themeColor="accent3" w:themeTint="40" w:fill="FDC8A9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E240FB" w:themeColor="accent4" w:themeTint="90"/>
        <w:left w:val="single" w:sz="4" w:space="0" w:color="E240FB" w:themeColor="accent4" w:themeTint="90"/>
        <w:bottom w:val="single" w:sz="4" w:space="0" w:color="E240FB" w:themeColor="accent4" w:themeTint="90"/>
        <w:right w:val="single" w:sz="4" w:space="0" w:color="E240FB" w:themeColor="accent4" w:themeTint="90"/>
        <w:insideH w:val="single" w:sz="4" w:space="0" w:color="E240FB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E03A3" w:themeColor="accent4" w:fill="8E03A3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A9FD" w:themeColor="accent4" w:themeTint="40" w:fill="F2A9FD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FFD750" w:themeColor="accent5" w:themeTint="90"/>
        <w:left w:val="single" w:sz="4" w:space="0" w:color="FFD750" w:themeColor="accent5" w:themeTint="90"/>
        <w:bottom w:val="single" w:sz="4" w:space="0" w:color="FFD750" w:themeColor="accent5" w:themeTint="90"/>
        <w:right w:val="single" w:sz="4" w:space="0" w:color="FFD750" w:themeColor="accent5" w:themeTint="90"/>
        <w:insideH w:val="single" w:sz="4" w:space="0" w:color="FFD750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DB1" w:themeColor="accent5" w:themeTint="40" w:fill="FFEDB1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EA7775" w:themeColor="accent6" w:themeTint="90"/>
        <w:left w:val="single" w:sz="4" w:space="0" w:color="EA7775" w:themeColor="accent6" w:themeTint="90"/>
        <w:bottom w:val="single" w:sz="4" w:space="0" w:color="EA7775" w:themeColor="accent6" w:themeTint="90"/>
        <w:right w:val="single" w:sz="4" w:space="0" w:color="EA7775" w:themeColor="accent6" w:themeTint="90"/>
        <w:insideH w:val="single" w:sz="4" w:space="0" w:color="EA7775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6C2C1" w:themeColor="accent6" w:themeTint="40" w:fill="F6C2C1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18A303" w:themeColor="accent1"/>
        <w:left w:val="single" w:sz="32" w:space="0" w:color="18A303" w:themeColor="accent1"/>
        <w:bottom w:val="single" w:sz="32" w:space="0" w:color="18A303" w:themeColor="accent1"/>
        <w:right w:val="single" w:sz="32" w:space="0" w:color="18A303" w:themeColor="accent1"/>
      </w:tblBorders>
      <w:shd w:val="clear" w:color="18A303" w:themeColor="accent1" w:fill="18A303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18A303" w:themeColor="accent1"/>
          <w:bottom w:val="single" w:sz="12" w:space="0" w:color="FFFFFF" w:themeColor="light1"/>
        </w:tcBorders>
        <w:shd w:val="clear" w:color="18A303" w:themeColor="accent1" w:fill="18A303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18A303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8A303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8A303" w:themeColor="accent1" w:fill="18A303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8A303" w:themeColor="accent1" w:fill="18A303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36B3FB" w:themeColor="accent2" w:themeTint="97"/>
        <w:left w:val="single" w:sz="32" w:space="0" w:color="36B3FB" w:themeColor="accent2" w:themeTint="97"/>
        <w:bottom w:val="single" w:sz="32" w:space="0" w:color="36B3FB" w:themeColor="accent2" w:themeTint="97"/>
        <w:right w:val="single" w:sz="32" w:space="0" w:color="36B3FB" w:themeColor="accent2" w:themeTint="97"/>
      </w:tblBorders>
      <w:shd w:val="clear" w:color="36B3FB" w:themeColor="accent2" w:themeTint="97" w:fill="36B3FB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36B3FB" w:themeColor="accent2" w:themeTint="97"/>
          <w:bottom w:val="single" w:sz="12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36B3FB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36B3FB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36B3FB" w:themeColor="accent2" w:themeTint="97" w:fill="36B3FB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FB7E35" w:themeColor="accent3" w:themeTint="98"/>
        <w:left w:val="single" w:sz="32" w:space="0" w:color="FB7E35" w:themeColor="accent3" w:themeTint="98"/>
        <w:bottom w:val="single" w:sz="32" w:space="0" w:color="FB7E35" w:themeColor="accent3" w:themeTint="98"/>
        <w:right w:val="single" w:sz="32" w:space="0" w:color="FB7E35" w:themeColor="accent3" w:themeTint="98"/>
      </w:tblBorders>
      <w:shd w:val="clear" w:color="FB7E35" w:themeColor="accent3" w:themeTint="98" w:fill="FB7E35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B7E35" w:themeColor="accent3" w:themeTint="98"/>
          <w:bottom w:val="single" w:sz="12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B7E35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B7E35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B7E35" w:themeColor="accent3" w:themeTint="98" w:fill="FB7E35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E032FB" w:themeColor="accent4" w:themeTint="9A"/>
        <w:left w:val="single" w:sz="32" w:space="0" w:color="E032FB" w:themeColor="accent4" w:themeTint="9A"/>
        <w:bottom w:val="single" w:sz="32" w:space="0" w:color="E032FB" w:themeColor="accent4" w:themeTint="9A"/>
        <w:right w:val="single" w:sz="32" w:space="0" w:color="E032FB" w:themeColor="accent4" w:themeTint="9A"/>
      </w:tblBorders>
      <w:shd w:val="clear" w:color="E032FB" w:themeColor="accent4" w:themeTint="9A" w:fill="E032FB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032FB" w:themeColor="accent4" w:themeTint="9A"/>
          <w:bottom w:val="single" w:sz="12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032FB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032FB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032FB" w:themeColor="accent4" w:themeTint="9A" w:fill="E032FB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FFD444" w:themeColor="accent5" w:themeTint="9A"/>
        <w:left w:val="single" w:sz="32" w:space="0" w:color="FFD444" w:themeColor="accent5" w:themeTint="9A"/>
        <w:bottom w:val="single" w:sz="32" w:space="0" w:color="FFD444" w:themeColor="accent5" w:themeTint="9A"/>
        <w:right w:val="single" w:sz="32" w:space="0" w:color="FFD444" w:themeColor="accent5" w:themeTint="9A"/>
      </w:tblBorders>
      <w:shd w:val="clear" w:color="FFD444" w:themeColor="accent5" w:themeTint="9A" w:fill="FFD444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444" w:themeColor="accent5" w:themeTint="9A"/>
          <w:bottom w:val="single" w:sz="12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444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444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444" w:themeColor="accent5" w:themeTint="9A" w:fill="FFD444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E9706E" w:themeColor="accent6" w:themeTint="98"/>
        <w:left w:val="single" w:sz="32" w:space="0" w:color="E9706E" w:themeColor="accent6" w:themeTint="98"/>
        <w:bottom w:val="single" w:sz="32" w:space="0" w:color="E9706E" w:themeColor="accent6" w:themeTint="98"/>
        <w:right w:val="single" w:sz="32" w:space="0" w:color="E9706E" w:themeColor="accent6" w:themeTint="98"/>
      </w:tblBorders>
      <w:shd w:val="clear" w:color="E9706E" w:themeColor="accent6" w:themeTint="98" w:fill="E9706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E9706E" w:themeColor="accent6" w:themeTint="98"/>
          <w:bottom w:val="single" w:sz="12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E9706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9706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9706E" w:themeColor="accent6" w:themeTint="98" w:fill="E9706E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18A303" w:themeColor="accent1"/>
        <w:bottom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D5E01" w:themeColor="accent1" w:themeShade="95"/>
      </w:rPr>
      <w:tblPr/>
      <w:tcPr>
        <w:tcBorders>
          <w:bottom w:val="single" w:sz="4" w:space="0" w:color="18A303" w:themeColor="accent1"/>
        </w:tcBorders>
      </w:tcPr>
    </w:tblStylePr>
    <w:tblStylePr w:type="lastRow">
      <w:rPr>
        <w:b/>
        <w:color w:val="0D5E01" w:themeColor="accent1" w:themeShade="95"/>
      </w:rPr>
      <w:tblPr/>
      <w:tcPr>
        <w:tcBorders>
          <w:top w:val="single" w:sz="4" w:space="0" w:color="18A303" w:themeColor="accent1"/>
        </w:tcBorders>
      </w:tcPr>
    </w:tblStylePr>
    <w:tblStylePr w:type="firstCol">
      <w:rPr>
        <w:b/>
        <w:color w:val="0D5E01" w:themeColor="accent1" w:themeShade="95"/>
      </w:rPr>
    </w:tblStylePr>
    <w:tblStylePr w:type="lastCol">
      <w:rPr>
        <w:b/>
        <w:color w:val="0D5E01" w:themeColor="accent1" w:themeShade="95"/>
      </w:r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36B3FB" w:themeColor="accent2" w:themeTint="97"/>
        <w:bottom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36B3FB" w:themeColor="accent2" w:themeTint="97" w:themeShade="95"/>
      </w:rPr>
      <w:tblPr/>
      <w:tcPr>
        <w:tcBorders>
          <w:bottom w:val="single" w:sz="4" w:space="0" w:color="36B3FB" w:themeColor="accent2" w:themeTint="97"/>
        </w:tcBorders>
      </w:tcPr>
    </w:tblStylePr>
    <w:tblStylePr w:type="lastRow">
      <w:rPr>
        <w:b/>
        <w:color w:val="36B3FB" w:themeColor="accent2" w:themeTint="97" w:themeShade="95"/>
      </w:rPr>
      <w:tblPr/>
      <w:tcPr>
        <w:tcBorders>
          <w:top w:val="single" w:sz="4" w:space="0" w:color="36B3FB" w:themeColor="accent2" w:themeTint="97"/>
        </w:tcBorders>
      </w:tcPr>
    </w:tblStylePr>
    <w:tblStylePr w:type="firstCol">
      <w:rPr>
        <w:b/>
        <w:color w:val="36B3FB" w:themeColor="accent2" w:themeTint="97" w:themeShade="95"/>
      </w:rPr>
    </w:tblStylePr>
    <w:tblStylePr w:type="lastCol">
      <w:rPr>
        <w:b/>
        <w:color w:val="36B3FB" w:themeColor="accent2" w:themeTint="97" w:themeShade="95"/>
      </w:r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FB7E35" w:themeColor="accent3" w:themeTint="98"/>
        <w:bottom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B7E35" w:themeColor="accent3" w:themeTint="98" w:themeShade="95"/>
      </w:rPr>
      <w:tblPr/>
      <w:tcPr>
        <w:tcBorders>
          <w:bottom w:val="single" w:sz="4" w:space="0" w:color="FB7E35" w:themeColor="accent3" w:themeTint="98"/>
        </w:tcBorders>
      </w:tcPr>
    </w:tblStylePr>
    <w:tblStylePr w:type="lastRow">
      <w:rPr>
        <w:b/>
        <w:color w:val="FB7E35" w:themeColor="accent3" w:themeTint="98" w:themeShade="95"/>
      </w:rPr>
      <w:tblPr/>
      <w:tcPr>
        <w:tcBorders>
          <w:top w:val="single" w:sz="4" w:space="0" w:color="FB7E35" w:themeColor="accent3" w:themeTint="98"/>
        </w:tcBorders>
      </w:tcPr>
    </w:tblStylePr>
    <w:tblStylePr w:type="firstCol">
      <w:rPr>
        <w:b/>
        <w:color w:val="FB7E35" w:themeColor="accent3" w:themeTint="98" w:themeShade="95"/>
      </w:rPr>
    </w:tblStylePr>
    <w:tblStylePr w:type="lastCol">
      <w:rPr>
        <w:b/>
        <w:color w:val="FB7E35" w:themeColor="accent3" w:themeTint="98" w:themeShade="95"/>
      </w:r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E032FB" w:themeColor="accent4" w:themeTint="9A"/>
        <w:bottom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032FB" w:themeColor="accent4" w:themeTint="9A" w:themeShade="95"/>
      </w:rPr>
      <w:tblPr/>
      <w:tcPr>
        <w:tcBorders>
          <w:bottom w:val="single" w:sz="4" w:space="0" w:color="E032FB" w:themeColor="accent4" w:themeTint="9A"/>
        </w:tcBorders>
      </w:tcPr>
    </w:tblStylePr>
    <w:tblStylePr w:type="lastRow">
      <w:rPr>
        <w:b/>
        <w:color w:val="E032FB" w:themeColor="accent4" w:themeTint="9A" w:themeShade="95"/>
      </w:rPr>
      <w:tblPr/>
      <w:tcPr>
        <w:tcBorders>
          <w:top w:val="single" w:sz="4" w:space="0" w:color="E032FB" w:themeColor="accent4" w:themeTint="9A"/>
        </w:tcBorders>
      </w:tcPr>
    </w:tblStylePr>
    <w:tblStylePr w:type="firstCol">
      <w:rPr>
        <w:b/>
        <w:color w:val="E032FB" w:themeColor="accent4" w:themeTint="9A" w:themeShade="95"/>
      </w:rPr>
    </w:tblStylePr>
    <w:tblStylePr w:type="lastCol">
      <w:rPr>
        <w:b/>
        <w:color w:val="E032FB" w:themeColor="accent4" w:themeTint="9A" w:themeShade="95"/>
      </w:r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FFD444" w:themeColor="accent5" w:themeTint="9A"/>
        <w:bottom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444" w:themeColor="accent5" w:themeTint="9A" w:themeShade="95"/>
      </w:rPr>
      <w:tblPr/>
      <w:tcPr>
        <w:tcBorders>
          <w:bottom w:val="single" w:sz="4" w:space="0" w:color="FFD444" w:themeColor="accent5" w:themeTint="9A"/>
        </w:tcBorders>
      </w:tcPr>
    </w:tblStylePr>
    <w:tblStylePr w:type="lastRow">
      <w:rPr>
        <w:b/>
        <w:color w:val="FFD444" w:themeColor="accent5" w:themeTint="9A" w:themeShade="95"/>
      </w:rPr>
      <w:tblPr/>
      <w:tcPr>
        <w:tcBorders>
          <w:top w:val="single" w:sz="4" w:space="0" w:color="FFD444" w:themeColor="accent5" w:themeTint="9A"/>
        </w:tcBorders>
      </w:tcPr>
    </w:tblStylePr>
    <w:tblStylePr w:type="firstCol">
      <w:rPr>
        <w:b/>
        <w:color w:val="FFD444" w:themeColor="accent5" w:themeTint="9A" w:themeShade="95"/>
      </w:rPr>
    </w:tblStylePr>
    <w:tblStylePr w:type="lastCol">
      <w:rPr>
        <w:b/>
        <w:color w:val="FFD444" w:themeColor="accent5" w:themeTint="9A" w:themeShade="95"/>
      </w:r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E9706E" w:themeColor="accent6" w:themeTint="98"/>
        <w:bottom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E9706E" w:themeColor="accent6" w:themeTint="98" w:themeShade="95"/>
      </w:rPr>
      <w:tblPr/>
      <w:tcPr>
        <w:tcBorders>
          <w:bottom w:val="single" w:sz="4" w:space="0" w:color="E9706E" w:themeColor="accent6" w:themeTint="98"/>
        </w:tcBorders>
      </w:tcPr>
    </w:tblStylePr>
    <w:tblStylePr w:type="lastRow">
      <w:rPr>
        <w:b/>
        <w:color w:val="E9706E" w:themeColor="accent6" w:themeTint="98" w:themeShade="95"/>
      </w:rPr>
      <w:tblPr/>
      <w:tcPr>
        <w:tcBorders>
          <w:top w:val="single" w:sz="4" w:space="0" w:color="E9706E" w:themeColor="accent6" w:themeTint="98"/>
        </w:tcBorders>
      </w:tcPr>
    </w:tblStylePr>
    <w:tblStylePr w:type="firstCol">
      <w:rPr>
        <w:b/>
        <w:color w:val="E9706E" w:themeColor="accent6" w:themeTint="98" w:themeShade="95"/>
      </w:rPr>
    </w:tblStylePr>
    <w:tblStylePr w:type="lastCol">
      <w:rPr>
        <w:b/>
        <w:color w:val="E9706E" w:themeColor="accent6" w:themeTint="98" w:themeShade="95"/>
      </w:r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18A303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8A303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single" w:sz="4" w:space="0" w:color="18A303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8A303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0D5E01" w:themeColor="accent1" w:themeShade="95"/>
        <w:sz w:val="22"/>
      </w:rPr>
      <w:tblPr/>
      <w:tcPr>
        <w:tcBorders>
          <w:top w:val="none" w:sz="0" w:space="0" w:color="auto"/>
          <w:left w:val="single" w:sz="4" w:space="0" w:color="18A303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4FDA9" w:themeColor="accent1" w:themeTint="40" w:fill="B4FDA9" w:themeFill="accent1" w:themeFillTint="40"/>
      </w:tcPr>
    </w:tblStylePr>
    <w:tblStylePr w:type="band1Horz">
      <w:rPr>
        <w:rFonts w:ascii="Liberation Sans" w:hAnsi="Liberation Sans"/>
        <w:color w:val="0D5E01" w:themeColor="accent1" w:themeShade="95"/>
        <w:sz w:val="22"/>
      </w:rPr>
      <w:tblPr/>
      <w:tcPr>
        <w:shd w:val="clear" w:color="B4FDA9" w:themeColor="accent1" w:themeTint="40" w:fill="B4FDA9" w:themeFill="accent1" w:themeFillTint="40"/>
      </w:tcPr>
    </w:tblStylePr>
    <w:tblStylePr w:type="band2Horz">
      <w:rPr>
        <w:rFonts w:ascii="Liberation Sans" w:hAnsi="Liberation Sans"/>
        <w:color w:val="0D5E0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36B3FB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36B3FB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single" w:sz="4" w:space="0" w:color="36B3FB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36B3FB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36B3FB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36B3FB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A9DEFD" w:themeColor="accent2" w:themeTint="40" w:fill="A9DEFD" w:themeFill="accent2" w:themeFillTint="40"/>
      </w:tcPr>
    </w:tblStylePr>
    <w:tblStylePr w:type="band1Horz">
      <w:rPr>
        <w:rFonts w:ascii="Liberation Sans" w:hAnsi="Liberation Sans"/>
        <w:color w:val="36B3FB" w:themeColor="accent2" w:themeTint="97" w:themeShade="95"/>
        <w:sz w:val="22"/>
      </w:rPr>
      <w:tblPr/>
      <w:tcPr>
        <w:shd w:val="clear" w:color="A9DEFD" w:themeColor="accent2" w:themeTint="40" w:fill="A9DEFD" w:themeFill="accent2" w:themeFillTint="40"/>
      </w:tcPr>
    </w:tblStylePr>
    <w:tblStylePr w:type="band2Horz">
      <w:rPr>
        <w:rFonts w:ascii="Liberation Sans" w:hAnsi="Liberation Sans"/>
        <w:color w:val="36B3FB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FB7E35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B7E35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single" w:sz="4" w:space="0" w:color="FB7E35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B7E35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B7E35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FB7E35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C8A9" w:themeColor="accent3" w:themeTint="40" w:fill="FDC8A9" w:themeFill="accent3" w:themeFillTint="40"/>
      </w:tcPr>
    </w:tblStylePr>
    <w:tblStylePr w:type="band1Horz">
      <w:rPr>
        <w:rFonts w:ascii="Liberation Sans" w:hAnsi="Liberation Sans"/>
        <w:color w:val="FB7E35" w:themeColor="accent3" w:themeTint="98" w:themeShade="95"/>
        <w:sz w:val="22"/>
      </w:rPr>
      <w:tblPr/>
      <w:tcPr>
        <w:shd w:val="clear" w:color="FDC8A9" w:themeColor="accent3" w:themeTint="40" w:fill="FDC8A9" w:themeFill="accent3" w:themeFillTint="40"/>
      </w:tcPr>
    </w:tblStylePr>
    <w:tblStylePr w:type="band2Horz">
      <w:rPr>
        <w:rFonts w:ascii="Liberation Sans" w:hAnsi="Liberation Sans"/>
        <w:color w:val="FB7E35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E032FB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032FB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single" w:sz="4" w:space="0" w:color="E032FB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032FB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032FB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E032FB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A9FD" w:themeColor="accent4" w:themeTint="40" w:fill="F2A9FD" w:themeFill="accent4" w:themeFillTint="40"/>
      </w:tcPr>
    </w:tblStylePr>
    <w:tblStylePr w:type="band1Horz">
      <w:rPr>
        <w:rFonts w:ascii="Liberation Sans" w:hAnsi="Liberation Sans"/>
        <w:color w:val="E032FB" w:themeColor="accent4" w:themeTint="9A" w:themeShade="95"/>
        <w:sz w:val="22"/>
      </w:rPr>
      <w:tblPr/>
      <w:tcPr>
        <w:shd w:val="clear" w:color="F2A9FD" w:themeColor="accent4" w:themeTint="40" w:fill="F2A9FD" w:themeFill="accent4" w:themeFillTint="40"/>
      </w:tcPr>
    </w:tblStylePr>
    <w:tblStylePr w:type="band2Horz">
      <w:rPr>
        <w:rFonts w:ascii="Liberation Sans" w:hAnsi="Liberation Sans"/>
        <w:color w:val="E032FB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FFD444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444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single" w:sz="4" w:space="0" w:color="FFD444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444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444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FFD444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DB1" w:themeColor="accent5" w:themeTint="40" w:fill="FFEDB1" w:themeFill="accent5" w:themeFillTint="40"/>
      </w:tcPr>
    </w:tblStylePr>
    <w:tblStylePr w:type="band1Horz">
      <w:rPr>
        <w:rFonts w:ascii="Liberation Sans" w:hAnsi="Liberation Sans"/>
        <w:color w:val="FFD444" w:themeColor="accent5" w:themeTint="9A" w:themeShade="95"/>
        <w:sz w:val="22"/>
      </w:rPr>
      <w:tblPr/>
      <w:tcPr>
        <w:shd w:val="clear" w:color="FFEDB1" w:themeColor="accent5" w:themeTint="40" w:fill="FFEDB1" w:themeFill="accent5" w:themeFillTint="40"/>
      </w:tcPr>
    </w:tblStylePr>
    <w:tblStylePr w:type="band2Horz">
      <w:rPr>
        <w:rFonts w:ascii="Liberation Sans" w:hAnsi="Liberation Sans"/>
        <w:color w:val="FFD444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E9706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9706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single" w:sz="4" w:space="0" w:color="E9706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9706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E9706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E9706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6C2C1" w:themeColor="accent6" w:themeTint="40" w:fill="F6C2C1" w:themeFill="accent6" w:themeFillTint="40"/>
      </w:tcPr>
    </w:tblStylePr>
    <w:tblStylePr w:type="band1Horz">
      <w:rPr>
        <w:rFonts w:ascii="Liberation Sans" w:hAnsi="Liberation Sans"/>
        <w:color w:val="E9706E" w:themeColor="accent6" w:themeTint="98" w:themeShade="95"/>
        <w:sz w:val="22"/>
      </w:rPr>
      <w:tblPr/>
      <w:tcPr>
        <w:shd w:val="clear" w:color="F6C2C1" w:themeColor="accent6" w:themeTint="40" w:fill="F6C2C1" w:themeFill="accent6" w:themeFillTint="40"/>
      </w:tcPr>
    </w:tblStylePr>
    <w:tblStylePr w:type="band2Horz">
      <w:rPr>
        <w:rFonts w:ascii="Liberation Sans" w:hAnsi="Liberation Sans"/>
        <w:color w:val="E9706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0D5E01" w:themeColor="accent1" w:themeShade="95"/>
        <w:left w:val="single" w:sz="4" w:space="0" w:color="0D5E01" w:themeColor="accent1" w:themeShade="95"/>
        <w:bottom w:val="single" w:sz="4" w:space="0" w:color="0D5E01" w:themeColor="accent1" w:themeShade="95"/>
        <w:right w:val="single" w:sz="4" w:space="0" w:color="0D5E01" w:themeColor="accent1" w:themeShade="95"/>
        <w:insideH w:val="single" w:sz="4" w:space="0" w:color="0D5E01" w:themeColor="accent1" w:themeShade="95"/>
        <w:insideV w:val="single" w:sz="4" w:space="0" w:color="0D5E0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1BBE03" w:themeColor="accent1" w:themeTint="EA" w:fill="1BBE03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A2FD94" w:themeColor="accent1" w:themeTint="50" w:fill="A2FD94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013C5E" w:themeColor="accent2" w:themeShade="95"/>
        <w:left w:val="single" w:sz="4" w:space="0" w:color="013C5E" w:themeColor="accent2" w:themeShade="95"/>
        <w:bottom w:val="single" w:sz="4" w:space="0" w:color="013C5E" w:themeColor="accent2" w:themeShade="95"/>
        <w:right w:val="single" w:sz="4" w:space="0" w:color="013C5E" w:themeColor="accent2" w:themeShade="95"/>
        <w:insideH w:val="single" w:sz="4" w:space="0" w:color="013C5E" w:themeColor="accent2" w:themeShade="95"/>
        <w:insideV w:val="single" w:sz="4" w:space="0" w:color="013C5E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36B3FB" w:themeColor="accent2" w:themeTint="97" w:fill="36B3FB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BCE6FD" w:themeColor="accent2" w:themeTint="32" w:fill="BCE6FD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E2401" w:themeColor="accent3" w:themeShade="95"/>
        <w:left w:val="single" w:sz="4" w:space="0" w:color="5E2401" w:themeColor="accent3" w:themeShade="95"/>
        <w:bottom w:val="single" w:sz="4" w:space="0" w:color="5E2401" w:themeColor="accent3" w:themeShade="95"/>
        <w:right w:val="single" w:sz="4" w:space="0" w:color="5E2401" w:themeColor="accent3" w:themeShade="95"/>
        <w:insideH w:val="single" w:sz="4" w:space="0" w:color="5E2401" w:themeColor="accent3" w:themeShade="95"/>
        <w:insideV w:val="single" w:sz="4" w:space="0" w:color="5E2401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43E03" w:themeColor="accent3" w:themeTint="FE" w:fill="A43E03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D2B9" w:themeColor="accent3" w:themeTint="34" w:fill="FDD2B9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2015E" w:themeColor="accent4" w:themeShade="95"/>
        <w:left w:val="single" w:sz="4" w:space="0" w:color="52015E" w:themeColor="accent4" w:themeShade="95"/>
        <w:bottom w:val="single" w:sz="4" w:space="0" w:color="52015E" w:themeColor="accent4" w:themeShade="95"/>
        <w:right w:val="single" w:sz="4" w:space="0" w:color="52015E" w:themeColor="accent4" w:themeShade="95"/>
        <w:insideH w:val="single" w:sz="4" w:space="0" w:color="52015E" w:themeColor="accent4" w:themeShade="95"/>
        <w:insideV w:val="single" w:sz="4" w:space="0" w:color="52015E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E032FB" w:themeColor="accent4" w:themeTint="9A" w:fill="E032FB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4B9FD" w:themeColor="accent4" w:themeTint="34" w:fill="F4B9FD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55A00" w:themeColor="accent5" w:themeShade="95"/>
        <w:left w:val="single" w:sz="4" w:space="0" w:color="755A00" w:themeColor="accent5" w:themeShade="95"/>
        <w:bottom w:val="single" w:sz="4" w:space="0" w:color="755A00" w:themeColor="accent5" w:themeShade="95"/>
        <w:right w:val="single" w:sz="4" w:space="0" w:color="755A00" w:themeColor="accent5" w:themeShade="95"/>
        <w:insideH w:val="single" w:sz="4" w:space="0" w:color="755A00" w:themeColor="accent5" w:themeShade="95"/>
        <w:insideV w:val="single" w:sz="4" w:space="0" w:color="755A00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9C00" w:themeColor="accent5" w:fill="C99C00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0BF" w:themeColor="accent5" w:themeTint="34" w:fill="FFF0BF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51311" w:themeColor="accent6" w:themeShade="95"/>
        <w:left w:val="single" w:sz="4" w:space="0" w:color="751311" w:themeColor="accent6" w:themeShade="95"/>
        <w:bottom w:val="single" w:sz="4" w:space="0" w:color="751311" w:themeColor="accent6" w:themeShade="95"/>
        <w:right w:val="single" w:sz="4" w:space="0" w:color="751311" w:themeColor="accent6" w:themeShade="95"/>
        <w:insideH w:val="single" w:sz="4" w:space="0" w:color="751311" w:themeColor="accent6" w:themeShade="95"/>
        <w:insideV w:val="single" w:sz="4" w:space="0" w:color="751311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C9211E" w:themeColor="accent6" w:fill="C9211E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7CDCD" w:themeColor="accent6" w:themeTint="34" w:fill="F7CDCD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87FC76" w:themeColor="accent1" w:themeTint="67"/>
        <w:left w:val="single" w:sz="4" w:space="0" w:color="87FC76" w:themeColor="accent1" w:themeTint="67"/>
        <w:bottom w:val="single" w:sz="4" w:space="0" w:color="87FC76" w:themeColor="accent1" w:themeTint="67"/>
        <w:right w:val="single" w:sz="4" w:space="0" w:color="87FC76" w:themeColor="accent1" w:themeTint="67"/>
        <w:insideH w:val="single" w:sz="4" w:space="0" w:color="87FC76" w:themeColor="accent1" w:themeTint="67"/>
        <w:insideV w:val="single" w:sz="4" w:space="0" w:color="87FC76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18A303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18A303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18A303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7FC76" w:themeColor="accent1" w:themeTint="67"/>
          <w:left w:val="single" w:sz="4" w:space="0" w:color="87FC76" w:themeColor="accent1" w:themeTint="67"/>
          <w:bottom w:val="single" w:sz="4" w:space="0" w:color="87FC76" w:themeColor="accent1" w:themeTint="67"/>
          <w:right w:val="single" w:sz="4" w:space="0" w:color="87FC76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76CBFC" w:themeColor="accent2" w:themeTint="67"/>
        <w:left w:val="single" w:sz="4" w:space="0" w:color="76CBFC" w:themeColor="accent2" w:themeTint="67"/>
        <w:bottom w:val="single" w:sz="4" w:space="0" w:color="76CBFC" w:themeColor="accent2" w:themeTint="67"/>
        <w:right w:val="single" w:sz="4" w:space="0" w:color="76CBFC" w:themeColor="accent2" w:themeTint="67"/>
        <w:insideH w:val="single" w:sz="4" w:space="0" w:color="76CBFC" w:themeColor="accent2" w:themeTint="67"/>
        <w:insideV w:val="single" w:sz="4" w:space="0" w:color="76CBFC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36B3FB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36B3FB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36B3FB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76CBFC" w:themeColor="accent2" w:themeTint="67"/>
          <w:left w:val="single" w:sz="4" w:space="0" w:color="76CBFC" w:themeColor="accent2" w:themeTint="67"/>
          <w:bottom w:val="single" w:sz="4" w:space="0" w:color="76CBFC" w:themeColor="accent2" w:themeTint="67"/>
          <w:right w:val="single" w:sz="4" w:space="0" w:color="76CBFC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FCA776" w:themeColor="accent3" w:themeTint="67"/>
        <w:left w:val="single" w:sz="4" w:space="0" w:color="FCA776" w:themeColor="accent3" w:themeTint="67"/>
        <w:bottom w:val="single" w:sz="4" w:space="0" w:color="FCA776" w:themeColor="accent3" w:themeTint="67"/>
        <w:right w:val="single" w:sz="4" w:space="0" w:color="FCA776" w:themeColor="accent3" w:themeTint="67"/>
        <w:insideH w:val="single" w:sz="4" w:space="0" w:color="FCA776" w:themeColor="accent3" w:themeTint="67"/>
        <w:insideV w:val="single" w:sz="4" w:space="0" w:color="FCA776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B7E35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B7E35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B7E35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CA776" w:themeColor="accent3" w:themeTint="67"/>
          <w:left w:val="single" w:sz="4" w:space="0" w:color="FCA776" w:themeColor="accent3" w:themeTint="67"/>
          <w:bottom w:val="single" w:sz="4" w:space="0" w:color="FCA776" w:themeColor="accent3" w:themeTint="67"/>
          <w:right w:val="single" w:sz="4" w:space="0" w:color="FCA776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EA76FC" w:themeColor="accent4" w:themeTint="67"/>
        <w:left w:val="single" w:sz="4" w:space="0" w:color="EA76FC" w:themeColor="accent4" w:themeTint="67"/>
        <w:bottom w:val="single" w:sz="4" w:space="0" w:color="EA76FC" w:themeColor="accent4" w:themeTint="67"/>
        <w:right w:val="single" w:sz="4" w:space="0" w:color="EA76FC" w:themeColor="accent4" w:themeTint="67"/>
        <w:insideH w:val="single" w:sz="4" w:space="0" w:color="EA76FC" w:themeColor="accent4" w:themeTint="67"/>
        <w:insideV w:val="single" w:sz="4" w:space="0" w:color="EA76FC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032FB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032FB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032FB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A76FC" w:themeColor="accent4" w:themeTint="67"/>
          <w:left w:val="single" w:sz="4" w:space="0" w:color="EA76FC" w:themeColor="accent4" w:themeTint="67"/>
          <w:bottom w:val="single" w:sz="4" w:space="0" w:color="EA76FC" w:themeColor="accent4" w:themeTint="67"/>
          <w:right w:val="single" w:sz="4" w:space="0" w:color="EA76FC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FFE282" w:themeColor="accent5" w:themeTint="67"/>
        <w:left w:val="single" w:sz="4" w:space="0" w:color="FFE282" w:themeColor="accent5" w:themeTint="67"/>
        <w:bottom w:val="single" w:sz="4" w:space="0" w:color="FFE282" w:themeColor="accent5" w:themeTint="67"/>
        <w:right w:val="single" w:sz="4" w:space="0" w:color="FFE282" w:themeColor="accent5" w:themeTint="67"/>
        <w:insideH w:val="single" w:sz="4" w:space="0" w:color="FFE282" w:themeColor="accent5" w:themeTint="67"/>
        <w:insideV w:val="single" w:sz="4" w:space="0" w:color="FFE282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444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444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444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282" w:themeColor="accent5" w:themeTint="67"/>
          <w:left w:val="single" w:sz="4" w:space="0" w:color="FFE282" w:themeColor="accent5" w:themeTint="67"/>
          <w:bottom w:val="single" w:sz="4" w:space="0" w:color="FFE282" w:themeColor="accent5" w:themeTint="67"/>
          <w:right w:val="single" w:sz="4" w:space="0" w:color="FFE282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09D9C" w:themeColor="accent6" w:themeTint="67"/>
        <w:left w:val="single" w:sz="4" w:space="0" w:color="F09D9C" w:themeColor="accent6" w:themeTint="67"/>
        <w:bottom w:val="single" w:sz="4" w:space="0" w:color="F09D9C" w:themeColor="accent6" w:themeTint="67"/>
        <w:right w:val="single" w:sz="4" w:space="0" w:color="F09D9C" w:themeColor="accent6" w:themeTint="67"/>
        <w:insideH w:val="single" w:sz="4" w:space="0" w:color="F09D9C" w:themeColor="accent6" w:themeTint="67"/>
        <w:insideV w:val="single" w:sz="4" w:space="0" w:color="F09D9C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E9706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E9706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E9706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09D9C" w:themeColor="accent6" w:themeTint="67"/>
          <w:left w:val="single" w:sz="4" w:space="0" w:color="F09D9C" w:themeColor="accent6" w:themeTint="67"/>
          <w:bottom w:val="single" w:sz="4" w:space="0" w:color="F09D9C" w:themeColor="accent6" w:themeTint="67"/>
          <w:right w:val="single" w:sz="4" w:space="0" w:color="F09D9C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af9">
    <w:name w:val="Абзац списка Знак"/>
    <w:rPr>
      <w:rFonts w:ascii="Times New Roman" w:hAnsi="Times New Roman"/>
      <w:sz w:val="28"/>
      <w:lang w:val="en-US" w:eastAsia="ar-SA"/>
    </w:rPr>
  </w:style>
  <w:style w:type="character" w:styleId="afa">
    <w:name w:val="Hyperlink"/>
    <w:uiPriority w:val="99"/>
    <w:rPr>
      <w:color w:val="000080"/>
      <w:u w:val="single"/>
    </w:rPr>
  </w:style>
  <w:style w:type="paragraph" w:customStyle="1" w:styleId="Heading">
    <w:name w:val="Heading"/>
    <w:basedOn w:val="a"/>
    <w:next w:val="afb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b">
    <w:name w:val="Body Text"/>
    <w:basedOn w:val="a"/>
    <w:pPr>
      <w:spacing w:after="140" w:line="276" w:lineRule="auto"/>
    </w:pPr>
  </w:style>
  <w:style w:type="paragraph" w:styleId="afc">
    <w:name w:val="List"/>
    <w:basedOn w:val="afb"/>
  </w:style>
  <w:style w:type="paragraph" w:styleId="af">
    <w:name w:val="caption"/>
    <w:basedOn w:val="a"/>
    <w:link w:val="ae"/>
    <w:uiPriority w:val="35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13">
    <w:name w:val="Обычная таблица1"/>
    <w:uiPriority w:val="99"/>
    <w:pPr>
      <w:spacing w:after="160" w:line="256" w:lineRule="auto"/>
    </w:pPr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styleId="afd">
    <w:name w:val="List Paragraph"/>
    <w:basedOn w:val="a"/>
    <w:uiPriority w:val="34"/>
    <w:qFormat/>
    <w:pPr>
      <w:spacing w:after="0" w:line="288" w:lineRule="auto"/>
      <w:ind w:left="720"/>
      <w:jc w:val="both"/>
    </w:pPr>
    <w:rPr>
      <w:rFonts w:ascii="Times New Roman" w:hAnsi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kontur.ru/pages/viewpage.action?pageId=60785752" TargetMode="External"/><Relationship Id="rId13" Type="http://schemas.openxmlformats.org/officeDocument/2006/relationships/hyperlink" Target="mailto:gcrkb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.skbkontur.ru/" TargetMode="External"/><Relationship Id="rId12" Type="http://schemas.openxmlformats.org/officeDocument/2006/relationships/hyperlink" Target="https://kontu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ontur.ru/about/licenc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kontu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ntur.ru/contacts/al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7352</Words>
  <Characters>41908</Characters>
  <Application>Microsoft Office Word</Application>
  <DocSecurity>0</DocSecurity>
  <Lines>349</Lines>
  <Paragraphs>98</Paragraphs>
  <ScaleCrop>false</ScaleCrop>
  <Company>SPecialiST RePack</Company>
  <LinksUpToDate>false</LinksUpToDate>
  <CharactersWithSpaces>49162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Телегин Иван Алексеевич</dc:creator>
  <dc:description/>
  <cp:lastModifiedBy>Воронцова Елизавета Дмитриевна</cp:lastModifiedBy>
  <cp:revision>22</cp:revision>
  <dcterms:created xsi:type="dcterms:W3CDTF">2026-10-01T08:56:00Z</dcterms:created>
  <dcterms:modified xsi:type="dcterms:W3CDTF">2026-10-01T08:37:00Z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Телегин Иван Алексеевич</vt:lpwstr>
  </property>
</Properties>
</file>