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emf" ContentType="image/x-emf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1060"/>
        <w:ind w:firstLine="709"/>
        <w:jc w:val="center"/>
        <w:rPr>
          <w:rFonts w:cs="Times New Roman"/>
          <w:b/>
          <w:color w:val="auto"/>
          <w:lang w:eastAsia="he-IL" w:bidi="he-IL"/>
        </w:rPr>
      </w:pPr>
      <w:r>
        <w:rPr>
          <w:rFonts w:cs="Times New Roman"/>
          <w:b/>
          <w:bCs/>
          <w:color w:val="auto"/>
          <w:lang w:eastAsia="he-IL" w:bidi="he-IL"/>
        </w:rPr>
        <w:t xml:space="preserve">МУНИЦИПАЛЬНЫЙ КОНТРАКТ </w:t>
      </w:r>
      <w:r>
        <w:rPr>
          <w:rFonts w:cs="Times New Roman"/>
          <w:b/>
          <w:color w:val="auto"/>
          <w:lang w:eastAsia="he-IL" w:bidi="he-IL"/>
        </w:rPr>
        <w:t xml:space="preserve">№ </w:t>
      </w:r>
      <w:r>
        <w:rPr>
          <w:rFonts w:cs="Times New Roman"/>
          <w:b/>
          <w:color w:val="auto"/>
          <w:lang w:eastAsia="he-IL" w:bidi="he-IL"/>
        </w:rPr>
        <w:t xml:space="preserve">______________</w:t>
      </w:r>
      <w:r/>
    </w:p>
    <w:p>
      <w:pPr>
        <w:pStyle w:val="1060"/>
        <w:ind w:firstLine="709"/>
        <w:jc w:val="center"/>
        <w:rPr>
          <w:rFonts w:cs="Times New Roman"/>
          <w:color w:val="auto"/>
        </w:rPr>
      </w:pPr>
      <w:r>
        <w:rPr>
          <w:rFonts w:cs="Times New Roman"/>
          <w:color w:val="auto"/>
        </w:rPr>
      </w:r>
      <w:r/>
    </w:p>
    <w:p>
      <w:pPr>
        <w:rPr>
          <w:rFonts w:cs="Times New Roman"/>
          <w:lang w:eastAsia="he-IL" w:bidi="he-IL"/>
        </w:rPr>
      </w:pPr>
      <w:r>
        <w:rPr>
          <w:rFonts w:cs="Times New Roman"/>
        </w:rPr>
        <w:t xml:space="preserve">г.</w:t>
      </w:r>
      <w:r>
        <w:rPr>
          <w:rFonts w:cs="Times New Roman"/>
          <w:lang w:eastAsia="he-IL" w:bidi="he-IL"/>
        </w:rPr>
        <w:t xml:space="preserve">Сланцы, Ленинградской области </w:t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</w:r>
      <w:r>
        <w:rPr>
          <w:rFonts w:cs="Times New Roman"/>
          <w:lang w:eastAsia="he-IL" w:bidi="he-IL"/>
        </w:rPr>
        <w:tab/>
        <w:t xml:space="preserve">«____» _____________ 2026 года</w:t>
      </w:r>
      <w:r/>
    </w:p>
    <w:p>
      <w:pPr>
        <w:jc w:val="center"/>
        <w:rPr>
          <w:rFonts w:cs="Times New Roman"/>
          <w:lang w:eastAsia="he-IL" w:bidi="he-IL"/>
        </w:rPr>
      </w:pPr>
      <w:r>
        <w:rPr>
          <w:rFonts w:cs="Times New Roman"/>
          <w:lang w:eastAsia="he-IL" w:bidi="he-IL"/>
        </w:rPr>
      </w:r>
      <w:r/>
    </w:p>
    <w:p>
      <w:pPr>
        <w:pStyle w:val="1088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Администрация муниципального образования </w:t>
      </w:r>
      <w:r>
        <w:rPr>
          <w:color w:val="000000" w:themeColor="text1"/>
        </w:rPr>
        <w:t xml:space="preserve">Сланцевский</w:t>
      </w:r>
      <w:r>
        <w:rPr>
          <w:color w:val="000000" w:themeColor="text1"/>
        </w:rPr>
        <w:t xml:space="preserve"> муниципальный район Лени</w:t>
      </w:r>
      <w:r>
        <w:rPr>
          <w:color w:val="auto"/>
        </w:rPr>
        <w:t xml:space="preserve">нградской области от имени </w:t>
      </w:r>
      <w:r>
        <w:rPr>
          <w:color w:val="auto"/>
        </w:rPr>
        <w:t xml:space="preserve">Сланцевского</w:t>
      </w:r>
      <w:r>
        <w:rPr>
          <w:color w:val="auto"/>
        </w:rPr>
        <w:t xml:space="preserve"> городского поселения</w:t>
      </w:r>
      <w:r>
        <w:rPr>
          <w:color w:val="auto"/>
        </w:rPr>
        <w:t xml:space="preserve"> </w:t>
      </w:r>
      <w:r>
        <w:rPr>
          <w:color w:val="auto"/>
        </w:rPr>
        <w:t xml:space="preserve">Сланцевского</w:t>
      </w:r>
      <w:r>
        <w:rPr>
          <w:color w:val="auto"/>
        </w:rPr>
        <w:t xml:space="preserve"> муниципального района Ленинградской области, именуемая в дальнейшем «Заказчик»,в лице заместителя главы администрации Гришакова Вячеслава Евгеньевича, действующего на основании</w:t>
      </w:r>
      <w:r>
        <w:rPr>
          <w:color w:val="auto"/>
        </w:rPr>
        <w:t xml:space="preserve"> Доверенности № 1 от 12.01.2026 года, с одной стороны и _______________________, именуемый в дальнейшем «Поставщик», в лице _________________________, действующего на основании ______, с другой стороны</w:t>
      </w:r>
      <w:r>
        <w:rPr>
          <w:bCs/>
          <w:color w:val="auto"/>
          <w:spacing w:val="-6"/>
        </w:rPr>
        <w:t xml:space="preserve">, </w:t>
      </w:r>
      <w:r>
        <w:rPr>
          <w:bCs/>
          <w:color w:val="auto"/>
        </w:rPr>
        <w:t xml:space="preserve">в дальнейшем вместе именуемые «Стороны»,</w:t>
      </w:r>
      <w:r>
        <w:rPr>
          <w:color w:val="auto"/>
        </w:rPr>
        <w:t xml:space="preserve"> и каждый в отдельности «Сторона», с соблюдением требований Гражданского </w:t>
      </w:r>
      <w:hyperlink r:id="rId13" w:tooltip="consultantplus://offline/main?base=LAW;n=112770;fld=134" w:history="1">
        <w:r>
          <w:rPr>
            <w:rStyle w:val="977"/>
            <w:color w:val="auto"/>
            <w:lang w:val="ru-RU"/>
          </w:rPr>
          <w:t xml:space="preserve">кодекса</w:t>
        </w:r>
      </w:hyperlink>
      <w:r>
        <w:rPr>
          <w:color w:val="auto"/>
        </w:rPr>
        <w:t xml:space="preserve"> Российской Федерации, на основании п.4 ч.1 ст. 93</w:t>
      </w:r>
      <w:r>
        <w:rPr>
          <w:color w:val="auto"/>
        </w:rPr>
        <w:t xml:space="preserve"> </w:t>
      </w:r>
      <w:r>
        <w:rPr>
          <w:color w:val="auto"/>
        </w:rPr>
        <w:t xml:space="preserve">Федерального </w:t>
      </w:r>
      <w:hyperlink r:id="rId14" w:tooltip="consultantplus://offline/main?base=LAW;n=116659;fld=134" w:history="1">
        <w:r>
          <w:rPr>
            <w:rStyle w:val="977"/>
            <w:color w:val="auto"/>
            <w:lang w:val="ru-RU"/>
          </w:rPr>
          <w:t xml:space="preserve">закона</w:t>
        </w:r>
      </w:hyperlink>
      <w:r>
        <w:rPr>
          <w:color w:val="auto"/>
        </w:rPr>
        <w:t xml:space="preserve"> от 05 апреля 201</w:t>
      </w:r>
      <w:r>
        <w:rPr>
          <w:color w:val="000000" w:themeColor="text1"/>
        </w:rPr>
        <w:t xml:space="preserve">3 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заключили настоящий муниципальный контракт (далее - Контракт) о нижеследующем:</w:t>
      </w:r>
      <w:r/>
    </w:p>
    <w:p>
      <w:pPr>
        <w:pStyle w:val="1052"/>
        <w:ind w:firstLine="567"/>
        <w:jc w:val="center"/>
        <w:rPr>
          <w:rStyle w:val="1031"/>
          <w:bCs/>
          <w:iCs/>
          <w:spacing w:val="-6"/>
          <w:sz w:val="24"/>
          <w:szCs w:val="24"/>
        </w:rPr>
      </w:pPr>
      <w:r>
        <w:rPr>
          <w:bCs/>
          <w:iCs/>
          <w:spacing w:val="-6"/>
          <w:sz w:val="24"/>
          <w:szCs w:val="24"/>
        </w:rPr>
      </w:r>
      <w:r/>
    </w:p>
    <w:p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 xml:space="preserve">1. ПРЕДМЕТ КОНТРАКТА</w:t>
      </w:r>
      <w:r/>
    </w:p>
    <w:p>
      <w:pPr>
        <w:ind w:firstLine="567"/>
        <w:jc w:val="both"/>
        <w:widowControl/>
        <w:tabs>
          <w:tab w:val="left" w:pos="284" w:leader="none"/>
        </w:tabs>
        <w:rPr>
          <w:rFonts w:eastAsia="Microsoft YaHei" w:cs="Times New Roman"/>
          <w:lang w:eastAsia="ru-RU" w:bidi="ar-SA"/>
        </w:rPr>
      </w:pPr>
      <w:r>
        <w:t xml:space="preserve">1.1. </w:t>
      </w:r>
      <w:r>
        <w:rPr>
          <w:rFonts w:cs="Times New Roman"/>
        </w:rPr>
        <w:t xml:space="preserve">Поставщик по Контракту принимает на себя обязательства </w:t>
      </w:r>
      <w:bookmarkStart w:id="0" w:name="_Hlk184806979"/>
      <w:r>
        <w:rPr>
          <w:rFonts w:cs="Times New Roman"/>
        </w:rPr>
        <w:t xml:space="preserve">по поставке малых архитектурных форм и </w:t>
      </w:r>
      <w:r>
        <w:rPr>
          <w:rFonts w:cs="Times New Roman"/>
        </w:rPr>
        <w:t xml:space="preserve">детского </w:t>
      </w:r>
      <w:r>
        <w:rPr>
          <w:rFonts w:cs="Times New Roman"/>
        </w:rPr>
        <w:t xml:space="preserve">игрового оборудования на дворовую территорию: Ленинградская область, </w:t>
      </w:r>
      <w:r>
        <w:rPr>
          <w:rFonts w:cs="Times New Roman"/>
        </w:rPr>
        <w:t xml:space="preserve">Сланцевский</w:t>
      </w:r>
      <w:r>
        <w:rPr>
          <w:rFonts w:cs="Times New Roman"/>
        </w:rPr>
        <w:t xml:space="preserve"> район, г. Сланцы, ул. Спортивная, д. 9/2 </w:t>
      </w:r>
      <w:bookmarkEnd w:id="0"/>
      <w:r>
        <w:rPr>
          <w:rFonts w:cs="Times New Roman"/>
        </w:rPr>
        <w:t xml:space="preserve">(далее – Товар) для Заказчика, а Заказчик обязуется осуществить приемку и оплату поставленного Товара.</w:t>
      </w:r>
      <w:r/>
    </w:p>
    <w:p>
      <w:pPr>
        <w:pStyle w:val="1039"/>
        <w:ind w:firstLine="567"/>
        <w:jc w:val="both"/>
        <w:spacing w:before="0" w:after="0"/>
        <w:rPr>
          <w:color w:val="000000" w:themeColor="text1"/>
          <w:sz w:val="24"/>
          <w:szCs w:val="24"/>
        </w:rPr>
      </w:pPr>
      <w:r>
        <w:rPr>
          <w:lang w:val="ru-RU"/>
        </w:rPr>
        <w:t xml:space="preserve">1.2.</w:t>
      </w:r>
      <w:r>
        <w:t xml:space="preserve"> </w:t>
      </w:r>
      <w:r>
        <w:rPr>
          <w:lang w:val="ru-RU"/>
        </w:rPr>
        <w:t xml:space="preserve">Наименование, количество и иные характеристики поставляемого Товара указаны в </w:t>
      </w:r>
      <w:r>
        <w:rPr>
          <w:lang w:val="ru-RU"/>
        </w:rPr>
        <w:t xml:space="preserve">Спец</w:t>
      </w:r>
      <w:r>
        <w:rPr>
          <w:color w:val="000000" w:themeColor="text1"/>
          <w:sz w:val="24"/>
          <w:szCs w:val="24"/>
          <w:lang w:val="ru-RU"/>
        </w:rPr>
        <w:t xml:space="preserve">и</w:t>
      </w:r>
      <w:r>
        <w:rPr>
          <w:color w:val="000000" w:themeColor="text1"/>
          <w:sz w:val="24"/>
          <w:szCs w:val="24"/>
          <w:lang w:val="ru-RU"/>
        </w:rPr>
        <w:t xml:space="preserve">фикации (Приложение № 1 к Контракту).</w:t>
      </w:r>
      <w:r>
        <w:rPr>
          <w:color w:val="000000" w:themeColor="text1"/>
          <w:sz w:val="24"/>
          <w:szCs w:val="24"/>
        </w:rPr>
      </w:r>
      <w:r/>
    </w:p>
    <w:p>
      <w:pPr>
        <w:pStyle w:val="1039"/>
        <w:ind w:firstLine="567"/>
        <w:jc w:val="both"/>
        <w:spacing w:before="0"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ru-RU"/>
        </w:rPr>
        <w:t xml:space="preserve">1.3. ИКЗ -</w:t>
      </w:r>
      <w:r>
        <w:rPr>
          <w:color w:val="000000" w:themeColor="text1"/>
          <w:sz w:val="24"/>
          <w:szCs w:val="24"/>
        </w:rPr>
      </w:r>
      <w:hyperlink r:id="rId15" w:tooltip="https://zakupki.gov.ru/epz/orderplan/pg2020/special-purchase-info.html?plan-number=202401453000019002&amp;special-purchase-id=&amp;reestr-number=202401453000019002000007&amp;purchase-number=243471300813747070100100010000000244&amp;special-purchase-position-id=62489233&amp;revision-id=" w:history="1"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white"/>
            <w:u w:val="none"/>
          </w:rPr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yellow"/>
            <w:u w:val="none"/>
          </w:rPr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2634713008137470701001000</w:t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4</w:t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  <w:t xml:space="preserve">0000000244</w:t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  <w:r>
          <w:rPr>
            <w:rStyle w:val="977"/>
            <w:rFonts w:ascii="Times New Roman" w:hAnsi="Times New Roman" w:eastAsia="Roboto" w:cs="Times New Roman"/>
            <w:color w:val="000000" w:themeColor="text1"/>
            <w:sz w:val="24"/>
            <w:szCs w:val="24"/>
            <w:highlight w:val="none"/>
            <w:u w:val="none"/>
          </w:rPr>
        </w:r>
      </w:hyperlink>
      <w:r>
        <w:rPr>
          <w:color w:val="000000" w:themeColor="text1"/>
          <w:sz w:val="24"/>
          <w:szCs w:val="24"/>
        </w:rPr>
      </w:r>
      <w:r/>
    </w:p>
    <w:p>
      <w:pPr>
        <w:pStyle w:val="1039"/>
        <w:ind w:firstLine="567"/>
        <w:jc w:val="both"/>
        <w:spacing w:before="0"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ru-RU"/>
        </w:rPr>
        <w:t xml:space="preserve">1.4. ОКПД 2 –</w:t>
      </w:r>
      <w:r>
        <w:rPr>
          <w:color w:val="000000" w:themeColor="text1"/>
          <w:sz w:val="24"/>
          <w:szCs w:val="24"/>
          <w:lang w:val="ru-RU"/>
        </w:rPr>
        <w:t xml:space="preserve"> 23.69.19.000</w:t>
      </w:r>
      <w:r>
        <w:rPr>
          <w:color w:val="000000" w:themeColor="text1"/>
          <w:sz w:val="24"/>
          <w:szCs w:val="24"/>
        </w:rPr>
      </w:r>
      <w:r/>
    </w:p>
    <w:p>
      <w:pPr>
        <w:pStyle w:val="1039"/>
        <w:ind w:firstLine="567"/>
        <w:jc w:val="both"/>
        <w:spacing w:before="0" w:after="0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lang w:val="ru-RU"/>
        </w:rPr>
        <w:t xml:space="preserve">       ОКПД 2 </w:t>
      </w:r>
      <w:r>
        <w:rPr>
          <w:color w:val="000000" w:themeColor="text1"/>
          <w:sz w:val="24"/>
          <w:szCs w:val="24"/>
          <w:lang w:val="ru-RU"/>
        </w:rPr>
        <w:t xml:space="preserve">–</w:t>
      </w:r>
      <w:r>
        <w:rPr>
          <w:color w:val="000000" w:themeColor="text1"/>
          <w:sz w:val="24"/>
          <w:szCs w:val="24"/>
          <w:lang w:val="ru-RU"/>
        </w:rPr>
        <w:t xml:space="preserve"> 32.30.15.239</w:t>
      </w:r>
      <w:r>
        <w:rPr>
          <w:color w:val="000000" w:themeColor="text1"/>
          <w:sz w:val="24"/>
          <w:szCs w:val="24"/>
        </w:rPr>
      </w:r>
      <w:r/>
    </w:p>
    <w:p>
      <w:pPr>
        <w:pStyle w:val="1064"/>
        <w:ind w:left="0" w:firstLine="567"/>
        <w:jc w:val="center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/>
    </w:p>
    <w:p>
      <w:pPr>
        <w:ind w:firstLine="540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2. ЦЕНА КОНТРАКТА</w:t>
      </w:r>
      <w:r/>
    </w:p>
    <w:p>
      <w:pPr>
        <w:ind w:left="0" w:right="0" w:firstLine="567"/>
        <w:jc w:val="both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cs="Times New Roman"/>
          <w:sz w:val="24"/>
          <w:szCs w:val="24"/>
        </w:rPr>
        <w:t xml:space="preserve">2.1. </w:t>
      </w:r>
      <w:r>
        <w:rPr>
          <w:rFonts w:cs="Times New Roman"/>
          <w:sz w:val="24"/>
          <w:szCs w:val="24"/>
        </w:rPr>
        <w:t xml:space="preserve">Цена настоящего Контракта составляет </w:t>
      </w:r>
      <w:r>
        <w:rPr>
          <w:color w:val="auto"/>
          <w:sz w:val="24"/>
          <w:szCs w:val="24"/>
        </w:rPr>
        <w:t xml:space="preserve">_____________</w:t>
      </w:r>
      <w:r>
        <w:rPr>
          <w:b/>
          <w:color w:val="auto"/>
          <w:sz w:val="24"/>
          <w:szCs w:val="24"/>
        </w:rPr>
        <w:t xml:space="preserve"> (</w:t>
      </w:r>
      <w:r>
        <w:rPr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(с НДС/ без НДС)</w:t>
      </w:r>
      <w:r>
        <w:rPr>
          <w:rFonts w:cs="Times New Roman"/>
          <w:sz w:val="24"/>
          <w:szCs w:val="24"/>
        </w:rPr>
      </w:r>
      <w:r>
        <w:rPr>
          <w:rFonts w:cs="Times New Roman"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left="0" w:right="0" w:firstLine="567"/>
        <w:jc w:val="both"/>
        <w:rPr>
          <w:sz w:val="24"/>
          <w:szCs w:val="24"/>
        </w:rPr>
      </w:pPr>
      <w:r>
        <w:rPr>
          <w:rFonts w:cs="Times New Roman"/>
          <w:sz w:val="24"/>
          <w:szCs w:val="24"/>
        </w:rPr>
        <w:t xml:space="preserve">Источники финансирования:</w:t>
      </w:r>
      <w:r>
        <w:rPr>
          <w:sz w:val="24"/>
          <w:szCs w:val="24"/>
        </w:rPr>
      </w:r>
    </w:p>
    <w:p>
      <w:pPr>
        <w:ind w:left="0" w:right="0" w:firstLine="567"/>
        <w:jc w:val="both"/>
        <w:rPr>
          <w:rFonts w:eastAsia="Times New Roman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з</w:t>
      </w:r>
      <w:r>
        <w:rPr>
          <w:rFonts w:cs="Times New Roman"/>
          <w:sz w:val="24"/>
          <w:szCs w:val="24"/>
        </w:rPr>
        <w:t xml:space="preserve">а счет средств бюджета </w:t>
      </w:r>
      <w:r>
        <w:rPr>
          <w:rFonts w:cs="Times New Roman"/>
          <w:sz w:val="24"/>
          <w:szCs w:val="24"/>
        </w:rPr>
        <w:t xml:space="preserve">Сланцевского</w:t>
      </w:r>
      <w:r>
        <w:rPr>
          <w:rFonts w:cs="Times New Roman"/>
          <w:sz w:val="24"/>
          <w:szCs w:val="24"/>
        </w:rPr>
        <w:t xml:space="preserve"> городского поселения </w:t>
      </w:r>
      <w:r>
        <w:rPr>
          <w:rFonts w:cs="Times New Roman"/>
          <w:sz w:val="24"/>
          <w:szCs w:val="24"/>
        </w:rPr>
        <w:t xml:space="preserve">Сланцевского</w:t>
      </w:r>
      <w:r>
        <w:rPr>
          <w:rFonts w:cs="Times New Roman"/>
          <w:sz w:val="24"/>
          <w:szCs w:val="24"/>
        </w:rPr>
        <w:t xml:space="preserve"> муниципального района Ленинградской области</w:t>
      </w:r>
      <w:r>
        <w:rPr>
          <w:rFonts w:cs="Times New Roman"/>
          <w:sz w:val="24"/>
          <w:szCs w:val="24"/>
        </w:rPr>
        <w:t xml:space="preserve">.</w:t>
      </w:r>
      <w:r>
        <w:rPr>
          <w:sz w:val="24"/>
          <w:szCs w:val="24"/>
        </w:rPr>
      </w:r>
    </w:p>
    <w:p>
      <w:pPr>
        <w:ind w:left="0" w:righ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по настоящему Контракту осуществляется в рублях Российской Федерации.</w:t>
      </w:r>
      <w:r>
        <w:rPr>
          <w:sz w:val="24"/>
          <w:szCs w:val="24"/>
        </w:rPr>
      </w:r>
    </w:p>
    <w:p>
      <w:pPr>
        <w:ind w:left="0" w:right="0" w:firstLine="567"/>
        <w:jc w:val="both"/>
        <w:spacing w:line="240" w:lineRule="atLeast"/>
        <w:rPr>
          <w:rFonts w:cs="Times New Roman"/>
        </w:rPr>
      </w:pPr>
      <w:r>
        <w:rPr>
          <w:rFonts w:cs="Times New Roman"/>
          <w:sz w:val="24"/>
          <w:szCs w:val="24"/>
        </w:rPr>
        <w:t xml:space="preserve">2.2. Цена контракта включает в себя стоимость Товара, стоимость упаковочных материалов, расходы по поставке Товара, пере</w:t>
      </w:r>
      <w:r>
        <w:rPr>
          <w:rFonts w:cs="Times New Roman"/>
        </w:rPr>
        <w:t xml:space="preserve">возке, сборке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и установке, страхованию, уплате таможенных пошлин, налогов и других обязательных платежей,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r/>
    </w:p>
    <w:p>
      <w:pPr>
        <w:pStyle w:val="1061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2.3. </w:t>
      </w:r>
      <w:r>
        <w:rPr>
          <w:rFonts w:ascii="Times New Roman" w:hAnsi="Times New Roman" w:cs="Times New Roman"/>
          <w:sz w:val="24"/>
          <w:szCs w:val="24"/>
        </w:rPr>
        <w:t xml:space="preserve">Цена Контр</w:t>
      </w:r>
      <w:r>
        <w:rPr>
          <w:rFonts w:ascii="Times New Roman" w:hAnsi="Times New Roman" w:cs="Times New Roman"/>
          <w:sz w:val="24"/>
          <w:szCs w:val="24"/>
        </w:rPr>
        <w:t xml:space="preserve">акта уменьшается на сумму, подлежащую уплате Заказчиком юридическому лицу или физическому лицу, в том числе зарегистрированному в качестве индивидуального предпринимателя, на размер налогов, сборов и иных обязательных платежей в бюджеты бюджетной системы Р</w:t>
      </w:r>
      <w:r>
        <w:rPr>
          <w:rFonts w:ascii="Times New Roman" w:hAnsi="Times New Roman" w:cs="Times New Roman"/>
          <w:sz w:val="24"/>
          <w:szCs w:val="24"/>
        </w:rPr>
        <w:t xml:space="preserve">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  <w:r/>
    </w:p>
    <w:p>
      <w:pPr>
        <w:pStyle w:val="1061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bCs/>
          <w:color w:val="000000"/>
          <w:spacing w:val="-4"/>
          <w:sz w:val="24"/>
          <w:szCs w:val="24"/>
          <w:lang w:eastAsia="en-US"/>
        </w:rPr>
        <w:t xml:space="preserve">2.4.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Цена контракта является твердой и </w:t>
      </w:r>
      <w:r>
        <w:rPr>
          <w:rFonts w:ascii="Times New Roman" w:hAnsi="Times New Roman" w:cs="Times New Roman"/>
          <w:spacing w:val="3"/>
          <w:sz w:val="24"/>
          <w:szCs w:val="24"/>
          <w:lang w:eastAsia="ru-RU"/>
        </w:rPr>
        <w:t xml:space="preserve">определяется на весь срок исполнения контракта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за исключением случаев, предусмотренных действующим законодательством </w:t>
      </w:r>
      <w:r>
        <w:rPr>
          <w:rFonts w:ascii="Times New Roman" w:hAnsi="Times New Roman" w:cs="Times New Roman"/>
          <w:sz w:val="24"/>
          <w:szCs w:val="24"/>
        </w:rPr>
        <w:t xml:space="preserve">Российской Федерации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.</w:t>
      </w:r>
      <w:r/>
    </w:p>
    <w:p>
      <w:pPr>
        <w:ind w:firstLine="426"/>
        <w:jc w:val="center"/>
        <w:spacing w:line="240" w:lineRule="atLeast"/>
        <w:rPr>
          <w:rFonts w:cs="Times New Roman"/>
        </w:rPr>
      </w:pPr>
      <w:r>
        <w:rPr>
          <w:rFonts w:cs="Times New Roman"/>
        </w:rPr>
      </w:r>
      <w:r/>
    </w:p>
    <w:p>
      <w:pPr>
        <w:pStyle w:val="1062"/>
        <w:ind w:right="0" w:firstLine="709"/>
        <w:jc w:val="center"/>
        <w:tabs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ПОРЯДОК РАСЧЕТОВ</w:t>
      </w:r>
      <w:r/>
    </w:p>
    <w:p>
      <w:pPr>
        <w:ind w:firstLine="567"/>
        <w:jc w:val="both"/>
        <w:tabs>
          <w:tab w:val="left" w:pos="709" w:leader="none"/>
          <w:tab w:val="left" w:pos="810" w:leader="none"/>
        </w:tabs>
        <w:rPr>
          <w:rFonts w:cs="Times New Roman"/>
          <w:lang w:eastAsia="ru-RU"/>
        </w:rPr>
      </w:pPr>
      <w:r>
        <w:rPr>
          <w:rFonts w:cs="Times New Roman"/>
        </w:rPr>
        <w:t xml:space="preserve">3.1. </w:t>
      </w:r>
      <w:r>
        <w:rPr>
          <w:rFonts w:eastAsia="Century Schoolbook" w:cs="Times New Roman"/>
        </w:rPr>
        <w:t xml:space="preserve">Оплата по Контракту осуществляется в соответствии с правилами казначейского исполнения бюджета, путем безналичного перевода денежных средств в валюте Российской Федерации (рубль) на расчетный счет Поставщика, указанный в </w:t>
      </w:r>
      <w:hyperlink r:id="rId16" w:tooltip="consultantplus://offline/ref=1DFEC7638300A505F27E29B58ADA737C300DA16B3A3140B8B745165F41671B562F761484C56C73FE16J" w:history="1">
        <w:r>
          <w:rPr>
            <w:rFonts w:eastAsia="Century Schoolbook" w:cs="Times New Roman"/>
          </w:rPr>
          <w:t xml:space="preserve">пункте 1</w:t>
        </w:r>
      </w:hyperlink>
      <w:r>
        <w:rPr>
          <w:rFonts w:eastAsia="Century Schoolbook" w:cs="Times New Roman"/>
        </w:rPr>
        <w:t xml:space="preserve">4 Контракта.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Заказчика.</w:t>
      </w:r>
      <w:r/>
    </w:p>
    <w:p>
      <w:pPr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3.2. Авансовый платеж не предусматривается</w:t>
      </w:r>
      <w:r>
        <w:rPr>
          <w:rFonts w:cs="Times New Roman"/>
        </w:rPr>
        <w:t xml:space="preserve">.</w:t>
      </w:r>
      <w:r/>
    </w:p>
    <w:p>
      <w:pPr>
        <w:ind w:firstLine="567"/>
        <w:jc w:val="both"/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cs="Times New Roman"/>
        </w:rPr>
      </w:pPr>
      <w:r>
        <w:rPr>
          <w:rFonts w:cs="Times New Roman"/>
          <w:lang w:eastAsia="ru-RU"/>
        </w:rPr>
        <w:t xml:space="preserve">3.3. </w:t>
      </w:r>
      <w:r>
        <w:rPr>
          <w:rFonts w:eastAsia="Century Schoolbook" w:cs="Times New Roman"/>
        </w:rPr>
        <w:t xml:space="preserve">Оплата Товара по К</w:t>
      </w:r>
      <w:r>
        <w:rPr>
          <w:rFonts w:eastAsia="Century Schoolbook" w:cs="Times New Roman"/>
        </w:rPr>
        <w:t xml:space="preserve">онтракту производится единовременно </w:t>
      </w:r>
      <w:r>
        <w:rPr>
          <w:rFonts w:eastAsia="Lucida Sans Unicode" w:cs="Times New Roman"/>
          <w:iCs/>
          <w:lang w:eastAsia="hi-IN"/>
        </w:rPr>
        <w:t xml:space="preserve">по факту поставки Товара </w:t>
      </w:r>
      <w:r>
        <w:rPr>
          <w:rFonts w:eastAsia="Century Schoolbook" w:cs="Times New Roman"/>
        </w:rPr>
        <w:t xml:space="preserve">в течение 7 (семи) рабочих дней </w:t>
      </w:r>
      <w:r>
        <w:rPr>
          <w:rFonts w:cs="Times New Roman"/>
        </w:rPr>
        <w:t xml:space="preserve">после подписания Заказчиком товарной накладной, акта о</w:t>
      </w:r>
      <w:r>
        <w:rPr>
          <w:rFonts w:cs="Times New Roman"/>
        </w:rPr>
        <w:t xml:space="preserve">б оказании услуги, акта монтажа оборудования, </w:t>
      </w:r>
      <w:r>
        <w:rPr>
          <w:rFonts w:cs="Times New Roman"/>
        </w:rPr>
        <w:t xml:space="preserve">счета, </w:t>
      </w:r>
      <w:r>
        <w:rPr>
          <w:rFonts w:cs="Times New Roman"/>
        </w:rPr>
        <w:t xml:space="preserve">счёт-фактуры</w:t>
      </w:r>
      <w:r>
        <w:rPr>
          <w:rFonts w:cs="Times New Roman"/>
        </w:rPr>
        <w:t xml:space="preserve">/УПД</w:t>
      </w:r>
      <w:r>
        <w:rPr>
          <w:rFonts w:cs="Times New Roman"/>
        </w:rPr>
        <w:t xml:space="preserve">.</w:t>
      </w:r>
      <w:r/>
    </w:p>
    <w:p>
      <w:pPr>
        <w:ind w:firstLine="567"/>
        <w:jc w:val="both"/>
        <w:rPr>
          <w:rFonts w:eastAsia="Century Schoolbook" w:cs="Times New Roman"/>
        </w:rPr>
      </w:pPr>
      <w:r>
        <w:rPr>
          <w:rFonts w:eastAsia="Century Schoolbook" w:cs="Times New Roman"/>
        </w:rPr>
        <w:t xml:space="preserve">3.4. Заказчик не несёт ответственность за последствия при расчетах по банковским реквизитам Поставщика, если последний своевременно письменно не уведомил Заказчика об их изменении.</w:t>
      </w:r>
      <w:r/>
    </w:p>
    <w:p>
      <w:pPr>
        <w:ind w:firstLine="567"/>
        <w:jc w:val="both"/>
        <w:tabs>
          <w:tab w:val="left" w:pos="0" w:leader="none"/>
        </w:tabs>
        <w:rPr>
          <w:rFonts w:cs="Times New Roman"/>
        </w:rPr>
      </w:pPr>
      <w:r>
        <w:rPr>
          <w:rFonts w:cs="Times New Roman"/>
        </w:rPr>
        <w:t xml:space="preserve">3.5. Заказчик не несёт ответственности за несвоевременное перечисление денежных средств Поставщику за поставку Товара по независящим от него причинам (в случаях приостановления или отсутствия бюджетного финансирования).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3.6. В случае изменения банковских реквизито</w:t>
      </w:r>
      <w:r>
        <w:rPr>
          <w:rFonts w:cs="Times New Roman"/>
        </w:rPr>
        <w:t xml:space="preserve">в Поставщик обязан в однодневный срок в письменной форме сообщить об этом Заказчику с указанием новых реквизитов.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  <w:r/>
    </w:p>
    <w:p>
      <w:pPr>
        <w:pStyle w:val="1062"/>
        <w:ind w:right="0" w:firstLine="709"/>
        <w:jc w:val="center"/>
        <w:tabs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ind w:firstLine="284"/>
        <w:jc w:val="center"/>
        <w:tabs>
          <w:tab w:val="left" w:pos="709" w:leader="none"/>
          <w:tab w:val="left" w:pos="1134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4. ПРАВА И ОБЯЗАННОСТИ СТОРОН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  <w:b/>
          <w:bCs/>
        </w:rPr>
        <w:t xml:space="preserve">4.1. Поставщик вправе:</w:t>
      </w:r>
      <w:r/>
    </w:p>
    <w:p>
      <w:pPr>
        <w:pStyle w:val="1041"/>
        <w:ind w:firstLine="567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4.1.1. Требовать от Заказчика предоставления имеющейся у него информации, необходимой для исполнения обязательств по Контракту.</w:t>
      </w:r>
      <w:r/>
    </w:p>
    <w:p>
      <w:pPr>
        <w:pStyle w:val="1041"/>
        <w:ind w:firstLine="567"/>
        <w:jc w:val="both"/>
        <w:widowControl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4.1.2. Требовать от Заказчика своевременной оплаты поставленного Товара в порядке и на условиях, предусмотренных настоящим Контрактом. </w:t>
      </w:r>
      <w:r/>
    </w:p>
    <w:p>
      <w:pPr>
        <w:ind w:firstLine="567"/>
        <w:jc w:val="both"/>
        <w:rPr>
          <w:rFonts w:cs="Times New Roman"/>
          <w:b/>
        </w:rPr>
      </w:pPr>
      <w:r>
        <w:rPr>
          <w:rFonts w:cs="Times New Roman"/>
          <w:b/>
        </w:rPr>
        <w:t xml:space="preserve">4.2. Поставщик обязан: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4.2.1. Поставить </w:t>
      </w:r>
      <w:r>
        <w:rPr>
          <w:rFonts w:cs="Times New Roman"/>
        </w:rPr>
        <w:t xml:space="preserve">и смонтировать </w:t>
      </w:r>
      <w:r>
        <w:rPr>
          <w:rFonts w:cs="Times New Roman"/>
        </w:rPr>
        <w:t xml:space="preserve">Товар в строгом соответствии с условиями Контакта, в полном объёме, надлежащего качества и в установленные сроки.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4.2.2. Вместе с Товаром представить все необходимые документы, предусмотренные п.6.4 настоящего Контракта и законодательством Российской Федерации.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4.2.3. Обеспечить исполнение обязательств по Контракту своими силами.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4.2.4. Обеспечить соответствие поставляемого Товара требованиям качества, безопасности в соответствии с законодательством Российской Федерации.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Оборудование должно быть новым, не бывшим в употреблении, в ремонте, которое не было восстановлено, у которого не была осуществлена замена составных частей, не были восстановлены потребительские свойства.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4.2.5. Оборудование должно быть сертифицированным и соответствовать требованиям технического регламента ТР ЕАЭС 042/2017 Технический регламент Евразийского экономического союза "О безопасности оборудования для детских игровых п</w:t>
      </w:r>
      <w:r>
        <w:rPr>
          <w:rFonts w:cs="Times New Roman"/>
        </w:rPr>
        <w:t xml:space="preserve">лощадок", ГОСТ Р 52301-2013 "Оборудование и покрытие детских игровых площадок. Безопасность при эксплуатации. Общие требования", ГОСТ 34614.1-2019 "Оборудование и покрытия детских игровых площадок. Часть 1 Общие требования безопасности и методы испытаний".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4.2.6</w:t>
      </w:r>
      <w:r>
        <w:rPr>
          <w:rFonts w:cs="Times New Roman"/>
        </w:rPr>
        <w:t xml:space="preserve">. Предоставлять по требованию Заказчика информацию и документы, относящиеся к предмету Контракта для проверки исполнения Поставщиком обязательств по Контракту.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4.2.7</w:t>
      </w:r>
      <w:r>
        <w:rPr>
          <w:rFonts w:cs="Times New Roman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  <w:r/>
    </w:p>
    <w:p>
      <w:pPr>
        <w:ind w:firstLine="567"/>
        <w:jc w:val="both"/>
      </w:pPr>
      <w:r>
        <w:rPr>
          <w:rFonts w:cs="Times New Roman"/>
        </w:rPr>
        <w:t xml:space="preserve">4.2.8</w:t>
      </w:r>
      <w:r>
        <w:rPr>
          <w:rFonts w:cs="Times New Roman"/>
        </w:rPr>
        <w:t xml:space="preserve">. </w:t>
      </w:r>
      <w:r>
        <w:t xml:space="preserve">Выполнять свои обязательства, предусмотренные положениями Контракта.</w:t>
      </w:r>
      <w:r/>
    </w:p>
    <w:p>
      <w:pPr>
        <w:ind w:firstLine="567"/>
        <w:jc w:val="both"/>
        <w:tabs>
          <w:tab w:val="left" w:pos="709" w:leader="none"/>
        </w:tabs>
      </w:pPr>
      <w:r>
        <w:t xml:space="preserve">4.2.9</w:t>
      </w:r>
      <w:r>
        <w:t xml:space="preserve">. Представить Заказчику сведения об изменении своего фактич</w:t>
      </w:r>
      <w:r>
        <w:t xml:space="preserve">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4.2.10</w:t>
      </w:r>
      <w:r>
        <w:rPr>
          <w:rFonts w:cs="Times New Roman"/>
        </w:rPr>
        <w:t xml:space="preserve">. В случае обнаружения недостатков в процессе приёмки Товара устранить </w:t>
      </w:r>
      <w:r>
        <w:rPr>
          <w:rFonts w:cs="Times New Roman"/>
        </w:rPr>
        <w:t xml:space="preserve">недостатки в порядке и в сроки, указанные в документе, составленном в соответствие с разделом 6 настоящего Контракта.  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4.2.11</w:t>
      </w:r>
      <w:r>
        <w:rPr>
          <w:rFonts w:cs="Times New Roman"/>
        </w:rPr>
        <w:t xml:space="preserve">. Обеспечить гарантии на Товар в соответствии с положениями Контракта.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4.2.12</w:t>
      </w:r>
      <w:r>
        <w:rPr>
          <w:rFonts w:cs="Times New Roman"/>
        </w:rPr>
        <w:t xml:space="preserve">. Доля </w:t>
      </w:r>
      <w:r>
        <w:rPr>
          <w:rFonts w:cs="Times New Roman"/>
        </w:rPr>
        <w:t xml:space="preserve">товара</w:t>
      </w:r>
      <w:r>
        <w:rPr>
          <w:rFonts w:cs="Times New Roman"/>
        </w:rPr>
        <w:t xml:space="preserve"> отечественного производства должна быть не менее 90% от общего объёма </w:t>
      </w:r>
      <w:r>
        <w:rPr>
          <w:rFonts w:cs="Times New Roman"/>
        </w:rPr>
        <w:t xml:space="preserve">Товара</w:t>
      </w:r>
      <w:r>
        <w:rPr>
          <w:rFonts w:cs="Times New Roman"/>
        </w:rPr>
        <w:t xml:space="preserve"> в стоимостном выражении.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</w:t>
      </w:r>
      <w:r>
        <w:rPr>
          <w:rFonts w:cs="Times New Roman"/>
        </w:rPr>
        <w:t xml:space="preserve">2.13</w:t>
      </w:r>
      <w:r>
        <w:rPr>
          <w:rFonts w:cs="Times New Roman"/>
        </w:rPr>
        <w:t xml:space="preserve">. Соответствовать требованиям, установленными в ст. 31 Федерального закона № 44-ФЗ.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4.3. Заказчик вправе: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4.3.1. Требовать от Поставщика надлежащего исполнения обязательств, предусмотренных Контрактом.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4.3.2. Запрашивать у Поставщика информацию об исполнении им обязательств по Контракту.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4.3.3. Требовать от Поставщика устранения недостатков, допущенных при исполнении Контракта.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4.3.4. Отказаться от приёмки некачественного Товара и потребовать безвозмездного устранения недостатков.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Cs/>
        </w:rPr>
      </w:pPr>
      <w:r>
        <w:rPr>
          <w:rFonts w:cs="Times New Roman"/>
          <w:bCs/>
        </w:rPr>
        <w:t xml:space="preserve">4.3.5. Привлекать экспертов, экспертные организации для проверки соответствия исполнения Поставщиком обязательств по Контракту,</w:t>
      </w:r>
      <w:r>
        <w:rPr>
          <w:rFonts w:cs="Times New Roman"/>
          <w:bCs/>
        </w:rPr>
        <w:t xml:space="preserve"> </w:t>
      </w:r>
      <w:r>
        <w:t xml:space="preserve">требованиям, установленным Контрактом.</w:t>
      </w:r>
      <w:r/>
    </w:p>
    <w:p>
      <w:pPr>
        <w:ind w:firstLine="567"/>
        <w:jc w:val="both"/>
        <w:tabs>
          <w:tab w:val="left" w:pos="1260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4.4. Заказчик обязан: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4.4.1. 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4.4.2. Своевременно принять и оплатить поставленный Товар.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4.4.3. Провести экспертизу поставленных Поставщиком Товара, в части их соответствия условиям Контракта.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4.4.4. Осуществлять контроль за исполнением Поставщиком условий Контракта в соответствии с законодательством Российской Федерации.</w:t>
      </w:r>
      <w:r/>
    </w:p>
    <w:p>
      <w:pPr>
        <w:ind w:firstLine="567"/>
        <w:jc w:val="both"/>
        <w:tabs>
          <w:tab w:val="left" w:pos="709" w:leader="none"/>
        </w:tabs>
        <w:rPr>
          <w:rFonts w:cs="Times New Roman"/>
          <w:b/>
        </w:rPr>
      </w:pPr>
      <w:r>
        <w:t xml:space="preserve">4.4.5. Выполнять свои обязательства, пре</w:t>
      </w:r>
      <w:r>
        <w:t xml:space="preserve">дусмотренные иными положениями К</w:t>
      </w:r>
      <w:r>
        <w:t xml:space="preserve">онтракта.</w:t>
      </w:r>
      <w:r/>
    </w:p>
    <w:p>
      <w:pPr>
        <w:ind w:firstLine="283"/>
        <w:jc w:val="center"/>
        <w:rPr>
          <w:rFonts w:cs="Times New Roman"/>
        </w:rPr>
      </w:pPr>
      <w:r>
        <w:rPr>
          <w:rFonts w:cs="Times New Roman"/>
        </w:rPr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5. СРОК, МЕСТО И УСЛОВИЯ ПОСТАВКИ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5.1 </w:t>
      </w:r>
      <w:r>
        <w:rPr>
          <w:rFonts w:cs="Times New Roman"/>
          <w:bCs/>
        </w:rPr>
        <w:t xml:space="preserve">Срок поставки, расстановки по территории и монтажа </w:t>
      </w:r>
      <w:r>
        <w:rPr>
          <w:rFonts w:cs="Times New Roman"/>
          <w:bCs/>
        </w:rPr>
        <w:t xml:space="preserve">Товара: </w:t>
      </w:r>
      <w:r>
        <w:rPr>
          <w:rFonts w:cs="Times New Roman"/>
          <w:bCs/>
        </w:rPr>
        <w:t xml:space="preserve">не позднее 12</w:t>
      </w:r>
      <w:r>
        <w:rPr>
          <w:rFonts w:cs="Times New Roman"/>
          <w:bCs/>
        </w:rPr>
        <w:t xml:space="preserve">.10.2026</w:t>
      </w:r>
      <w:r>
        <w:rPr>
          <w:rFonts w:cs="Times New Roman"/>
          <w:bCs/>
        </w:rPr>
        <w:t xml:space="preserve"> года.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5.2. Поставка</w:t>
      </w:r>
      <w:r>
        <w:rPr>
          <w:rFonts w:cs="Times New Roman"/>
          <w:bCs/>
        </w:rPr>
        <w:t xml:space="preserve">, расстановка по территории  и монтаж </w:t>
      </w:r>
      <w:r>
        <w:rPr>
          <w:rFonts w:cs="Times New Roman"/>
          <w:bCs/>
        </w:rPr>
        <w:t xml:space="preserve"> </w:t>
      </w:r>
      <w:r>
        <w:rPr>
          <w:rFonts w:cs="Times New Roman"/>
          <w:bCs/>
        </w:rPr>
        <w:t xml:space="preserve">Товара осуществляется в соответствии со Спецификацией (Приложение №1 к настоящему Контракту).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  <w:bCs/>
        </w:rPr>
        <w:t xml:space="preserve">5.3. Место поставки</w:t>
      </w:r>
      <w:r>
        <w:rPr>
          <w:rFonts w:cs="Times New Roman"/>
          <w:bCs/>
        </w:rPr>
        <w:t xml:space="preserve">, расстановки по территории и монтаж </w:t>
      </w:r>
      <w:r>
        <w:rPr>
          <w:rFonts w:cs="Times New Roman"/>
          <w:bCs/>
        </w:rPr>
        <w:t xml:space="preserve">Товара: </w:t>
      </w:r>
      <w:r>
        <w:rPr>
          <w:rFonts w:cs="Times New Roman"/>
        </w:rPr>
        <w:t xml:space="preserve">Ленинградская область, </w:t>
      </w:r>
      <w:r>
        <w:rPr>
          <w:rFonts w:cs="Times New Roman"/>
        </w:rPr>
        <w:t xml:space="preserve">Сланцевский</w:t>
      </w:r>
      <w:r>
        <w:rPr>
          <w:rFonts w:cs="Times New Roman"/>
        </w:rPr>
        <w:t xml:space="preserve"> район, г. Сланцы, ул. </w:t>
      </w:r>
      <w:r>
        <w:rPr>
          <w:rFonts w:cs="Times New Roman"/>
        </w:rPr>
        <w:t xml:space="preserve">Спортивная, д. 9/2 </w:t>
      </w:r>
      <w:r>
        <w:rPr>
          <w:rFonts w:cs="Times New Roman"/>
        </w:rPr>
        <w:t xml:space="preserve">(далее – Объект).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</w:rPr>
        <w:t xml:space="preserve">5.4. Доставка</w:t>
      </w:r>
      <w:r>
        <w:rPr>
          <w:rFonts w:cs="Times New Roman"/>
        </w:rPr>
        <w:t xml:space="preserve">,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выгрузка</w:t>
      </w:r>
      <w:r>
        <w:rPr>
          <w:rFonts w:cs="Times New Roman"/>
        </w:rPr>
        <w:t xml:space="preserve">, </w:t>
      </w:r>
      <w:r>
        <w:rPr>
          <w:rFonts w:cs="Times New Roman"/>
          <w:bCs/>
        </w:rPr>
        <w:t xml:space="preserve">расстановка</w:t>
      </w:r>
      <w:r>
        <w:rPr>
          <w:rFonts w:cs="Times New Roman"/>
          <w:bCs/>
        </w:rPr>
        <w:t xml:space="preserve"> по территории и монтаж </w:t>
      </w:r>
      <w:r>
        <w:rPr>
          <w:rFonts w:cs="Times New Roman"/>
        </w:rPr>
        <w:t xml:space="preserve">Товара на объекте осуществляется силами и средствами Поставщика за счёт Поставщика. 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Товар поставляется единовременно, упакованный по размерам.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</w:rPr>
        <w:t xml:space="preserve">5.5. Поставка, </w:t>
      </w:r>
      <w:r>
        <w:rPr>
          <w:rFonts w:cs="Times New Roman"/>
          <w:bCs/>
        </w:rPr>
        <w:t xml:space="preserve">сборка</w:t>
      </w:r>
      <w:r>
        <w:rPr>
          <w:rFonts w:cs="Times New Roman"/>
          <w:bCs/>
        </w:rPr>
        <w:t xml:space="preserve">, расстановка по территории и монтаж</w:t>
      </w:r>
      <w:r>
        <w:rPr>
          <w:rFonts w:cs="Times New Roman"/>
          <w:bCs/>
        </w:rPr>
        <w:t xml:space="preserve"> Товара осуществляется в рабочие дни (понедельник-пятница с 8</w:t>
      </w:r>
      <w:r>
        <w:rPr>
          <w:rFonts w:cs="Times New Roman"/>
          <w:bCs/>
          <w:lang w:bidi="he-IL"/>
        </w:rPr>
        <w:t xml:space="preserve">.30-17.30).</w:t>
      </w:r>
      <w:r/>
    </w:p>
    <w:p>
      <w:pPr>
        <w:ind w:firstLine="567"/>
        <w:jc w:val="both"/>
        <w:rPr>
          <w:rFonts w:cs="Times New Roman"/>
          <w:bCs/>
        </w:rPr>
      </w:pPr>
      <w:r>
        <w:rPr>
          <w:rFonts w:cs="Times New Roman"/>
          <w:bCs/>
          <w:lang w:bidi="he-IL"/>
        </w:rPr>
        <w:t xml:space="preserve">5.6. Поставщик обязан вместе с Товаром представить все необходимые документы, предусмотренные п.6.4. настоящего Контракта.</w:t>
      </w:r>
      <w:r/>
    </w:p>
    <w:p>
      <w:pPr>
        <w:ind w:firstLine="709"/>
        <w:jc w:val="center"/>
        <w:shd w:val="clear" w:color="auto" w:fill="ffffff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ind w:firstLine="709"/>
        <w:jc w:val="center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6. ПОРЯДОК ПРИЕМКИ ТОВАРА.</w:t>
      </w:r>
      <w:r/>
    </w:p>
    <w:p>
      <w:pPr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6.1. П</w:t>
      </w:r>
      <w:r>
        <w:rPr>
          <w:rFonts w:eastAsia="Arial" w:cs="Times New Roman"/>
        </w:rPr>
        <w:t xml:space="preserve">риемка Товара </w:t>
      </w:r>
      <w:r>
        <w:rPr>
          <w:rFonts w:cs="Times New Roman"/>
        </w:rPr>
        <w:t xml:space="preserve">включает в себя: поставку Товара, выгрузку Товара на объекте, </w:t>
      </w:r>
      <w:r>
        <w:rPr>
          <w:rFonts w:cs="Times New Roman"/>
        </w:rPr>
        <w:t xml:space="preserve">монтаж Товара и расстановку по территории, </w:t>
      </w:r>
      <w:r>
        <w:rPr>
          <w:rFonts w:cs="Times New Roman"/>
        </w:rPr>
        <w:t xml:space="preserve">проверку Товара на соответствие требованиям настоящего Контракта. </w:t>
      </w:r>
      <w:r/>
    </w:p>
    <w:p>
      <w:pPr>
        <w:ind w:firstLine="567"/>
        <w:jc w:val="both"/>
      </w:pPr>
      <w:r>
        <w:t xml:space="preserve">6.2. Поставщик уведомляет Заказчика о предполагаемой дате и времени поставки</w:t>
      </w:r>
      <w:r>
        <w:t xml:space="preserve"> </w:t>
      </w:r>
      <w:r>
        <w:t xml:space="preserve">Товара, не менее чем за 2 рабочих дня. </w:t>
      </w:r>
      <w:r/>
    </w:p>
    <w:p>
      <w:pPr>
        <w:ind w:firstLine="567"/>
        <w:jc w:val="both"/>
      </w:pPr>
      <w:r>
        <w:t xml:space="preserve">6.3. Приемка Товара осуществляется Заказчиком после выгрузки Товара на объекте. </w:t>
      </w:r>
      <w:r/>
    </w:p>
    <w:p>
      <w:pPr>
        <w:ind w:firstLine="567"/>
        <w:jc w:val="both"/>
      </w:pPr>
      <w:r>
        <w:t xml:space="preserve">6.4. При поставке Товара Поставщик передаёт Заказчику все документы: счёт,</w:t>
      </w:r>
      <w:r>
        <w:t xml:space="preserve"> </w:t>
      </w:r>
      <w:r>
        <w:t xml:space="preserve">счёт-фактура/УПД, товарная накладная в 2-х экземплярах, акт монтажа оборудования, акт об оказании </w:t>
      </w:r>
      <w:r>
        <w:t xml:space="preserve">услуг, паспорта на оборудование, сертификаты (в том числе сертификаты в соответствии с требованиями Технического регламента ТР ЕАЭС 042/2017 "О безопасности оборудования для детских игровых площадок</w:t>
      </w:r>
      <w:r>
        <w:t xml:space="preserve">"), гарантийные талоны.</w:t>
      </w:r>
      <w:r/>
    </w:p>
    <w:p>
      <w:pPr>
        <w:ind w:firstLine="567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 xml:space="preserve">6.5. Приёмка Товара по комплектности, количеству и качеству и оформлением её результатов осуще</w:t>
      </w:r>
      <w:r>
        <w:rPr>
          <w:rFonts w:eastAsia="Arial Unicode MS"/>
          <w:bCs/>
        </w:rPr>
        <w:t xml:space="preserve">ствляется Заказчиком в течение 5 (пять</w:t>
      </w:r>
      <w:r>
        <w:rPr>
          <w:rFonts w:eastAsia="Arial Unicode MS"/>
          <w:bCs/>
        </w:rPr>
        <w:t xml:space="preserve">) рабочих дней с момента предоставления Поставщ</w:t>
      </w:r>
      <w:r>
        <w:rPr>
          <w:rFonts w:eastAsia="Arial Unicode MS"/>
          <w:bCs/>
        </w:rPr>
        <w:t xml:space="preserve">иком документов в соответствии </w:t>
      </w:r>
      <w:r>
        <w:rPr>
          <w:rFonts w:eastAsia="Arial Unicode MS"/>
          <w:bCs/>
        </w:rPr>
        <w:t xml:space="preserve">п. 6.4 настоящего Контракта.</w:t>
      </w:r>
      <w:r/>
    </w:p>
    <w:p>
      <w:pPr>
        <w:ind w:firstLine="567"/>
        <w:jc w:val="both"/>
        <w:rPr>
          <w:rFonts w:eastAsia="Calibri" w:cs="Times New Roman"/>
          <w:lang w:eastAsia="en-US"/>
        </w:rPr>
      </w:pPr>
      <w:r>
        <w:t xml:space="preserve">6.6. Для проверки поставленного Товара в части его соответствия условиям Контракта, Заказчик обязан провести экспертизу. </w:t>
      </w:r>
      <w:r>
        <w:rPr>
          <w:rFonts w:eastAsia="Calibri" w:cs="Times New Roman"/>
          <w:lang w:eastAsia="en-US"/>
        </w:rPr>
        <w:t xml:space="preserve">Экспертиза товара проводится Заказчиком своими силами. По результатам экспертизы составляется документ о проведенной экспертизе.</w:t>
      </w:r>
      <w:r/>
    </w:p>
    <w:p>
      <w:pPr>
        <w:ind w:firstLine="567"/>
        <w:jc w:val="both"/>
        <w:rPr>
          <w:rFonts w:cs="Times New Roman"/>
        </w:rPr>
      </w:pPr>
      <w:r>
        <w:rPr>
          <w:rFonts w:eastAsia="Calibri" w:cs="Times New Roman"/>
          <w:lang w:eastAsia="en-US"/>
        </w:rPr>
        <w:t xml:space="preserve">6.7. В случае если по результатам такой экспертизы установлены нарушения требований Контракта, в документе о проведении экспертизы отражаются выявленные нарушения. 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В случае выя</w:t>
      </w:r>
      <w:r>
        <w:rPr>
          <w:rFonts w:cs="Times New Roman"/>
        </w:rPr>
        <w:t xml:space="preserve">вления нарушений, препятствующих приемке Товара, Заказчик направляет Поставщику мотивированный отказ от приемки Товара с указанием недостатков, допущенных Поставщиком, предложений об устранении таких нарушений, в том числе с указанием срока их устранения. 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Заказчик вправе не отказывать в приемке поставленного Товара в случае выявления несоответствия Товара условиям контракта, если выявленное несоответствие не препятствует приемке Товара и устранено Поставщиком.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6.8. В случае, если по результатам экспертизы не выявлены нарушения требований к</w:t>
      </w:r>
      <w:r>
        <w:rPr>
          <w:rFonts w:cs="Times New Roman"/>
        </w:rPr>
        <w:t xml:space="preserve">онтракта, препятствующие приёмке Товара, в документе о проведённой экспертизе отражается факт о надлежащем исполнении обязательств. В таком случае товарная накладная, акт об оказании услуг, подписываются после подписания документа о проведённой экспертизе.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6.9. Обязанность Поставщика по поставке Товара считается исполненной в момент подписания Заказчиком товарной накладной.</w:t>
      </w:r>
      <w:r/>
    </w:p>
    <w:p>
      <w:pPr>
        <w:ind w:firstLine="567"/>
        <w:jc w:val="both"/>
        <w:rPr>
          <w:rFonts w:eastAsia="Calibri" w:cs="Times New Roman"/>
          <w:color w:val="000000"/>
          <w:lang w:eastAsia="en-US"/>
        </w:rPr>
      </w:pPr>
      <w:r>
        <w:rPr>
          <w:rFonts w:cs="Times New Roman"/>
        </w:rPr>
        <w:t xml:space="preserve">6.10. Подписанная Заказчиком товарная накладная является основанием для выставления Поставщиком счёта Заказчику на оплату поставленного Товара.</w:t>
      </w:r>
      <w:r/>
    </w:p>
    <w:p>
      <w:pPr>
        <w:ind w:firstLine="567"/>
        <w:jc w:val="both"/>
      </w:pPr>
      <w:r>
        <w:t xml:space="preserve">6.11. Если Поставщ</w:t>
      </w:r>
      <w:r>
        <w:t xml:space="preserve">ик не устранил причины отказа, указанные Заказчиком в мотивированном отказе от подписания документа о приемке, либо они являются существенными и неустранимыми, Заказчик вправе отказаться от исполнения Контракта и потребовать возмещения причиненных убытков.</w:t>
      </w:r>
      <w:r/>
    </w:p>
    <w:p>
      <w:pPr>
        <w:ind w:firstLine="567"/>
        <w:jc w:val="both"/>
        <w:rPr>
          <w:rFonts w:cs="Times New Roman"/>
          <w:b/>
        </w:rPr>
      </w:pPr>
      <w:r>
        <w:t xml:space="preserve">6.12. Ответственность за подлинность и достоверность предоставленных документов несёт Поставщик.</w:t>
      </w:r>
      <w:r/>
    </w:p>
    <w:p>
      <w:pPr>
        <w:ind w:firstLine="340"/>
        <w:jc w:val="center"/>
        <w:rPr>
          <w:rFonts w:eastAsia="Calibri" w:cs="Times New Roman"/>
          <w:color w:val="000000"/>
          <w:lang w:eastAsia="en-US"/>
        </w:rPr>
      </w:pPr>
      <w:r>
        <w:rPr>
          <w:rFonts w:eastAsia="Calibri" w:cs="Times New Roman"/>
          <w:color w:val="000000"/>
          <w:lang w:eastAsia="en-US"/>
        </w:rPr>
      </w:r>
      <w:r/>
    </w:p>
    <w:p>
      <w:pPr>
        <w:ind w:firstLine="709"/>
        <w:jc w:val="center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7. ГАРАНТИЙНЫЕ ОБЯЗАТЕЛЬСТВА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Качество и безопасность Товара должны соответствовать обязательным Требованиям, установленными нормативными документами для соответствующего вида Товара, в том числе техническим регламентам.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7.2. Поставщик предоставляет гарантию качества на Товар.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Гарантийный срок составляет 36 месяцев</w:t>
      </w:r>
      <w:r>
        <w:rPr>
          <w:rFonts w:ascii="Times New Roman" w:hAnsi="Times New Roman" w:cs="Times New Roman"/>
          <w:sz w:val="24"/>
          <w:szCs w:val="24"/>
        </w:rPr>
        <w:t xml:space="preserve"> и исчисляется с даты подписания Заказчиком товарной накладной.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7.3.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</w:t>
      </w:r>
      <w:r>
        <w:rPr>
          <w:rFonts w:ascii="Times New Roman" w:hAnsi="Times New Roman" w:cs="Times New Roman"/>
          <w:sz w:val="24"/>
          <w:szCs w:val="24"/>
        </w:rPr>
        <w:t xml:space="preserve">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в Российской Федерации.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7.4. В течение гарантийного срока Поставщик обязан устранить недостатки, выявленные в Товаре, или заменить Товар, если не докажет, что недостатки возникли в результате нарушения Заказчиком правил эксплуатации Товара.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Устранение недостатков Товара производиться в срок не более 10 дней с даты письменного уведомления Поставщика о выявлении таких недостатков.</w:t>
      </w:r>
      <w:r/>
    </w:p>
    <w:p>
      <w:pPr>
        <w:pStyle w:val="1066"/>
        <w:ind w:firstLine="567"/>
        <w:jc w:val="both"/>
        <w:spacing w:line="240" w:lineRule="auto"/>
        <w:tabs>
          <w:tab w:val="left" w:pos="0" w:leader="none"/>
          <w:tab w:val="left" w:pos="15" w:leader="none"/>
        </w:tabs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7.5. Датой исполнения обязательств Поставщика по Контракту в отношении гарантии на Товар считается дата окончания гарантийного срока.</w:t>
      </w:r>
      <w:r/>
    </w:p>
    <w:p>
      <w:pPr>
        <w:ind w:firstLine="709"/>
        <w:jc w:val="center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ind w:firstLine="709"/>
        <w:jc w:val="center"/>
        <w:tabs>
          <w:tab w:val="left" w:pos="709" w:leader="none"/>
        </w:tabs>
        <w:rPr>
          <w:rFonts w:cs="Times New Roman"/>
          <w:b/>
        </w:rPr>
      </w:pPr>
      <w:r>
        <w:rPr>
          <w:rFonts w:cs="Times New Roman"/>
          <w:b/>
          <w:bCs/>
        </w:rPr>
        <w:t xml:space="preserve">8. </w:t>
      </w:r>
      <w:r>
        <w:rPr>
          <w:rFonts w:cs="Times New Roman"/>
          <w:b/>
        </w:rPr>
        <w:t xml:space="preserve">ОТВЕТСТВЕННОСТЬ СТОРОН</w:t>
      </w:r>
      <w:r/>
    </w:p>
    <w:p>
      <w:pPr>
        <w:ind w:firstLine="567"/>
        <w:jc w:val="both"/>
        <w:spacing w:line="100" w:lineRule="atLeast"/>
        <w:rPr>
          <w:rFonts w:cs="Times New Roman"/>
          <w:color w:val="00000a"/>
        </w:rPr>
      </w:pPr>
      <w:r>
        <w:rPr>
          <w:rFonts w:cs="Times New Roman"/>
          <w:color w:val="00000a"/>
        </w:rPr>
        <w:t xml:space="preserve">8.1. 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РФ и Контрактом.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  <w:color w:val="00000a"/>
        </w:rPr>
        <w:t xml:space="preserve">8</w:t>
      </w:r>
      <w:r>
        <w:rPr>
          <w:rFonts w:cs="Times New Roman"/>
        </w:rPr>
        <w:t xml:space="preserve">.2. Ответственность Заказчика: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8.2.1. В случае просрочки исполнения Заказчиком обязательств, предусмотренных настоящим Контрактом, а также в иных случаях неисполнения или ненадлежащего исполнения Заказчиком обязательств, предусмотренных настоящим Контрактом, Поставщик</w:t>
      </w:r>
      <w:r>
        <w:rPr>
          <w:rFonts w:cs="Times New Roman"/>
        </w:rPr>
        <w:t xml:space="preserve"> </w:t>
      </w:r>
      <w:r>
        <w:rPr>
          <w:rFonts w:cs="Times New Roman"/>
          <w:shd w:val="clear" w:color="auto" w:fill="ffffff"/>
        </w:rPr>
        <w:t xml:space="preserve">вправе потребовать уплаты неустоек (штрафов, пеней).</w:t>
      </w:r>
      <w:r>
        <w:rPr>
          <w:rFonts w:cs="Times New Roman"/>
          <w:shd w:val="clear" w:color="auto" w:fill="ffffff"/>
        </w:rPr>
        <w:t xml:space="preserve"> 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8.2.2. Пеня начисляется за каждый день просрочки исполнения обязательства, предусмотренного настоящим Контрактом, начиная со дня, следующего после</w:t>
      </w:r>
      <w:r>
        <w:rPr>
          <w:rFonts w:cs="Times New Roman"/>
        </w:rPr>
        <w:t xml:space="preserve"> дня истечения установленного настоящим Контрактом срока исполнения обязательства. Такая пеня устанавливается Контрактом в размере 1/300 действующей на дату уплаты пеней ключевой ставки Центрального Банка Российской Федерации от не уплаченной в срок суммы.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8.2.3. За каждый фак</w:t>
      </w:r>
      <w:r>
        <w:rPr>
          <w:rFonts w:cs="Times New Roman"/>
        </w:rPr>
        <w:t xml:space="preserve">т неисполнения Заказчиком обязательств, предусмотренных настоящим Контрактом, за исключением просрочки исполнения обязательств, предусмотренных настоящим Контрактом, Поставщик вправе взыскать с Заказчика штраф в размере 1 000 (одна тысяча) рублей 00 копеек</w:t>
      </w:r>
      <w:r>
        <w:rPr>
          <w:rStyle w:val="980"/>
          <w:rFonts w:cs="Times New Roman"/>
        </w:rPr>
        <w:footnoteReference w:id="2"/>
      </w:r>
      <w:r>
        <w:rPr>
          <w:rStyle w:val="980"/>
          <w:rFonts w:cs="Times New Roman"/>
        </w:rPr>
        <w:t xml:space="preserve">1</w:t>
      </w:r>
      <w:r>
        <w:rPr>
          <w:rFonts w:cs="Times New Roman"/>
        </w:rPr>
        <w:t xml:space="preserve">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8.3. Ответственность Поставщика: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8.3.1. </w:t>
      </w:r>
      <w:r>
        <w:rPr>
          <w:rFonts w:eastAsia="Times New Roman CYR" w:cs="Times New Roman"/>
          <w:color w:val="000000"/>
        </w:rPr>
        <w:t xml:space="preserve">В случае просрочки исполнения Поставщиком обязательств (в том числ</w:t>
      </w:r>
      <w:r>
        <w:rPr>
          <w:rFonts w:eastAsia="Times New Roman CYR" w:cs="Times New Roman"/>
          <w:color w:val="000000"/>
        </w:rPr>
        <w:t xml:space="preserve">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8.3.2. Пеня начисляется за каждый день просрочки исполнения Поставщиком обязательства, предусм</w:t>
      </w:r>
      <w:r>
        <w:rPr>
          <w:rFonts w:cs="Times New Roman"/>
        </w:rPr>
        <w:t xml:space="preserve">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1/300 действующей на дату уплаты пени ключевой ставки Центрального банка Российской Федера</w:t>
      </w:r>
      <w:r>
        <w:rPr>
          <w:rFonts w:cs="Times New Roman"/>
        </w:rPr>
        <w:t xml:space="preserve">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  <w:r/>
    </w:p>
    <w:p>
      <w:pPr>
        <w:ind w:firstLine="567"/>
        <w:jc w:val="both"/>
        <w:spacing w:line="100" w:lineRule="atLeast"/>
        <w:rPr>
          <w:rFonts w:eastAsia="Calibri" w:cs="Times New Roman"/>
        </w:rPr>
      </w:pPr>
      <w:r>
        <w:rPr>
          <w:rFonts w:cs="Times New Roman"/>
        </w:rPr>
        <w:t xml:space="preserve">8.3.3.За каждый факт неисполнения или ненадлежащего исполнения Поставщиком обя</w:t>
      </w:r>
      <w:r>
        <w:rPr>
          <w:rFonts w:cs="Times New Roman"/>
        </w:rPr>
        <w:t xml:space="preserve">зательств, предусмотренных настоящим Контрактом, за исключением просрочки исполнения обязательств (в том числе гарантийного обязательства), предусмотренных настоящим Контрактом, Поставщик уплачивает Заказчику штраф в размере 10 % цены настоящего Контракта </w:t>
      </w:r>
      <w:r>
        <w:rPr>
          <w:rFonts w:cs="Times New Roman"/>
        </w:rPr>
        <w:t xml:space="preserve">_________</w:t>
      </w:r>
      <w:r>
        <w:rPr>
          <w:rFonts w:cs="Times New Roman"/>
        </w:rPr>
        <w:t xml:space="preserve"> (</w:t>
      </w:r>
      <w:r>
        <w:t xml:space="preserve">__________________</w:t>
      </w:r>
      <w:r>
        <w:rPr>
          <w:rFonts w:cs="Times New Roman"/>
        </w:rPr>
        <w:t xml:space="preserve">) рубль</w:t>
      </w:r>
      <w:r>
        <w:rPr>
          <w:rFonts w:cs="Times New Roman"/>
        </w:rPr>
        <w:t xml:space="preserve"> ____</w:t>
      </w:r>
      <w:r>
        <w:rPr>
          <w:rFonts w:cs="Times New Roman"/>
        </w:rPr>
        <w:t xml:space="preserve"> копеек</w:t>
      </w:r>
      <w:r>
        <w:rPr>
          <w:rStyle w:val="980"/>
          <w:rFonts w:cs="Times New Roman"/>
        </w:rPr>
        <w:footnoteReference w:id="3"/>
      </w:r>
      <w:r>
        <w:rPr>
          <w:rStyle w:val="980"/>
          <w:rFonts w:cs="Times New Roman"/>
        </w:rPr>
        <w:t xml:space="preserve">2</w:t>
      </w:r>
      <w:r>
        <w:rPr>
          <w:rFonts w:cs="Times New Roman"/>
        </w:rPr>
        <w:t xml:space="preserve">.</w:t>
      </w:r>
      <w:r/>
    </w:p>
    <w:p>
      <w:pPr>
        <w:ind w:firstLine="567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8.3.4. За каждый факт неисполнения или нена</w:t>
      </w:r>
      <w:r>
        <w:rPr>
          <w:rFonts w:cs="Times New Roman"/>
        </w:rPr>
        <w:t xml:space="preserve">длежащего исполнения Поставщиком обязательства, предусмотренного настоящим Контрактом, которое не имеет стоимостного выражения (при наличии в Контракте таких обязательств), Поставщик уплачивает Заказчику штраф в размере 1 000 (одна тысяча) рублей 00 копеек</w:t>
      </w:r>
      <w:r>
        <w:rPr>
          <w:rStyle w:val="980"/>
          <w:rFonts w:cs="Times New Roman"/>
        </w:rPr>
        <w:footnoteReference w:id="4"/>
      </w:r>
      <w:r>
        <w:rPr>
          <w:rStyle w:val="980"/>
          <w:rFonts w:cs="Times New Roman"/>
        </w:rPr>
        <w:t xml:space="preserve">3</w:t>
      </w:r>
      <w:r>
        <w:rPr>
          <w:rFonts w:cs="Times New Roman"/>
        </w:rPr>
        <w:t xml:space="preserve">.</w:t>
      </w:r>
      <w:r/>
    </w:p>
    <w:p>
      <w:pPr>
        <w:pStyle w:val="1068"/>
        <w:ind w:left="33" w:firstLine="534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8.4. Общая сумма начисленных штрафов за неисполнение или ненадлежащее исполнение Поставщиком обязательств, предусмотренных настоящим Контрактом, не может превышать цену настоящего Контракта.</w:t>
      </w:r>
      <w:r/>
    </w:p>
    <w:p>
      <w:pPr>
        <w:pStyle w:val="1068"/>
        <w:ind w:left="33" w:firstLine="534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8.5. Общая сумма начисленных штрафов за ненадлежащее исполнение Заказчиком обязательств, предусмотренных настоящим Контрактом, не может превышать цену настоящего Контракта.</w:t>
      </w:r>
      <w:r/>
    </w:p>
    <w:p>
      <w:pPr>
        <w:ind w:left="33" w:firstLine="534"/>
        <w:jc w:val="both"/>
        <w:spacing w:line="100" w:lineRule="atLeast"/>
        <w:rPr>
          <w:rFonts w:cs="Times New Roman"/>
        </w:rPr>
      </w:pPr>
      <w:r>
        <w:rPr>
          <w:rFonts w:cs="Times New Roman"/>
        </w:rPr>
        <w:t xml:space="preserve">8.6.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  <w:r/>
    </w:p>
    <w:p>
      <w:pPr>
        <w:ind w:firstLine="567"/>
        <w:jc w:val="both"/>
      </w:pPr>
      <w:r>
        <w:t xml:space="preserve">8.7. Уплата пени и штрафных санкций не освобождает стороны от выполнения обязательств по настоящему Контракту.</w:t>
      </w:r>
      <w:r/>
    </w:p>
    <w:p>
      <w:pPr>
        <w:ind w:firstLine="567"/>
        <w:jc w:val="both"/>
      </w:pPr>
      <w:r>
        <w:t xml:space="preserve">8.8. В случае просрочки исполнения </w:t>
      </w:r>
      <w:r>
        <w:rPr>
          <w:iCs/>
        </w:rPr>
        <w:t xml:space="preserve">Поставщиком </w:t>
      </w:r>
      <w:r>
        <w:t xml:space="preserve">обязательств (в том числе гарантийного обязательства), предусмотренных Контрактом, а также в иных случаях неисполнения или ненадлежащего исполнения </w:t>
      </w:r>
      <w:r>
        <w:rPr>
          <w:iCs/>
        </w:rPr>
        <w:t xml:space="preserve">Поставщиком </w:t>
      </w:r>
      <w:r>
        <w:t xml:space="preserve">обязательств, предусмотренных контрактом, Заказчик направляет </w:t>
      </w:r>
      <w:r>
        <w:rPr>
          <w:iCs/>
        </w:rPr>
        <w:t xml:space="preserve">Поставщику </w:t>
      </w:r>
      <w:r>
        <w:t xml:space="preserve">требование об уплате неустоек (штрафов, пеней). </w:t>
      </w:r>
      <w:r/>
    </w:p>
    <w:p>
      <w:pPr>
        <w:pStyle w:val="1041"/>
        <w:ind w:firstLine="53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p>
      <w:pPr>
        <w:ind w:firstLine="709"/>
        <w:jc w:val="center"/>
        <w:tabs>
          <w:tab w:val="left" w:pos="709" w:leader="none"/>
        </w:tabs>
        <w:rPr>
          <w:b/>
        </w:rPr>
      </w:pPr>
      <w:r>
        <w:rPr>
          <w:b/>
        </w:rPr>
        <w:t xml:space="preserve">9. ОБСТОЯТЕЛЬСТВА НЕПРЕОДОЛИМОЙ СИЛЫ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Стороны освобождаются от ответственности за полное или частичное неисполнение своих обязательств по настоящему Контракту, </w:t>
      </w:r>
      <w:r>
        <w:rPr>
          <w:rFonts w:ascii="Times New Roman" w:hAnsi="Times New Roman" w:cs="Times New Roman"/>
          <w:sz w:val="24"/>
          <w:szCs w:val="24"/>
        </w:rPr>
        <w:t xml:space="preserve">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Контракту,</w:t>
      </w:r>
      <w:r>
        <w:rPr>
          <w:rFonts w:ascii="Times New Roman" w:hAnsi="Times New Roman" w:cs="Times New Roman"/>
          <w:sz w:val="24"/>
          <w:szCs w:val="24"/>
        </w:rPr>
        <w:t xml:space="preserve">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/>
      <w:bookmarkStart w:id="1" w:name="_Ref495908536"/>
      <w:r>
        <w:rPr>
          <w:rFonts w:ascii="Times New Roman" w:hAnsi="Times New Roman" w:cs="Times New Roman"/>
          <w:sz w:val="24"/>
          <w:szCs w:val="24"/>
        </w:rPr>
        <w:t xml:space="preserve">9.2. Сторона, подвергшаяся действию обстоятельств непреодо</w:t>
      </w:r>
      <w:r>
        <w:rPr>
          <w:rFonts w:ascii="Times New Roman" w:hAnsi="Times New Roman" w:cs="Times New Roman"/>
          <w:sz w:val="24"/>
          <w:szCs w:val="24"/>
        </w:rPr>
        <w:t xml:space="preserve">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1"/>
      <w:r>
        <w:rPr>
          <w:rFonts w:ascii="Times New Roman" w:hAnsi="Times New Roman" w:cs="Times New Roman"/>
          <w:sz w:val="24"/>
          <w:szCs w:val="24"/>
        </w:rPr>
        <w:t xml:space="preserve">.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/>
      <w:bookmarkStart w:id="2" w:name="_Ref495908541"/>
      <w:r>
        <w:rPr>
          <w:rFonts w:ascii="Times New Roman" w:hAnsi="Times New Roman" w:cs="Times New Roman"/>
          <w:sz w:val="24"/>
          <w:szCs w:val="24"/>
        </w:rPr>
        <w:t xml:space="preserve">9.3.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2"/>
      <w:r/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Если обстоятельства непреодолимой силы будут существовать свыше </w:t>
      </w:r>
      <w:r>
        <w:rPr>
          <w:rFonts w:ascii="Times New Roman" w:hAnsi="Times New Roman" w:cs="Times New Roman"/>
          <w:iCs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месяца,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r/>
    </w:p>
    <w:p>
      <w:pPr>
        <w:ind w:firstLine="709"/>
        <w:jc w:val="center"/>
        <w:tabs>
          <w:tab w:val="left" w:pos="709" w:leader="none"/>
        </w:tabs>
      </w:pPr>
      <w:r/>
      <w:r/>
    </w:p>
    <w:p>
      <w:pPr>
        <w:pStyle w:val="1096"/>
        <w:contextualSpacing/>
        <w:ind w:left="360" w:firstLine="0"/>
        <w:spacing w:after="0"/>
        <w:tabs>
          <w:tab w:val="clear" w:pos="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10. ПОРЯДОК УРЕГУЛИРОВАНИЯ СПОРОВ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10.1. Стороны принимают все меры для того, чтобы любые спорные вопросы, разногласия </w:t>
      </w:r>
      <w:r>
        <w:rPr>
          <w:rFonts w:ascii="Times New Roman" w:hAnsi="Times New Roman" w:cs="Times New Roman"/>
          <w:sz w:val="24"/>
          <w:szCs w:val="24"/>
        </w:rPr>
        <w:t xml:space="preserve">либо претензии, касающиеся исполнения настоящего Контракта, были урегулированы путем переговоров с оформлением соответствующего документа. Претензии, направляемые Сторонами, подлежат рассмотрению в течение 10 (десяти) рабочих дней с момента их получения.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 xml:space="preserve">10.2. В случае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недостижения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взаимного согласия все споры, разногласия или требования, возникающие из 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настоящего Контракта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  <w:r/>
    </w:p>
    <w:p>
      <w:pPr>
        <w:pStyle w:val="1067"/>
        <w:contextualSpacing/>
        <w:ind w:left="0" w:firstLine="567"/>
        <w:spacing w:line="240" w:lineRule="auto"/>
        <w:tabs>
          <w:tab w:val="left" w:pos="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К отношениям Сторон по настоящему Контракту и в связи с ним применяется законодательство Российской Федерации.</w:t>
      </w:r>
      <w:r/>
    </w:p>
    <w:p>
      <w:pPr>
        <w:contextualSpacing/>
        <w:jc w:val="center"/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contextualSpacing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11.  ИЗМЕНЕНИЕ, РАСТОРЖЕНИЕ КОНТРАКТА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11.1. Изменение существенных условий Контракта при его исполнении не допускается, за исключением случаев, предусмотренных действующим законодательством РФ.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11.2. Изменения и дополнения настоящего Контракта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дополнительного с</w:t>
      </w:r>
      <w:r>
        <w:rPr>
          <w:rFonts w:cs="Times New Roman"/>
        </w:rPr>
        <w:t xml:space="preserve">оглашения к Контракту, за исключением случаев изменения у какой-либо из Сторон местонахождения, названия, банковских или других реквизитов. В таком случае достаточно в течение пяти дней с момента таких изменений, письменно уведомить об этом другую Сторону.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11.3. Настоящий Контракт может быть расторгнут: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ab/>
        <w:t xml:space="preserve">- по соглашению Сторон;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  - в судебном порядке;</w:t>
      </w:r>
      <w:r/>
    </w:p>
    <w:p>
      <w:pPr>
        <w:contextualSpacing/>
        <w:ind w:firstLine="567"/>
        <w:jc w:val="both"/>
        <w:tabs>
          <w:tab w:val="left" w:pos="709" w:leader="none"/>
        </w:tabs>
      </w:pPr>
      <w:r>
        <w:rPr>
          <w:rFonts w:cs="Times New Roman"/>
        </w:rPr>
        <w:tab/>
        <w:t xml:space="preserve">- </w:t>
      </w:r>
      <w:r>
        <w:rPr>
          <w:rFonts w:cs="Times New Roman"/>
          <w:lang w:eastAsia="ru-RU"/>
        </w:rPr>
        <w:t xml:space="preserve">в случае принятия Заказчиком или Поставщиком решения об одностороннем отказе от исполнения Контракта в соответствии с гражданским законодательством Российской Федерации в порядке, предусмотренном ст.95 </w:t>
      </w:r>
      <w:r>
        <w:t xml:space="preserve">Федеральный закон № 44-ФЗ.</w:t>
      </w:r>
      <w:r/>
    </w:p>
    <w:p>
      <w:pPr>
        <w:contextualSpacing/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обязательств, в том числе:</w:t>
      </w:r>
      <w:r/>
    </w:p>
    <w:p>
      <w:pPr>
        <w:contextualSpacing/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- в случае отказа Поставщика передать Заказчику Товар или принадлежности к нему;</w:t>
      </w:r>
      <w:r/>
    </w:p>
    <w:p>
      <w:pPr>
        <w:ind w:firstLine="567"/>
        <w:jc w:val="both"/>
      </w:pPr>
      <w:r>
        <w:rPr>
          <w:rFonts w:cs="Times New Roman"/>
          <w:lang w:eastAsia="ru-RU"/>
        </w:rPr>
        <w:t xml:space="preserve">- в случае существенного нарушения Поставщиком требований к качеству Товара, а именно обнаружение Заказчиком неустранимых недостатков, недостатков, которые не могут быть устранены без несоразмерных расходов или затрат времени;</w:t>
      </w:r>
      <w:r/>
    </w:p>
    <w:p>
      <w:pPr>
        <w:ind w:firstLine="567"/>
        <w:jc w:val="both"/>
      </w:pPr>
      <w:r>
        <w:t xml:space="preserve">- в случае невыполнение Поставщиком в разумный срок требования Заказчика о доукомплектовании товара,</w:t>
      </w:r>
      <w:r/>
    </w:p>
    <w:p>
      <w:pPr>
        <w:contextualSpacing/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- в случае неоднократного нарушения Поставщиком сроков поставки Товара;</w:t>
      </w:r>
      <w:r/>
    </w:p>
    <w:p>
      <w:pPr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- по иным основаниям, установленным Гражданским кодексом Российской Федерации.</w:t>
      </w:r>
      <w:r/>
    </w:p>
    <w:p>
      <w:pPr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11.5. При расторжении Контракта в связи с односторонним отказом Стороны Контракта от</w:t>
      </w:r>
      <w:r>
        <w:rPr>
          <w:rFonts w:cs="Times New Roman"/>
          <w:lang w:eastAsia="ru-RU"/>
        </w:rPr>
        <w:t xml:space="preserve"> исполнения Контракта другая Сторона Контракта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  <w:r/>
    </w:p>
    <w:p>
      <w:pPr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11.6. В случае расторжения Контракта по любым основаниям Поставщик обязан оплатить имеющуюся неустойку (штраф, пени), предусмотренную Контрактом, в течение 10 (десяти) дней с момента прекращения действия Контракта.</w:t>
      </w:r>
      <w:r/>
    </w:p>
    <w:p>
      <w:pPr>
        <w:ind w:firstLine="540"/>
        <w:jc w:val="both"/>
        <w:shd w:val="clear" w:color="auto" w:fill="ffffff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11.7. Расторжение Контракта в связи с односторонним отказом Заказчика или Поставщика от исполнения Контракта осуществляется в порядке, предусмотренном статьёй 95 Федерального закона от 05.04.2013 № 44-ФЗ.</w:t>
      </w:r>
      <w:r/>
    </w:p>
    <w:p>
      <w:pPr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11.8. Отношения Сторон, не урегулированные настоящим Контрактом, регулируются в соответствии с действующим законодательством Российской Федерации.</w:t>
      </w:r>
      <w:r/>
    </w:p>
    <w:p>
      <w:pPr>
        <w:ind w:firstLine="567"/>
        <w:jc w:val="both"/>
        <w:rPr>
          <w:rFonts w:cs="Times New Roman"/>
          <w:lang w:eastAsia="ru-RU"/>
        </w:rPr>
      </w:pPr>
      <w:r>
        <w:rPr>
          <w:rFonts w:cs="Times New Roman"/>
          <w:lang w:eastAsia="ru-RU"/>
        </w:rPr>
        <w:t xml:space="preserve">11.9. Стороны обязаны в течение 10 дней сообщать друг другу об изменениях своего места нахождения</w:t>
      </w:r>
      <w:r>
        <w:rPr>
          <w:rFonts w:cs="Times New Roman"/>
          <w:lang w:eastAsia="ru-RU"/>
        </w:rPr>
        <w:t xml:space="preserve"> </w:t>
      </w:r>
      <w:r>
        <w:rPr>
          <w:rFonts w:cs="Times New Roman"/>
          <w:lang w:eastAsia="ru-RU"/>
        </w:rPr>
        <w:t xml:space="preserve">почтового адреса, номеров телефонов, банковских реквизитов.</w:t>
      </w:r>
      <w:r/>
    </w:p>
    <w:p>
      <w:pPr>
        <w:numPr>
          <w:ilvl w:val="0"/>
          <w:numId w:val="1"/>
        </w:numPr>
        <w:contextualSpacing/>
        <w:jc w:val="center"/>
        <w:widowControl/>
        <w:tabs>
          <w:tab w:val="clear" w:pos="0" w:leader="none"/>
          <w:tab w:val="num" w:pos="432" w:leader="none"/>
          <w:tab w:val="left" w:pos="2870" w:leader="none"/>
        </w:tabs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numPr>
          <w:ilvl w:val="0"/>
          <w:numId w:val="1"/>
        </w:numPr>
        <w:contextualSpacing/>
        <w:jc w:val="center"/>
        <w:widowControl/>
        <w:tabs>
          <w:tab w:val="clear" w:pos="0" w:leader="none"/>
          <w:tab w:val="num" w:pos="432" w:leader="none"/>
          <w:tab w:val="left" w:pos="2870" w:leader="none"/>
        </w:tabs>
        <w:rPr>
          <w:rFonts w:cs="Times New Roman"/>
          <w:b/>
        </w:rPr>
      </w:pPr>
      <w:r>
        <w:rPr>
          <w:rFonts w:cs="Times New Roman"/>
          <w:b/>
        </w:rPr>
        <w:t xml:space="preserve">12. АНТИКОРРУПЦИОННАЯ ОГОВОРКА</w:t>
      </w:r>
      <w:r/>
    </w:p>
    <w:p>
      <w:pPr>
        <w:contextualSpacing/>
        <w:ind w:firstLine="567"/>
        <w:jc w:val="both"/>
        <w:tabs>
          <w:tab w:val="left" w:pos="2870" w:leader="none"/>
        </w:tabs>
        <w:rPr>
          <w:rFonts w:cs="Times New Roman"/>
        </w:rPr>
      </w:pPr>
      <w:r>
        <w:rPr>
          <w:rFonts w:cs="Times New Roman"/>
        </w:rPr>
        <w:t xml:space="preserve">12.1. При исполнении своих обязательств по настоящему муниципальному контракту </w:t>
      </w:r>
      <w:r>
        <w:rPr>
          <w:rFonts w:cs="Times New Roman"/>
        </w:rPr>
        <w:t xml:space="preserve">Стороны, их </w:t>
      </w:r>
      <w:r>
        <w:rPr>
          <w:rFonts w:cs="Times New Roman"/>
        </w:rPr>
        <w:t xml:space="preserve">аффилированные</w:t>
      </w:r>
      <w:r>
        <w:rPr>
          <w:rFonts w:cs="Times New Roman"/>
        </w:rPr>
        <w:t xml:space="preserve"> лица, работники или посредники не </w:t>
      </w:r>
      <w:r>
        <w:rPr>
          <w:rFonts w:cs="Times New Roman"/>
        </w:rPr>
        <w:t xml:space="preserve">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работ, прямо или косвенно, любым лицам, для оказания влияния на действия или решения Сторон, их </w:t>
      </w:r>
      <w:r>
        <w:rPr>
          <w:rFonts w:cs="Times New Roman"/>
        </w:rPr>
        <w:t xml:space="preserve">аффилированных</w:t>
      </w:r>
      <w:r>
        <w:rPr>
          <w:rFonts w:cs="Times New Roman"/>
        </w:rPr>
        <w:t xml:space="preserve"> лиц, работников или посредников с целью получить какие-либо неправомерные преимущества или с иной неправомерной целью.</w:t>
      </w:r>
      <w:r/>
    </w:p>
    <w:p>
      <w:pPr>
        <w:contextualSpacing/>
        <w:ind w:firstLine="567"/>
        <w:jc w:val="both"/>
        <w:tabs>
          <w:tab w:val="left" w:pos="2870" w:leader="none"/>
        </w:tabs>
        <w:rPr>
          <w:rFonts w:cs="Times New Roman"/>
        </w:rPr>
      </w:pPr>
      <w:r>
        <w:rPr>
          <w:rFonts w:cs="Times New Roman"/>
        </w:rPr>
        <w:t xml:space="preserve">12.2. При исполнении своих обязательств по настоящему муниципальному контракту Стороны, их </w:t>
      </w:r>
      <w:r>
        <w:rPr>
          <w:rFonts w:cs="Times New Roman"/>
        </w:rPr>
        <w:t xml:space="preserve">аффилированные</w:t>
      </w:r>
      <w:r>
        <w:rPr>
          <w:rFonts w:cs="Times New Roman"/>
        </w:rPr>
        <w:t xml:space="preserve"> лица, работники или</w:t>
      </w:r>
      <w:r>
        <w:rPr>
          <w:rFonts w:cs="Times New Roman"/>
        </w:rPr>
        <w:t xml:space="preserve">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  <w:r/>
    </w:p>
    <w:p>
      <w:pPr>
        <w:contextualSpacing/>
        <w:ind w:firstLine="567"/>
        <w:jc w:val="both"/>
        <w:tabs>
          <w:tab w:val="left" w:pos="2870" w:leader="none"/>
        </w:tabs>
        <w:rPr>
          <w:rFonts w:cs="Times New Roman"/>
        </w:rPr>
      </w:pPr>
      <w:r>
        <w:rPr>
          <w:rFonts w:cs="Times New Roman"/>
        </w:rPr>
        <w:t xml:space="preserve">12.3. В случае появления у Стороны информа</w:t>
      </w:r>
      <w:r>
        <w:rPr>
          <w:rFonts w:cs="Times New Roman"/>
        </w:rPr>
        <w:t xml:space="preserve">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письменном форме, по возможности также иными способами связи для ускорения принятия соотв</w:t>
      </w:r>
      <w:r>
        <w:rPr>
          <w:rFonts w:cs="Times New Roman"/>
        </w:rPr>
        <w:t xml:space="preserve">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</w:t>
      </w:r>
      <w:r>
        <w:rPr>
          <w:rFonts w:cs="Times New Roman"/>
        </w:rPr>
        <w:t xml:space="preserve">аффилированным</w:t>
      </w:r>
      <w:r>
        <w:rPr>
          <w:rFonts w:cs="Times New Roman"/>
        </w:rPr>
        <w:t xml:space="preserve"> лицами, работниками или посредниками.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  <w:r/>
    </w:p>
    <w:p>
      <w:pPr>
        <w:jc w:val="center"/>
        <w:rPr>
          <w:rFonts w:cs="Times New Roman"/>
          <w:b/>
        </w:rPr>
      </w:pPr>
      <w:r>
        <w:rPr>
          <w:rFonts w:cs="Times New Roman"/>
          <w:b/>
        </w:rPr>
      </w:r>
      <w:r/>
    </w:p>
    <w:p>
      <w:pPr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13. ЗАКЛЮЧИТЕЛЬНЫЕ ПОЛОЖЕНИЯ</w:t>
      </w:r>
      <w:r/>
    </w:p>
    <w:p>
      <w:pPr>
        <w:pStyle w:val="1067"/>
        <w:ind w:left="0" w:firstLine="567"/>
        <w:spacing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13.1. Настоящий Контракт вступает в силу и становится обязательным для Сторон с момента его подписания обе</w:t>
      </w:r>
      <w:r>
        <w:rPr>
          <w:rFonts w:ascii="Times New Roman" w:hAnsi="Times New Roman" w:cs="Times New Roman"/>
          <w:sz w:val="24"/>
          <w:szCs w:val="24"/>
        </w:rPr>
        <w:t xml:space="preserve">ими Сторонами и действует до «01</w:t>
      </w:r>
      <w:r>
        <w:rPr>
          <w:rFonts w:ascii="Times New Roman" w:hAnsi="Times New Roman" w:cs="Times New Roman"/>
          <w:sz w:val="24"/>
          <w:szCs w:val="24"/>
        </w:rPr>
        <w:t xml:space="preserve">» декабря 20</w:t>
      </w:r>
      <w:r>
        <w:rPr>
          <w:rFonts w:ascii="Times New Roman" w:hAnsi="Times New Roman" w:cs="Times New Roman"/>
          <w:sz w:val="24"/>
          <w:szCs w:val="24"/>
        </w:rPr>
        <w:t xml:space="preserve">26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  <w:r/>
    </w:p>
    <w:p>
      <w:pPr>
        <w:pStyle w:val="1067"/>
        <w:ind w:left="0" w:firstLine="567"/>
        <w:spacing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случае, если к моменту окончания срока действия Контракта, </w:t>
      </w:r>
      <w:r>
        <w:rPr>
          <w:rFonts w:ascii="Times New Roman" w:hAnsi="Times New Roman" w:cs="Times New Roman"/>
          <w:sz w:val="24"/>
          <w:szCs w:val="24"/>
        </w:rPr>
        <w:t xml:space="preserve">обязательства Сторон не исполнены, окончание срока действия Контракта не влечет прекращение исполнения Сторонами обязательств по Контракту. В этом случае Контракт признается действующим до момента надлежащего исполнения Сторонами обязательств по Контракту.</w:t>
      </w:r>
      <w:r/>
    </w:p>
    <w:p>
      <w:pPr>
        <w:contextualSpacing/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13.2. Все уведомления Сторон, связанные с исполнением настоящего муниципального Контракта, направляются в письменной форме по почте заказным письмом по фактическому адресу Стороны, указанному в настоящем муниципальном контракте, а также могут быть на</w:t>
      </w:r>
      <w:r>
        <w:rPr>
          <w:rFonts w:cs="Times New Roman"/>
        </w:rPr>
        <w:t xml:space="preserve">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</w:t>
      </w:r>
      <w:r>
        <w:rPr>
          <w:rFonts w:cs="Times New Roman"/>
        </w:rPr>
        <w:t xml:space="preserve">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  <w:r/>
    </w:p>
    <w:p>
      <w:pPr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13.3. Во всем, что не предусмотрено настоящим муниципальным контрактом, Стороны руководствуются действующим законодательством Российской Федерации.</w:t>
      </w:r>
      <w:r/>
    </w:p>
    <w:p>
      <w:pPr>
        <w:ind w:firstLine="567"/>
        <w:jc w:val="both"/>
        <w:tabs>
          <w:tab w:val="left" w:pos="709" w:leader="none"/>
        </w:tabs>
        <w:rPr>
          <w:rFonts w:cs="Times New Roman"/>
        </w:rPr>
      </w:pPr>
      <w:r>
        <w:rPr>
          <w:rFonts w:cs="Times New Roman"/>
        </w:rPr>
        <w:t xml:space="preserve">13.4. Все Приложения к настоящему муниципальному контракту являются его неотъемлемыми частями.</w:t>
      </w:r>
      <w:r/>
    </w:p>
    <w:p>
      <w:pPr>
        <w:ind w:firstLine="567"/>
        <w:jc w:val="both"/>
        <w:spacing w:line="23" w:lineRule="atLeast"/>
        <w:shd w:val="clear" w:color="auto" w:fill="ffffff"/>
        <w:tabs>
          <w:tab w:val="left" w:pos="1214" w:leader="none"/>
        </w:tabs>
        <w:rPr>
          <w:rFonts w:cs="Times New Roman"/>
        </w:rPr>
      </w:pPr>
      <w:r>
        <w:rPr>
          <w:rFonts w:cs="Times New Roman"/>
        </w:rPr>
        <w:t xml:space="preserve">13.5. Поставщик, подписав Контракт, подтверждает, что:</w:t>
      </w:r>
      <w:r/>
    </w:p>
    <w:p>
      <w:pPr>
        <w:ind w:firstLine="567"/>
        <w:jc w:val="both"/>
        <w:spacing w:line="23" w:lineRule="atLeast"/>
        <w:shd w:val="clear" w:color="auto" w:fill="ffffff"/>
        <w:tabs>
          <w:tab w:val="left" w:pos="1214" w:leader="none"/>
        </w:tabs>
        <w:rPr>
          <w:rFonts w:cs="Times New Roman"/>
        </w:rPr>
      </w:pPr>
      <w:r>
        <w:rPr>
          <w:rFonts w:cs="Times New Roman"/>
        </w:rPr>
        <w:t xml:space="preserve">- несет полную ответственность за исполнение Контракта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в соответствии с требованиями и условиями Контракта;</w:t>
      </w:r>
      <w:r/>
    </w:p>
    <w:p>
      <w:pPr>
        <w:ind w:firstLine="567"/>
        <w:jc w:val="both"/>
        <w:spacing w:line="23" w:lineRule="atLeast"/>
        <w:shd w:val="clear" w:color="auto" w:fill="ffffff"/>
        <w:tabs>
          <w:tab w:val="left" w:pos="1214" w:leader="none"/>
        </w:tabs>
        <w:rPr>
          <w:rFonts w:cs="Times New Roman"/>
        </w:rPr>
      </w:pPr>
      <w:r>
        <w:rPr>
          <w:rFonts w:cs="Times New Roman"/>
        </w:rPr>
        <w:t xml:space="preserve">- тщательно изучил и проверил всю информацию и документацию, связанные с заключением и исполнением Контракта, в том числе сметную</w:t>
      </w:r>
      <w:r>
        <w:rPr>
          <w:rFonts w:cs="Times New Roman"/>
        </w:rPr>
        <w:t xml:space="preserve"> </w:t>
      </w:r>
      <w:r>
        <w:rPr>
          <w:rFonts w:cs="Times New Roman"/>
        </w:rPr>
        <w:t xml:space="preserve">и полностью ознакомлен и согласен со всеми условиями Контракта, в том числе с условиями о порядке и сроках поставки Товара, условиях и возможности одностороннего отказа от исполнения Контракта Заказчиком (полностью или частично);</w:t>
      </w:r>
      <w:r/>
    </w:p>
    <w:p>
      <w:pPr>
        <w:ind w:firstLine="567"/>
        <w:jc w:val="both"/>
        <w:spacing w:line="23" w:lineRule="atLeast"/>
        <w:shd w:val="clear" w:color="auto" w:fill="ffffff"/>
        <w:tabs>
          <w:tab w:val="left" w:pos="1214" w:leader="none"/>
        </w:tabs>
        <w:rPr>
          <w:rFonts w:cs="Times New Roman"/>
        </w:rPr>
      </w:pPr>
      <w:r>
        <w:rPr>
          <w:rFonts w:cs="Times New Roman"/>
        </w:rPr>
        <w:t xml:space="preserve">13.6. Настоящий Контракт составлен в двух экземплярах, имеющих одинаковую юридическую силу и находящихся по одному у каждой стороны или Настоящий Контракт заключается в форме электронного документа и подписывается со стороны Поставщика и </w:t>
      </w:r>
      <w:r>
        <w:rPr>
          <w:rFonts w:cs="Times New Roman"/>
        </w:rPr>
        <w:t xml:space="preserve">Заказчика электронными цифровыми подписями уполномоченных лиц.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13.7. Приложения к настоящему контракту: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Приложение №1 Спецификация</w:t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</w:r>
      <w:r/>
    </w:p>
    <w:p>
      <w:pPr>
        <w:ind w:firstLine="567"/>
        <w:jc w:val="both"/>
        <w:rPr>
          <w:rFonts w:cs="Times New Roman"/>
        </w:rPr>
      </w:pPr>
      <w:r>
        <w:rPr>
          <w:rFonts w:cs="Times New Roman"/>
        </w:rPr>
      </w:r>
      <w:r/>
    </w:p>
    <w:p>
      <w:pPr>
        <w:pStyle w:val="1062"/>
        <w:ind w:right="0" w:firstLine="0"/>
        <w:jc w:val="center"/>
        <w:keepLines/>
        <w:keepNext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14. МЕСТОНАХОЖДЕНИЕ И БАНКОВСКИЕ РЕКВИЗИТЫ СТОРОН</w:t>
      </w:r>
      <w:r/>
    </w:p>
    <w:p>
      <w:pPr>
        <w:pStyle w:val="1062"/>
        <w:ind w:right="0" w:firstLine="0"/>
        <w:jc w:val="center"/>
        <w:keepLines/>
        <w:keepNext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p>
      <w:pPr>
        <w:pStyle w:val="1062"/>
        <w:ind w:right="0" w:firstLine="0"/>
        <w:jc w:val="center"/>
        <w:keepLines/>
        <w:keepNext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/>
    </w:p>
    <w:tbl>
      <w:tblPr>
        <w:tblpPr w:horzAnchor="margin" w:tblpXSpec="left" w:vertAnchor="page" w:tblpY="2848" w:leftFromText="180" w:topFromText="0" w:rightFromText="180" w:bottomFromText="0"/>
        <w:tblW w:w="0" w:type="auto"/>
        <w:tblLayout w:type="fixed"/>
        <w:tblLook w:val="04A0" w:firstRow="1" w:lastRow="0" w:firstColumn="1" w:lastColumn="0" w:noHBand="0" w:noVBand="1"/>
      </w:tblPr>
      <w:tblGrid>
        <w:gridCol w:w="5133"/>
        <w:gridCol w:w="4984"/>
      </w:tblGrid>
      <w:tr>
        <w:trPr>
          <w:cantSplit/>
          <w:trHeight w:val="6928"/>
        </w:trPr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133" w:type="dxa"/>
            <w:textDirection w:val="lrTb"/>
            <w:noWrap/>
          </w:tcPr>
          <w:p>
            <w:pPr>
              <w:jc w:val="both"/>
              <w:keepLines/>
              <w:widowControl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</w:rPr>
              <w:t xml:space="preserve">Заказчик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Администрация муниципального образования </w:t>
            </w:r>
            <w:r>
              <w:rPr>
                <w:sz w:val="24"/>
                <w:szCs w:val="24"/>
              </w:rPr>
              <w:t xml:space="preserve">Сланцевский</w:t>
            </w:r>
            <w:r>
              <w:rPr>
                <w:sz w:val="24"/>
                <w:szCs w:val="24"/>
              </w:rPr>
              <w:t xml:space="preserve"> муниципальный район Ленинградской области от имени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Сланцевского</w:t>
            </w:r>
            <w:r>
              <w:rPr>
                <w:sz w:val="24"/>
                <w:szCs w:val="24"/>
              </w:rPr>
              <w:t xml:space="preserve"> городского поселения 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Сланцевского</w:t>
            </w:r>
            <w:r>
              <w:rPr>
                <w:sz w:val="24"/>
                <w:szCs w:val="24"/>
              </w:rPr>
              <w:t xml:space="preserve"> муниципального района Ленинградской области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Юридический адрес: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188560, Ленинградская обл., г. Сланцы,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пер. Почтовый, д. 3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4713008137, КПП 470701001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Комитет финансов (Администрация </w:t>
            </w:r>
            <w:r>
              <w:rPr>
                <w:sz w:val="24"/>
                <w:szCs w:val="24"/>
              </w:rPr>
              <w:t xml:space="preserve">Сланцевского</w:t>
            </w:r>
            <w:r>
              <w:rPr>
                <w:sz w:val="24"/>
                <w:szCs w:val="24"/>
              </w:rPr>
              <w:t xml:space="preserve"> муниципального района,               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л/с 401000000757) КС 03231643416421014500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ind w:left="0" w:firstLine="0"/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ОКЦ №1 СЕВЕРО-ЗАПАДНОГО ГУ БАНКА РОССИИ//УФК по Ленинградской области г.Санкт-Петербург 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ЕКС 40102810745370000098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БИК 044030098,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7"/>
              <w:numPr>
                <w:ilvl w:val="0"/>
                <w:numId w:val="7"/>
              </w:numPr>
              <w:tabs>
                <w:tab w:val="left" w:pos="5261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ОГРН 1054700454940    ОКПО 43497407, </w:t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ОКВЭД 84.11.3, ОКТМО - 41 642 101</w:t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rFonts w:cs="Times New Roman"/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 ЗАКАЗЧИКА 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1"/>
              <w:jc w:val="both"/>
              <w:tabs>
                <w:tab w:val="left" w:pos="577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5"/>
              <w:tabs>
                <w:tab w:val="left" w:pos="577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администрации</w:t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муниципального образования</w:t>
            </w:r>
            <w:r>
              <w:rPr>
                <w:sz w:val="24"/>
                <w:szCs w:val="24"/>
              </w:rPr>
            </w:r>
            <w:r/>
          </w:p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Сланцевский</w:t>
            </w:r>
            <w:r>
              <w:rPr>
                <w:rFonts w:cs="Times New Roman"/>
                <w:sz w:val="24"/>
                <w:szCs w:val="24"/>
              </w:rPr>
              <w:t xml:space="preserve"> муниципальный район 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95"/>
              <w:tabs>
                <w:tab w:val="left" w:pos="5775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Ленинградской области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1"/>
              <w:jc w:val="both"/>
              <w:tabs>
                <w:tab w:val="left" w:pos="577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1"/>
              <w:jc w:val="both"/>
              <w:tabs>
                <w:tab w:val="left" w:pos="5775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8"/>
              <w:ind w:left="0"/>
              <w:spacing w:after="0"/>
              <w:rPr>
                <w:sz w:val="24"/>
                <w:szCs w:val="24"/>
                <w:highlight w:val="none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________________ Гришаков</w:t>
            </w:r>
            <w:r>
              <w:rPr>
                <w:sz w:val="24"/>
                <w:szCs w:val="24"/>
                <w:lang w:val="ru-RU"/>
              </w:rPr>
              <w:t xml:space="preserve"> В.Е.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58"/>
              <w:ind w:left="0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  <w:highlight w:val="none"/>
                <w:lang w:val="ru-RU"/>
              </w:rPr>
            </w:r>
            <w:r>
              <w:rPr>
                <w:sz w:val="24"/>
                <w:szCs w:val="24"/>
                <w:highlight w:val="none"/>
                <w:lang w:val="ru-RU"/>
              </w:rPr>
            </w:r>
            <w:r/>
          </w:p>
        </w:tc>
        <w:tc>
          <w:tcPr>
            <w:shd w:val="clear" w:color="auto" w:fill="ffffff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4984" w:type="dxa"/>
            <w:textDirection w:val="lrTb"/>
            <w:noWrap/>
          </w:tcPr>
          <w:p>
            <w:pPr>
              <w:pStyle w:val="1058"/>
              <w:ind w:left="0" w:firstLine="396"/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>
              <w:rPr>
                <w:rFonts w:cs="Times New Roman"/>
                <w:b/>
                <w:bCs/>
                <w:sz w:val="24"/>
                <w:szCs w:val="24"/>
                <w:lang w:val="ru-RU"/>
              </w:rPr>
              <w:t xml:space="preserve">Поставщик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color w:val="auto"/>
                <w:sz w:val="24"/>
                <w:szCs w:val="24"/>
              </w:rPr>
            </w:r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ОТ ПОСТАВЩИКА</w:t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bCs/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bCs/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/>
          </w:p>
          <w:p>
            <w:pPr>
              <w:pStyle w:val="1088"/>
              <w:rPr>
                <w:bCs/>
                <w:color w:val="auto"/>
                <w:sz w:val="24"/>
                <w:szCs w:val="24"/>
              </w:rPr>
            </w:pPr>
            <w:r>
              <w:rPr>
                <w:bCs/>
                <w:color w:val="auto"/>
                <w:sz w:val="24"/>
                <w:szCs w:val="24"/>
              </w:rPr>
              <w:t xml:space="preserve">___________________</w:t>
            </w:r>
            <w:r>
              <w:rPr>
                <w:bCs/>
                <w:color w:val="auto"/>
                <w:sz w:val="24"/>
                <w:szCs w:val="24"/>
              </w:rPr>
              <w:t xml:space="preserve"> _________________</w:t>
            </w:r>
            <w:r/>
          </w:p>
          <w:p>
            <w:pPr>
              <w:pStyle w:val="1058"/>
              <w:ind w:left="0"/>
              <w:spacing w:after="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</w:rPr>
            </w:r>
            <w:r/>
          </w:p>
        </w:tc>
      </w:tr>
    </w:tbl>
    <w:p>
      <w:r/>
      <w:r/>
    </w:p>
    <w:p>
      <w:pPr>
        <w:sectPr>
          <w:footerReference w:type="default" r:id="rId11"/>
          <w:footnotePr/>
          <w:endnotePr/>
          <w:type w:val="nextPage"/>
          <w:pgSz w:w="11906" w:h="16838" w:orient="portrait"/>
          <w:pgMar w:top="568" w:right="707" w:bottom="709" w:left="1134" w:header="720" w:footer="720" w:gutter="0"/>
          <w:cols w:num="1" w:sep="0" w:space="720" w:equalWidth="1"/>
          <w:docGrid w:linePitch="360"/>
        </w:sectPr>
      </w:pPr>
      <w:r/>
      <w:r/>
    </w:p>
    <w:p>
      <w:pPr>
        <w:jc w:val="right"/>
        <w:rPr>
          <w:rFonts w:eastAsia="Times New Roman"/>
          <w:bCs/>
        </w:rPr>
      </w:pPr>
      <w:r>
        <w:rPr>
          <w:rFonts w:eastAsia="Times New Roman"/>
          <w:lang w:eastAsia="ru-RU"/>
        </w:rPr>
        <w:t xml:space="preserve">Приложение № 1</w:t>
      </w:r>
      <w:r/>
    </w:p>
    <w:p>
      <w:pPr>
        <w:jc w:val="right"/>
        <w:rPr>
          <w:rFonts w:eastAsia="Times New Roman"/>
        </w:rPr>
      </w:pPr>
      <w:r>
        <w:rPr>
          <w:rFonts w:eastAsia="Times New Roman"/>
          <w:lang w:eastAsia="ru-RU"/>
        </w:rPr>
        <w:t xml:space="preserve">к муниципальному контракту №</w:t>
      </w:r>
      <w:r>
        <w:rPr>
          <w:rFonts w:eastAsia="Times New Roman"/>
          <w:lang w:eastAsia="ru-RU"/>
        </w:rPr>
        <w:t xml:space="preserve">__________</w:t>
      </w:r>
      <w:r/>
    </w:p>
    <w:p>
      <w:pPr>
        <w:jc w:val="right"/>
        <w:rPr>
          <w:rFonts w:eastAsia="Times New Roman"/>
        </w:rPr>
      </w:pPr>
      <w:r>
        <w:rPr>
          <w:rFonts w:eastAsia="Times New Roman"/>
          <w:lang w:eastAsia="ru-RU"/>
        </w:rPr>
        <w:t xml:space="preserve">от «</w:t>
      </w:r>
      <w:r>
        <w:rPr>
          <w:rFonts w:eastAsia="Times New Roman"/>
          <w:lang w:eastAsia="ru-RU"/>
        </w:rPr>
        <w:t xml:space="preserve">____</w:t>
      </w:r>
      <w:r>
        <w:rPr>
          <w:rFonts w:eastAsia="Times New Roman"/>
          <w:lang w:eastAsia="ru-RU"/>
        </w:rPr>
        <w:t xml:space="preserve">» </w:t>
      </w:r>
      <w:r>
        <w:rPr>
          <w:rFonts w:eastAsia="Times New Roman"/>
          <w:lang w:eastAsia="ru-RU"/>
        </w:rPr>
        <w:t xml:space="preserve">_______________ 2026</w:t>
      </w:r>
      <w:r>
        <w:rPr>
          <w:rFonts w:eastAsia="Times New Roman"/>
          <w:lang w:eastAsia="ru-RU"/>
        </w:rPr>
        <w:t xml:space="preserve"> г.</w:t>
      </w:r>
      <w:r/>
    </w:p>
    <w:p>
      <w:pPr>
        <w:jc w:val="center"/>
        <w:rPr>
          <w:rFonts w:eastAsia="Times New Roman"/>
        </w:rPr>
      </w:pPr>
      <w:r>
        <w:rPr>
          <w:rFonts w:eastAsia="Times New Roman"/>
        </w:rPr>
      </w:r>
      <w:r/>
    </w:p>
    <w:p>
      <w:pPr>
        <w:jc w:val="center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>
        <w:t xml:space="preserve">Спецификация</w:t>
      </w:r>
      <w:r/>
    </w:p>
    <w:p>
      <w:pPr>
        <w:jc w:val="both"/>
        <w:tabs>
          <w:tab w:val="left" w:pos="567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</w:pPr>
      <w:r/>
      <w:r/>
    </w:p>
    <w:tbl>
      <w:tblPr>
        <w:tblW w:w="10774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3686"/>
        <w:gridCol w:w="567"/>
        <w:gridCol w:w="425"/>
        <w:gridCol w:w="1134"/>
        <w:gridCol w:w="1134"/>
      </w:tblGrid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/</w:t>
            </w:r>
            <w:r>
              <w:rPr>
                <w:sz w:val="20"/>
                <w:szCs w:val="20"/>
              </w:rPr>
              <w:t xml:space="preserve">п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изделия</w:t>
            </w:r>
            <w:r/>
          </w:p>
        </w:tc>
        <w:tc>
          <w:tcPr>
            <w:tcW w:w="368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Технические, функциональные характеристики</w:t>
            </w:r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Ед.</w:t>
            </w:r>
            <w:r/>
          </w:p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измер</w:t>
            </w:r>
            <w:r>
              <w:rPr>
                <w:sz w:val="17"/>
                <w:szCs w:val="17"/>
              </w:rPr>
              <w:t xml:space="preserve">.</w:t>
            </w:r>
            <w:r/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Кол-во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Цена за единицу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widowControl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 xml:space="preserve">Сумма</w:t>
            </w:r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Скамейка </w:t>
            </w:r>
            <w:r>
              <w:rPr>
                <w:rFonts w:cs="Times New Roman"/>
              </w:rPr>
              <w:t xml:space="preserve">на бетонном основании</w:t>
            </w:r>
            <w:r/>
          </w:p>
          <w:p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495425" cy="1247775"/>
                      <wp:effectExtent l="19050" t="0" r="9525" b="0"/>
                      <wp:docPr id="1" name="Рисунок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1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95425" cy="1247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117.8pt;height:98.2pt;mso-wrap-distance-left:0.0pt;mso-wrap-distance-top:0.0pt;mso-wrap-distance-right:0.0pt;mso-wrap-distance-bottom:0.0pt;" stroked="f" strokeweight="0.75pt">
                      <v:path textboxrect="0,0,0,0"/>
                      <v:imagedata r:id="rId17" o:title=""/>
                    </v:shape>
                  </w:pict>
                </mc:Fallback>
              </mc:AlternateContent>
            </w:r>
            <w:r/>
          </w:p>
        </w:tc>
        <w:tc>
          <w:tcPr>
            <w:tcW w:w="3686" w:type="dxa"/>
            <w:textDirection w:val="lrTb"/>
            <w:noWrap w:val="false"/>
          </w:tcPr>
          <w:p>
            <w:pPr>
              <w:pStyle w:val="1088"/>
            </w:pPr>
            <w:r>
              <w:t xml:space="preserve">Габаритные размеры:</w:t>
            </w:r>
            <w:r/>
          </w:p>
          <w:p>
            <w:pPr>
              <w:pStyle w:val="1088"/>
            </w:pPr>
            <w:r>
              <w:t xml:space="preserve">Длина - 2170 мм</w:t>
            </w:r>
            <w:r/>
          </w:p>
          <w:p>
            <w:pPr>
              <w:pStyle w:val="1088"/>
            </w:pPr>
            <w:r>
              <w:t xml:space="preserve">Ширина - 850 мм</w:t>
            </w:r>
            <w:r/>
          </w:p>
          <w:p>
            <w:pPr>
              <w:pStyle w:val="1088"/>
            </w:pPr>
            <w:r>
              <w:t xml:space="preserve">Высота - 880 мм</w:t>
            </w:r>
            <w:r/>
          </w:p>
          <w:p>
            <w:pPr>
              <w:pStyle w:val="1088"/>
            </w:pPr>
            <w:r>
              <w:t xml:space="preserve">Материал основания: </w:t>
            </w:r>
            <w:r>
              <w:t xml:space="preserve">фибробетон</w:t>
            </w:r>
            <w:r>
              <w:t xml:space="preserve">, окрашенный атмосферной краской с напылением, цвет серый;</w:t>
            </w:r>
            <w:r/>
          </w:p>
          <w:p>
            <w:pPr>
              <w:pStyle w:val="1088"/>
            </w:pPr>
            <w:r>
              <w:t xml:space="preserve">Материал сидения: дерево, цвет коричневый</w:t>
            </w:r>
            <w:r>
              <w:t xml:space="preserve">.</w:t>
            </w:r>
            <w:r/>
          </w:p>
          <w:p>
            <w:pPr>
              <w:pStyle w:val="1088"/>
            </w:pPr>
            <w:r/>
            <w:r/>
          </w:p>
        </w:tc>
        <w:tc>
          <w:tcPr>
            <w:shd w:val="clear" w:color="auto" w:fill="auto"/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шт.</w:t>
            </w:r>
            <w:r/>
          </w:p>
        </w:tc>
        <w:tc>
          <w:tcPr>
            <w:shd w:val="clear" w:color="auto" w:fill="auto"/>
            <w:tcW w:w="425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</w:t>
            </w:r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Бетонная урна для мусора с ведром</w:t>
            </w:r>
            <w:r/>
          </w:p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00200" cy="1209675"/>
                      <wp:effectExtent l="19050" t="0" r="0" b="0"/>
                      <wp:docPr id="2" name="Рисунок 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2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00200" cy="1209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126.0pt;height:95.2pt;mso-wrap-distance-left:0.0pt;mso-wrap-distance-top:0.0pt;mso-wrap-distance-right:0.0pt;mso-wrap-distance-bottom:0.0pt;" stroked="f" strokeweight="0.75pt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3686" w:type="dxa"/>
            <w:textDirection w:val="lrTb"/>
            <w:noWrap w:val="false"/>
          </w:tcPr>
          <w:p>
            <w:pPr>
              <w:pStyle w:val="1088"/>
            </w:pPr>
            <w:r>
              <w:t xml:space="preserve">Габаритные размеры:</w:t>
            </w:r>
            <w:r/>
          </w:p>
          <w:p>
            <w:pPr>
              <w:pStyle w:val="1088"/>
            </w:pPr>
            <w:r>
              <w:t xml:space="preserve">Длина - 400 мм</w:t>
            </w:r>
            <w:r/>
          </w:p>
          <w:p>
            <w:pPr>
              <w:pStyle w:val="1088"/>
            </w:pPr>
            <w:r>
              <w:t xml:space="preserve">Ширина - 400 мм</w:t>
            </w:r>
            <w:r/>
          </w:p>
          <w:p>
            <w:pPr>
              <w:pStyle w:val="1088"/>
            </w:pPr>
            <w:r>
              <w:t xml:space="preserve">Высота - 600 мм</w:t>
            </w:r>
            <w:r/>
          </w:p>
          <w:p>
            <w:pPr>
              <w:pStyle w:val="1088"/>
            </w:pPr>
            <w:r>
              <w:t xml:space="preserve">Масса изделия - 120 кг</w:t>
            </w:r>
            <w:r/>
          </w:p>
          <w:p>
            <w:pPr>
              <w:pStyle w:val="1088"/>
            </w:pPr>
            <w:r>
              <w:t xml:space="preserve">Материал: </w:t>
            </w:r>
            <w:r>
              <w:t xml:space="preserve">фибробетон</w:t>
            </w:r>
            <w:r>
              <w:t xml:space="preserve">,</w:t>
            </w:r>
            <w:r>
              <w:t xml:space="preserve"> окрашенный атмосферной </w:t>
            </w:r>
            <w:r>
              <w:t xml:space="preserve">краской с напылением, цвет серый.</w:t>
            </w:r>
            <w:r/>
          </w:p>
          <w:p>
            <w:pPr>
              <w:pStyle w:val="1088"/>
            </w:pPr>
            <w:r>
              <w:t xml:space="preserve">Ведро из оцинкованной листовой стали толщиной 0,4 мм.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шт.</w:t>
            </w:r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Вазон ж/б </w:t>
            </w:r>
            <w:r/>
          </w:p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600200" cy="1190625"/>
                      <wp:effectExtent l="19050" t="0" r="0" b="0"/>
                      <wp:docPr id="3" name="Рисунок 8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3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600200" cy="11906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2" o:spid="_x0000_s2" type="#_x0000_t75" style="width:126.0pt;height:93.8pt;mso-wrap-distance-left:0.0pt;mso-wrap-distance-top:0.0pt;mso-wrap-distance-right:0.0pt;mso-wrap-distance-bottom:0.0pt;" stroked="f" strokeweight="0.75pt">
                      <v:path textboxrect="0,0,0,0"/>
                      <v:imagedata r:id="rId19" o:title=""/>
                    </v:shape>
                  </w:pict>
                </mc:Fallback>
              </mc:AlternateContent>
            </w:r>
            <w:r/>
          </w:p>
        </w:tc>
        <w:tc>
          <w:tcPr>
            <w:tcW w:w="3686" w:type="dxa"/>
            <w:textDirection w:val="lrTb"/>
            <w:noWrap w:val="false"/>
          </w:tcPr>
          <w:p>
            <w:pPr>
              <w:pStyle w:val="1088"/>
            </w:pPr>
            <w:r>
              <w:t xml:space="preserve">Габаритные размеры:</w:t>
            </w:r>
            <w:r/>
          </w:p>
          <w:p>
            <w:pPr>
              <w:pStyle w:val="1088"/>
            </w:pPr>
            <w:r>
              <w:t xml:space="preserve">Длина - 930 мм</w:t>
            </w:r>
            <w:r/>
          </w:p>
          <w:p>
            <w:pPr>
              <w:pStyle w:val="1088"/>
            </w:pPr>
            <w:r>
              <w:t xml:space="preserve">Ширина - 930 мм</w:t>
            </w:r>
            <w:r/>
          </w:p>
          <w:p>
            <w:pPr>
              <w:pStyle w:val="1088"/>
            </w:pPr>
            <w:r>
              <w:t xml:space="preserve">Высота - 550 мм</w:t>
            </w:r>
            <w:r/>
          </w:p>
          <w:p>
            <w:pPr>
              <w:pStyle w:val="1088"/>
            </w:pPr>
            <w:r>
              <w:t xml:space="preserve">Масса изделия - 147 кг</w:t>
            </w:r>
            <w:r/>
          </w:p>
          <w:p>
            <w:pPr>
              <w:ind w:left="33"/>
            </w:pPr>
            <w:r>
              <w:t xml:space="preserve">Материал: </w:t>
            </w:r>
            <w:r>
              <w:rPr>
                <w:rFonts w:cs="Times New Roman"/>
              </w:rPr>
              <w:t xml:space="preserve">фибробетон</w:t>
            </w:r>
            <w:r>
              <w:rPr>
                <w:rFonts w:cs="Times New Roman"/>
              </w:rPr>
              <w:t xml:space="preserve">, окрашенный атмосферной к</w:t>
            </w:r>
            <w:r>
              <w:rPr>
                <w:rFonts w:cs="Times New Roman"/>
              </w:rPr>
              <w:t xml:space="preserve">раской с напылением, цвет серый.</w:t>
            </w:r>
            <w:r/>
          </w:p>
          <w:p>
            <w:pPr>
              <w:pStyle w:val="1088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шт.</w:t>
            </w:r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4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</w:rPr>
              <w:t xml:space="preserve">Вазон ж/б</w:t>
            </w:r>
            <w:r/>
          </w:p>
          <w:p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56895" cy="1176323"/>
                      <wp:effectExtent l="19050" t="0" r="5255" b="0"/>
                      <wp:docPr id="4" name="Рисунок 8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4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2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59264" cy="117774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3" o:spid="_x0000_s3" type="#_x0000_t75" style="width:154.1pt;height:92.6pt;mso-wrap-distance-left:0.0pt;mso-wrap-distance-top:0.0pt;mso-wrap-distance-right:0.0pt;mso-wrap-distance-bottom:0.0pt;" stroked="f" strokeweight="0.75pt">
                      <v:path textboxrect="0,0,0,0"/>
                      <v:imagedata r:id="rId20" o:title=""/>
                    </v:shape>
                  </w:pict>
                </mc:Fallback>
              </mc:AlternateContent>
            </w:r>
            <w:r/>
          </w:p>
        </w:tc>
        <w:tc>
          <w:tcPr>
            <w:tcW w:w="3686" w:type="dxa"/>
            <w:textDirection w:val="lrTb"/>
            <w:noWrap w:val="false"/>
          </w:tcPr>
          <w:p>
            <w:pPr>
              <w:pStyle w:val="1088"/>
            </w:pPr>
            <w:r>
              <w:t xml:space="preserve">Габаритные размеры:</w:t>
            </w:r>
            <w:r/>
          </w:p>
          <w:p>
            <w:pPr>
              <w:pStyle w:val="1088"/>
            </w:pPr>
            <w:r>
              <w:t xml:space="preserve">Длина - </w:t>
            </w:r>
            <w:r>
              <w:t xml:space="preserve">130</w:t>
            </w:r>
            <w:r>
              <w:t xml:space="preserve">0 мм</w:t>
            </w:r>
            <w:r/>
          </w:p>
          <w:p>
            <w:pPr>
              <w:pStyle w:val="1088"/>
            </w:pPr>
            <w:r>
              <w:t xml:space="preserve">Ширина - </w:t>
            </w:r>
            <w:r>
              <w:t xml:space="preserve">40</w:t>
            </w:r>
            <w:r>
              <w:t xml:space="preserve">0 мм</w:t>
            </w:r>
            <w:r/>
          </w:p>
          <w:p>
            <w:pPr>
              <w:pStyle w:val="1088"/>
            </w:pPr>
            <w:r>
              <w:t xml:space="preserve">Высота - </w:t>
            </w:r>
            <w:r>
              <w:t xml:space="preserve">3</w:t>
            </w:r>
            <w:r>
              <w:t xml:space="preserve">50 мм</w:t>
            </w:r>
            <w:r/>
          </w:p>
          <w:p>
            <w:pPr>
              <w:pStyle w:val="1088"/>
            </w:pPr>
            <w:r>
              <w:t xml:space="preserve">Масса изделия - 1</w:t>
            </w:r>
            <w:r>
              <w:t xml:space="preserve">70</w:t>
            </w:r>
            <w:r>
              <w:t xml:space="preserve"> кг</w:t>
            </w:r>
            <w:r/>
          </w:p>
          <w:p>
            <w:pPr>
              <w:pStyle w:val="1088"/>
            </w:pPr>
            <w:r>
              <w:t xml:space="preserve">Материал: </w:t>
            </w:r>
            <w:r>
              <w:t xml:space="preserve">фибробетон</w:t>
            </w:r>
            <w:r>
              <w:t xml:space="preserve">, окрашенный атмосферной к</w:t>
            </w:r>
            <w:r>
              <w:t xml:space="preserve">раской с напылением, цвет серый.</w:t>
            </w:r>
            <w:r/>
          </w:p>
          <w:p>
            <w:pPr>
              <w:pStyle w:val="1088"/>
            </w:pPr>
            <w:r/>
            <w:r/>
          </w:p>
          <w:p>
            <w:pPr>
              <w:pStyle w:val="1088"/>
            </w:pPr>
            <w:r/>
            <w:r/>
          </w:p>
          <w:p>
            <w:pPr>
              <w:pStyle w:val="1088"/>
            </w:pPr>
            <w:r/>
            <w:r/>
          </w:p>
          <w:p>
            <w:pPr>
              <w:pStyle w:val="1088"/>
            </w:pPr>
            <w:r/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шт.</w:t>
            </w:r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8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/>
            <w:r/>
          </w:p>
          <w:p>
            <w:pPr>
              <w:jc w:val="center"/>
            </w:pPr>
            <w:r>
              <w:t xml:space="preserve">5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</w:r>
            <w:r/>
          </w:p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Развивающий комплекс </w:t>
            </w:r>
            <w:r/>
          </w:p>
          <w:p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2038350" cy="1295400"/>
                      <wp:effectExtent l="19050" t="0" r="0" b="0"/>
                      <wp:docPr id="5" name="Рисунок 8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5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2038349" cy="12954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4" o:spid="_x0000_s4" type="#_x0000_t75" style="width:160.5pt;height:102.0pt;mso-wrap-distance-left:0.0pt;mso-wrap-distance-top:0.0pt;mso-wrap-distance-right:0.0pt;mso-wrap-distance-bottom:0.0pt;" stroked="f" strokeweight="0.75pt">
                      <v:path textboxrect="0,0,0,0"/>
                      <v:imagedata r:id="rId21" o:title=""/>
                    </v:shape>
                  </w:pict>
                </mc:Fallback>
              </mc:AlternateContent>
            </w:r>
            <w:r/>
          </w:p>
        </w:tc>
        <w:tc>
          <w:tcPr>
            <w:tcW w:w="3686" w:type="dxa"/>
            <w:textDirection w:val="lrTb"/>
            <w:noWrap w:val="false"/>
          </w:tcPr>
          <w:p>
            <w:pPr>
              <w:pStyle w:val="1088"/>
            </w:pPr>
            <w:r>
              <w:t xml:space="preserve">Габаритные размеры:</w:t>
            </w:r>
            <w:r/>
          </w:p>
          <w:p>
            <w:r>
              <w:t xml:space="preserve">Длина - 1500 мм</w:t>
            </w:r>
            <w:r/>
          </w:p>
          <w:p>
            <w:r>
              <w:t xml:space="preserve">Ширина - 245 мм</w:t>
            </w:r>
            <w:r/>
          </w:p>
          <w:p>
            <w:r>
              <w:t xml:space="preserve">Высота - 1320 мм</w:t>
            </w:r>
            <w:r/>
          </w:p>
          <w:p>
            <w:pPr>
              <w:pStyle w:val="1088"/>
            </w:pPr>
            <w:r>
              <w:t xml:space="preserve">Возрастная группа: 2</w:t>
            </w:r>
            <w:r>
              <w:t xml:space="preserve">-6 лет</w:t>
            </w:r>
            <w:r/>
          </w:p>
          <w:p>
            <w:pPr>
              <w:pStyle w:val="1051"/>
              <w:rPr>
                <w:rFonts w:ascii="Times New Roman" w:hAnsi="Times New Roman" w:eastAsia="Times New Roman" w:cs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Материалы: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оп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орные столбы деревянные, клееные, сечением 90х90 мм. Сверху открытые срезы столбов закрыты пластиковыми заглушками в размер сечения.  Крепление опорных столбов игрового оборудования к грунту выполнено посредством металлического узла и фиксирующих стержней.</w:t>
            </w:r>
            <w:r/>
          </w:p>
          <w:p>
            <w:pPr>
              <w:pStyle w:val="105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Стяжка каркаса выполнена из трубы сечением 20х20мм.</w:t>
            </w:r>
            <w:r/>
          </w:p>
          <w:p>
            <w:pPr>
              <w:pStyle w:val="105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Каркас оснований и опоры выполнены из профиля сечением 40х20 и уголка 40х40мм.</w:t>
            </w:r>
            <w:r/>
          </w:p>
          <w:p>
            <w:r>
              <w:t xml:space="preserve">Панно</w:t>
            </w:r>
            <w:r>
              <w:t xml:space="preserve"> </w:t>
            </w:r>
            <w:r>
              <w:t xml:space="preserve">и накладные элементы головоломки (часы, панно с лабиринтом, шестеренки) изготовлены из влагостойкой окрашенной фанеры толщиной  18мм.</w:t>
            </w:r>
            <w:r/>
          </w:p>
          <w:p>
            <w:r>
              <w:t xml:space="preserve">Для окраски панно и элементов используются краски на водной основе с защитными свойствами.</w:t>
            </w:r>
            <w:r>
              <w:t xml:space="preserve"> </w:t>
            </w:r>
            <w:r>
              <w:t xml:space="preserve">Столбы покрыты водно-дисперсионной акриловой лессирующей пропиткой для защитно-декоративной отделки, укрепляющей поверхности, значительно увеличивающей срок службы деревянных поверхностей. Пропитка отличается высокой </w:t>
            </w:r>
            <w:r>
              <w:t xml:space="preserve">атмосферостойкостью</w:t>
            </w:r>
            <w:r>
              <w:t xml:space="preserve"> и устойч</w:t>
            </w:r>
            <w:bookmarkStart w:id="3" w:name="_GoBack"/>
            <w:r/>
            <w:bookmarkEnd w:id="3"/>
            <w:r>
              <w:t xml:space="preserve">ивостью к УФ излучению. Не содержит токсичных растворителей.</w:t>
            </w:r>
            <w:r/>
          </w:p>
          <w:p>
            <w:r>
              <w:t xml:space="preserve">Металлические элементы зачищены, обезжирены и окрашены порошковой глянцевой краской.  При изготовлении конструкционных элементов использованы: пластиковые заглушки, оцинкованный крепеж; Крепление к грунту - узел из металлических труб и </w:t>
            </w:r>
            <w:r>
              <w:t xml:space="preserve">фиксирующие стержни.</w:t>
            </w:r>
            <w:r>
              <w:t xml:space="preserve"> </w:t>
            </w:r>
            <w:r>
              <w:t xml:space="preserve">Заглубление 200мм.</w:t>
            </w:r>
            <w:r/>
          </w:p>
          <w:p>
            <w:pPr>
              <w:pStyle w:val="1088"/>
            </w:pPr>
            <w:r>
              <w:t xml:space="preserve">Комплектация: Интерактивное панно с головоломками.</w:t>
            </w:r>
            <w:r>
              <w:t xml:space="preserve"> На двух деревянных стойках закреплен щит из влагостойкой фанеры.  На щите расположено несколько игровых элементов для детей: вращающиеся шестеренки, элемент  с фигурками для перемещения по лабиринту, часы со стрелками, вращающийся диск, стяжка со счетами.</w:t>
            </w:r>
            <w:r>
              <w:t xml:space="preserve"> </w:t>
            </w:r>
            <w:r>
              <w:t xml:space="preserve">Игровой элемент предназначен для развития моторики у детей дошкольного и младшего школьного возраста (от 2 до 6 лет).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шт.</w:t>
            </w:r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</w:rPr>
              <w:t xml:space="preserve">Развивающий комплекс </w:t>
            </w:r>
            <w:r/>
          </w:p>
          <w:p>
            <w:pPr>
              <w:jc w:val="center"/>
              <w:rPr>
                <w:rFonts w:cs="Times New Roman"/>
                <w:lang w:val="en-US"/>
              </w:rPr>
            </w:pPr>
            <w:r>
              <w:rPr>
                <w:rFonts w:cs="Times New Roman"/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46384" cy="1340464"/>
                      <wp:effectExtent l="19050" t="0" r="0" b="0"/>
                      <wp:docPr id="6" name="Рисунок 8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6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22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50102" cy="1343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5" o:spid="_x0000_s5" type="#_x0000_t75" style="width:153.3pt;height:105.5pt;mso-wrap-distance-left:0.0pt;mso-wrap-distance-top:0.0pt;mso-wrap-distance-right:0.0pt;mso-wrap-distance-bottom:0.0pt;" stroked="f" strokeweight="0.75pt">
                      <v:path textboxrect="0,0,0,0"/>
                      <v:imagedata r:id="rId22" o:title=""/>
                    </v:shape>
                  </w:pict>
                </mc:Fallback>
              </mc:AlternateContent>
            </w:r>
            <w:r/>
          </w:p>
        </w:tc>
        <w:tc>
          <w:tcPr>
            <w:tcW w:w="3686" w:type="dxa"/>
            <w:textDirection w:val="lrTb"/>
            <w:noWrap w:val="false"/>
          </w:tcPr>
          <w:p>
            <w:pPr>
              <w:pStyle w:val="1088"/>
            </w:pPr>
            <w:r>
              <w:t xml:space="preserve">Габаритные размеры:</w:t>
            </w:r>
            <w:r/>
          </w:p>
          <w:p>
            <w:pPr>
              <w:pStyle w:val="1088"/>
            </w:pPr>
            <w:r>
              <w:t xml:space="preserve">Длина:1660 мм</w:t>
            </w:r>
            <w:r/>
          </w:p>
          <w:p>
            <w:pPr>
              <w:pStyle w:val="1088"/>
            </w:pPr>
            <w:r>
              <w:t xml:space="preserve">Ширина: 110 мм</w:t>
            </w:r>
            <w:r/>
          </w:p>
          <w:p>
            <w:pPr>
              <w:pStyle w:val="1088"/>
            </w:pPr>
            <w:r>
              <w:t xml:space="preserve">Высота: 1370 мм</w:t>
            </w:r>
            <w:r/>
          </w:p>
          <w:p>
            <w:pPr>
              <w:pStyle w:val="1088"/>
            </w:pPr>
            <w:r>
              <w:t xml:space="preserve">Возрастная группа: 3-6 лет</w:t>
            </w:r>
            <w:r/>
          </w:p>
          <w:p>
            <w:r>
              <w:t xml:space="preserve">Материалы: опорные столбы деревянные, клееные, сечением 90х90 мм. Крепление опорных столбов игрового оборудования к грунту выполнено посредством металлического узла и фиксирующих стержней.</w:t>
            </w:r>
            <w:r/>
          </w:p>
          <w:p>
            <w:r>
              <w:t xml:space="preserve">Стяжка профильная между столбами из трубы 20х20мм.</w:t>
            </w:r>
            <w:r/>
          </w:p>
          <w:p>
            <w:r>
              <w:t xml:space="preserve">Кубики изготовлены из пластика, стяжки для кубиков изготовлены из трубы круглого сечения толщиной 26,8 мм.</w:t>
            </w:r>
            <w:r/>
          </w:p>
          <w:p>
            <w:r>
              <w:t xml:space="preserve">Панно с головоломками изготовлено из влагостойкой окрашенной фанеры толщиной 15мм, «шторки» выполнены из резинового материала.</w:t>
            </w:r>
            <w:r/>
          </w:p>
          <w:p>
            <w:r>
              <w:t xml:space="preserve">Для окраски кубиков и панно используются краски на водной основе с защитными свойствами, изображение картинок нанесено методом УФ печати .</w:t>
            </w:r>
            <w:r/>
          </w:p>
          <w:p>
            <w:r>
              <w:t xml:space="preserve">Столбы покрыты водно-дисперсионной акриловой лессирующей пропиткой для защитно-декоративной отделки, укрепляющей поверхности. Пропитка отличается высокой </w:t>
            </w:r>
            <w:r>
              <w:t xml:space="preserve">атмосферостойкостью</w:t>
            </w:r>
            <w:r>
              <w:t xml:space="preserve"> и </w:t>
            </w:r>
            <w:r>
              <w:t xml:space="preserve">устойчивостью к УФ излучению. Металлические элементы окрашены порошковой глянцевой краской.  Крепление изделия в грунт  - узел из металлических труб и фиксирующие стержни 500мм.</w:t>
            </w:r>
            <w:r/>
          </w:p>
          <w:p>
            <w:pPr>
              <w:pStyle w:val="105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Комплектация: развивающий комплекс на деревянных опорных столбах. Между двух деревянных столбов закреплено игровое панно, с головоломкой – лабиринтом, справа от головоломки игра с картинками, которые можно открывать и закрывать фигурными шторками.</w:t>
            </w:r>
            <w:r/>
          </w:p>
          <w:p>
            <w:pPr>
              <w:pStyle w:val="1051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Слева от игрового панно между двух столбов закреплен игровой набор «кубики», на трех вертикальных металлических стяжках расположены кубики (по 3 шт.), на кубиках нанесена разметка игры «крестики – нолики».</w:t>
            </w:r>
            <w:r/>
          </w:p>
          <w:p>
            <w:pPr>
              <w:pStyle w:val="1088"/>
            </w:pPr>
            <w:r>
              <w:t xml:space="preserve">Детали из бруса обработаны специальной пропиткой для сохранения естественного цвета дерева.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шт.</w:t>
            </w:r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</w:t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</w:tr>
      <w:tr>
        <w:trPr/>
        <w:tc>
          <w:tcPr>
            <w:tcW w:w="568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W w:w="3260" w:type="dxa"/>
            <w:textDirection w:val="lrTb"/>
            <w:noWrap w:val="false"/>
          </w:tcPr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Развивающий комплекс </w:t>
            </w:r>
            <w:r/>
          </w:p>
          <w:p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lang w:eastAsia="ru-RU" w:bidi="ar-SA"/>
              </w:rP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1967405" cy="1480381"/>
                      <wp:effectExtent l="19050" t="0" r="0" b="0"/>
                      <wp:docPr id="7" name="Рисунок 87" descr="РК-1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87" descr="РК-18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2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971334" cy="1483337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6" o:spid="_x0000_s6" type="#_x0000_t75" style="width:154.9pt;height:116.6pt;mso-wrap-distance-left:0.0pt;mso-wrap-distance-top:0.0pt;mso-wrap-distance-right:0.0pt;mso-wrap-distance-bottom:0.0pt;" stroked="f" strokeweight="0.75pt">
                      <v:path textboxrect="0,0,0,0"/>
                      <v:imagedata r:id="rId23" o:title=""/>
                    </v:shape>
                  </w:pict>
                </mc:Fallback>
              </mc:AlternateContent>
            </w:r>
            <w:r/>
          </w:p>
        </w:tc>
        <w:tc>
          <w:tcPr>
            <w:tcW w:w="3686" w:type="dxa"/>
            <w:textDirection w:val="lrTb"/>
            <w:noWrap w:val="false"/>
          </w:tcPr>
          <w:p>
            <w:pPr>
              <w:pStyle w:val="1088"/>
            </w:pPr>
            <w:r>
              <w:t xml:space="preserve">Габаритные размеры:</w:t>
            </w:r>
            <w:r/>
          </w:p>
          <w:p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Длина -  1500 мм</w:t>
            </w:r>
            <w:r/>
          </w:p>
          <w:p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Ширина - 190 мм</w:t>
            </w:r>
            <w:r/>
          </w:p>
          <w:p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Высота - 1370 мм</w:t>
            </w:r>
            <w:r/>
          </w:p>
          <w:p>
            <w:pPr>
              <w:pStyle w:val="1088"/>
            </w:pPr>
            <w:r>
              <w:t xml:space="preserve">Возрастная группа: 2</w:t>
            </w:r>
            <w:r>
              <w:t xml:space="preserve">-6 лет</w:t>
            </w:r>
            <w:r/>
          </w:p>
          <w:p>
            <w:pPr>
              <w:pStyle w:val="1051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Материалы: опо</w:t>
            </w:r>
            <w:r>
              <w:rPr>
                <w:rFonts w:ascii="Times New Roman" w:hAnsi="Times New Roman" w:cs="Times New Roman"/>
                <w:szCs w:val="24"/>
              </w:rPr>
              <w:t xml:space="preserve">рные столбы деревянные, клееные, сечением 90х90 мм. Сверху открытые срезы столбов закрыты пластиковыми заглушками в размер сечения.  Крепление опорных столбов игрового оборудования к грунту выполнено посредством металлического узла и фиксирующих стержней. </w:t>
            </w:r>
            <w:r/>
          </w:p>
          <w:p>
            <w:pPr>
              <w:pStyle w:val="1051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Каркас оснований и опоры выполнены из профиля сечением 40х20 и уголка 40х40мм.</w:t>
            </w:r>
            <w:r/>
          </w:p>
          <w:p>
            <w:pPr>
              <w:pStyle w:val="1051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Стяжки для счетов изготовлены из трубы </w:t>
            </w:r>
            <w:r>
              <w:rPr>
                <w:rFonts w:ascii="Times New Roman" w:hAnsi="Times New Roman" w:cs="Times New Roman"/>
                <w:szCs w:val="24"/>
              </w:rPr>
              <w:t xml:space="preserve">d</w:t>
            </w:r>
            <w:r>
              <w:rPr>
                <w:rFonts w:ascii="Times New Roman" w:hAnsi="Times New Roman" w:cs="Times New Roman"/>
                <w:szCs w:val="24"/>
              </w:rPr>
              <w:t xml:space="preserve"> 21,3мм.</w:t>
            </w:r>
            <w:r/>
          </w:p>
          <w:p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Панно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выполнено из влагостойкой окрашенной фанеры толщиной не менее 15мм, руль и рамка для счетов </w:t>
            </w:r>
            <w:r>
              <w:rPr>
                <w:rFonts w:cs="Times New Roman"/>
              </w:rPr>
              <w:t xml:space="preserve">также изготовлены из влагостойкой окрашенной фанеры и покрыты специальной лессирующей пропиткой.</w:t>
            </w:r>
            <w:r/>
          </w:p>
          <w:p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Для окраски панно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используются краски на водной основе с защитными свойствами.</w:t>
            </w:r>
            <w:r/>
          </w:p>
          <w:p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Металлические элементы зачищены, обезжирены и окрашены порошковой глянцевой краской.  При изготовлении конструкционных элементов использованы: пластиковые заглушки, оцинкованный крепеж; </w:t>
            </w:r>
            <w:r/>
          </w:p>
          <w:p>
            <w:pPr>
              <w:rPr>
                <w:rFonts w:cs="Times New Roman"/>
              </w:rPr>
            </w:pPr>
            <w:r>
              <w:rPr>
                <w:rFonts w:cs="Times New Roman"/>
              </w:rPr>
              <w:t xml:space="preserve">Крепление к грунту – узел из металлических труб и фиксирующие стержни.</w:t>
            </w:r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 xml:space="preserve">Заглубление 200мм.</w:t>
            </w:r>
            <w:r/>
          </w:p>
          <w:p>
            <w:pPr>
              <w:pStyle w:val="1088"/>
            </w:pPr>
            <w:r>
              <w:t xml:space="preserve">Комплектация: Интерактивное панно с головоломками. На двух деревянных стойках</w:t>
            </w:r>
            <w:r>
              <w:t xml:space="preserve"> </w:t>
            </w:r>
            <w:r>
              <w:t xml:space="preserve">из бруса закреплён щит из влагостойкой фанеры.  На щите расположено несколько игровых элементов для детей: вращающийся руль, счеты на двух стяжках, в панно проделаны специальные фигурные отверстия для перемещения пластиковых шайб по ним.</w:t>
            </w:r>
            <w:r>
              <w:t xml:space="preserve"> </w:t>
            </w:r>
            <w:r>
              <w:t xml:space="preserve">Игровой элемент предназначен для развития моторики у детей дошкольного и младшего школьного возраста (от 2 до 6 лет).</w:t>
            </w:r>
            <w:r/>
          </w:p>
        </w:tc>
        <w:tc>
          <w:tcPr>
            <w:tcW w:w="567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шт.</w:t>
            </w:r>
            <w:r/>
          </w:p>
        </w:tc>
        <w:tc>
          <w:tcPr>
            <w:tcW w:w="425" w:type="dxa"/>
            <w:textDirection w:val="lrTb"/>
            <w:noWrap w:val="false"/>
          </w:tcPr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</w:t>
            </w:r>
            <w:r/>
          </w:p>
          <w:p>
            <w:pPr>
              <w:jc w:val="center"/>
              <w:widowControl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</w:r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  <w:tc>
          <w:tcPr>
            <w:tcW w:w="1134" w:type="dxa"/>
            <w:textDirection w:val="lrTb"/>
            <w:noWrap w:val="false"/>
          </w:tcPr>
          <w:p>
            <w:r/>
            <w:r/>
          </w:p>
        </w:tc>
      </w:tr>
    </w:tbl>
    <w:p>
      <w:pPr>
        <w:pStyle w:val="1088"/>
      </w:pPr>
      <w:r/>
      <w:r/>
    </w:p>
    <w:p>
      <w:pPr>
        <w:jc w:val="both"/>
        <w:rPr>
          <w:rFonts w:cs="Times New Roman"/>
        </w:rPr>
      </w:pPr>
      <w:r>
        <w:t xml:space="preserve">ИТОГО: </w:t>
      </w:r>
      <w:r>
        <w:rPr>
          <w:rFonts w:cs="Times New Roman"/>
        </w:rPr>
      </w:r>
      <w:r>
        <w:rPr>
          <w:rFonts w:cs="Times New Roman"/>
          <w:sz w:val="24"/>
          <w:szCs w:val="24"/>
        </w:rPr>
      </w:r>
      <w:r>
        <w:rPr>
          <w:color w:val="auto"/>
          <w:sz w:val="24"/>
          <w:szCs w:val="24"/>
        </w:rPr>
        <w:t xml:space="preserve">_____________</w:t>
      </w:r>
      <w:r>
        <w:rPr>
          <w:b/>
          <w:color w:val="auto"/>
          <w:sz w:val="24"/>
          <w:szCs w:val="24"/>
        </w:rPr>
        <w:t xml:space="preserve"> (</w:t>
      </w:r>
      <w:r>
        <w:rPr>
          <w:b/>
          <w:color w:val="auto"/>
          <w:sz w:val="24"/>
          <w:szCs w:val="24"/>
        </w:rPr>
        <w:t xml:space="preserve">________________________) рублей ___ копеек</w:t>
      </w:r>
      <w:r>
        <w:rPr>
          <w:color w:val="auto"/>
          <w:sz w:val="24"/>
          <w:szCs w:val="24"/>
        </w:rPr>
        <w:t xml:space="preserve">, </w:t>
      </w:r>
      <w:r>
        <w:rPr>
          <w:color w:val="auto"/>
          <w:sz w:val="24"/>
          <w:szCs w:val="24"/>
        </w:rPr>
        <w:t xml:space="preserve">(с НДС/ без НДС)</w:t>
      </w:r>
      <w:r>
        <w:rPr>
          <w:rFonts w:cs="Times New Roman"/>
          <w:sz w:val="24"/>
          <w:szCs w:val="24"/>
        </w:rPr>
        <w:t xml:space="preserve">.</w:t>
      </w:r>
      <w:r/>
      <w:r>
        <w:rPr>
          <w:rFonts w:cs="Times New Roman"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  <w:b/>
          <w:lang w:eastAsia="ru-RU"/>
        </w:rPr>
      </w:pPr>
      <w:r>
        <w:rPr>
          <w:rFonts w:eastAsia="Times New Roman" w:cs="Times New Roman"/>
          <w:b/>
          <w:lang w:eastAsia="ru-RU"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</w:rPr>
      </w:pPr>
      <w:r>
        <w:rPr>
          <w:rFonts w:eastAsia="Times New Roman" w:cs="Times New Roman"/>
          <w:b/>
          <w:lang w:eastAsia="ru-RU"/>
        </w:rPr>
        <w:t xml:space="preserve">ЗАКАЗЧИК</w:t>
      </w:r>
      <w:r>
        <w:rPr>
          <w:rFonts w:eastAsia="Times New Roman" w:cs="Times New Roman"/>
          <w:lang w:eastAsia="ru-RU"/>
        </w:rPr>
        <w:t xml:space="preserve">:</w:t>
      </w:r>
      <w:r>
        <w:rPr>
          <w:rFonts w:eastAsia="Times New Roman" w:cs="Times New Roman"/>
          <w:lang w:eastAsia="ru-RU"/>
        </w:rPr>
        <w:tab/>
      </w:r>
      <w:r>
        <w:rPr>
          <w:rFonts w:eastAsia="Times New Roman" w:cs="Times New Roman"/>
          <w:b/>
          <w:lang w:eastAsia="ru-RU"/>
        </w:rPr>
        <w:t xml:space="preserve">ПОСТАВЩИК</w:t>
      </w:r>
      <w:r>
        <w:rPr>
          <w:rFonts w:eastAsia="Times New Roman" w:cs="Times New Roman"/>
          <w:lang w:eastAsia="ru-RU"/>
        </w:rPr>
        <w:t xml:space="preserve">:</w:t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</w:rPr>
      </w:pPr>
      <w:r>
        <w:rPr>
          <w:rFonts w:eastAsia="Times New Roman" w:cs="Times New Roman"/>
        </w:rPr>
      </w:r>
      <w:r/>
    </w:p>
    <w:p>
      <w:pPr>
        <w:pStyle w:val="1095"/>
        <w:tabs>
          <w:tab w:val="left" w:pos="5775" w:leader="none"/>
        </w:tabs>
      </w:pPr>
      <w:r>
        <w:t xml:space="preserve">Заместитель главы администрации                                    </w:t>
      </w:r>
      <w:r/>
    </w:p>
    <w:p>
      <w:pPr>
        <w:pStyle w:val="1095"/>
        <w:tabs>
          <w:tab w:val="left" w:pos="5775" w:leader="none"/>
        </w:tabs>
      </w:pPr>
      <w:r>
        <w:t xml:space="preserve">муниципального образования                                           </w:t>
      </w:r>
      <w:r>
        <w:t xml:space="preserve"> </w:t>
      </w:r>
      <w:r/>
    </w:p>
    <w:p>
      <w:pPr>
        <w:pStyle w:val="1095"/>
        <w:tabs>
          <w:tab w:val="left" w:pos="5775" w:leader="none"/>
        </w:tabs>
      </w:pPr>
      <w:r>
        <w:t xml:space="preserve">Сланцевский</w:t>
      </w:r>
      <w:r>
        <w:t xml:space="preserve"> муниципальный район </w:t>
      </w:r>
      <w:r/>
    </w:p>
    <w:p>
      <w:pPr>
        <w:pStyle w:val="1095"/>
        <w:tabs>
          <w:tab w:val="left" w:pos="5775" w:leader="none"/>
        </w:tabs>
      </w:pPr>
      <w:r>
        <w:t xml:space="preserve">Ленинградской</w:t>
      </w:r>
      <w:r>
        <w:t xml:space="preserve"> </w:t>
      </w:r>
      <w:r>
        <w:t xml:space="preserve">области</w:t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</w:rPr>
      </w:pPr>
      <w:r>
        <w:rPr>
          <w:rFonts w:eastAsia="Times New Roman" w:cs="Times New Roman"/>
        </w:rPr>
      </w:r>
      <w:r/>
    </w:p>
    <w:p>
      <w:pPr>
        <w:jc w:val="both"/>
        <w:tabs>
          <w:tab w:val="left" w:pos="5760" w:leader="none"/>
        </w:tabs>
        <w:rPr>
          <w:rFonts w:eastAsia="Times New Roman" w:cs="Times New Roman"/>
        </w:rPr>
      </w:pPr>
      <w:r>
        <w:rPr>
          <w:rFonts w:eastAsia="Times New Roman" w:cs="Times New Roman"/>
        </w:rPr>
      </w:r>
      <w:r/>
    </w:p>
    <w:p>
      <w:pPr>
        <w:pStyle w:val="1088"/>
        <w:rPr>
          <w:color w:val="auto"/>
        </w:rPr>
      </w:pPr>
      <w:r>
        <w:rPr>
          <w:color w:val="auto"/>
        </w:rPr>
        <w:t xml:space="preserve">_________________/Гришаков В.Е./</w:t>
      </w:r>
      <w:r>
        <w:rPr>
          <w:color w:val="auto"/>
        </w:rPr>
        <w:tab/>
      </w:r>
      <w:r>
        <w:rPr>
          <w:color w:val="auto"/>
        </w:rPr>
        <w:t xml:space="preserve">                            </w:t>
      </w:r>
      <w:r>
        <w:rPr>
          <w:color w:val="auto"/>
        </w:rPr>
        <w:t xml:space="preserve">________________/____________./</w:t>
      </w:r>
      <w:r/>
    </w:p>
    <w:p>
      <w:pPr>
        <w:pStyle w:val="1051"/>
        <w:ind w:left="0" w:right="0" w:firstLine="0"/>
        <w:widowControl w:val="off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cs="Times New Roman"/>
          <w:sz w:val="24"/>
          <w:szCs w:val="24"/>
          <w:highlight w:val="none"/>
        </w:rPr>
      </w:r>
      <w:r/>
    </w:p>
    <w:p>
      <w:pPr>
        <w:jc w:val="both"/>
        <w:tabs>
          <w:tab w:val="left" w:pos="5220" w:leader="none"/>
        </w:tabs>
        <w:rPr>
          <w:rFonts w:eastAsia="Times New Roman" w:cs="Times New Roman"/>
          <w:iCs/>
          <w:vertAlign w:val="superscript"/>
        </w:rPr>
      </w:pPr>
      <w:r>
        <w:rPr>
          <w:rFonts w:eastAsia="Times New Roman" w:cs="Times New Roman"/>
          <w:iCs/>
          <w:vertAlign w:val="superscript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688" w:right="707" w:bottom="567" w:left="1134" w:header="404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Roboto">
    <w:panose1 w:val="02000000000000000000"/>
  </w:font>
  <w:font w:name="Century Schoolbook">
    <w:panose1 w:val="02040603050505020303"/>
  </w:font>
  <w:font w:name="Wingdings">
    <w:panose1 w:val="05000000000000000000"/>
  </w:font>
  <w:font w:name="Consolas">
    <w:panose1 w:val="020B0609020204030204"/>
  </w:font>
  <w:font w:name="Segoe UI">
    <w:panose1 w:val="020B0502040204020203"/>
  </w:font>
  <w:font w:name="Lucida Sans Unicode">
    <w:panose1 w:val="020B06020305040202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Microsoft YaHei">
    <w:panose1 w:val="020B0503020204020204"/>
  </w:font>
  <w:font w:name="Calibri">
    <w:panose1 w:val="020F0502020204030204"/>
  </w:font>
  <w:font w:name="Arial">
    <w:panose1 w:val="020B0604020202020204"/>
  </w:font>
  <w:font w:name="Arial Unicode MS">
    <w:panose1 w:val="020B0604020202020204"/>
  </w:font>
  <w:font w:name="Liberation Serif">
    <w:panose1 w:val="02020603050405020304"/>
  </w:font>
  <w:font w:name="SimSun">
    <w:panose1 w:val="02010600030101010101"/>
  </w:font>
  <w:font w:name="Mangal">
    <w:panose1 w:val="02040503050406030204"/>
  </w:font>
  <w:font w:name="OpenSymbol">
    <w:panose1 w:val="05010000000000000000"/>
  </w:font>
  <w:font w:name="Courier New">
    <w:panose1 w:val="020703090202050204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98"/>
      <w:jc w:val="right"/>
    </w:pPr>
    <w:fldSimple w:instr="PAGE \* MERGEFORMAT">
      <w:r>
        <w:t xml:space="preserve">1</w:t>
      </w:r>
    </w:fldSimple>
    <w:r/>
    <w:r/>
  </w:p>
  <w:p>
    <w:pPr>
      <w:pStyle w:val="10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  <w:footnote w:id="2">
    <w:p>
      <w:pPr>
        <w:pStyle w:val="1068"/>
        <w:widowControl w:val="off"/>
      </w:pPr>
      <w:r>
        <w:rPr>
          <w:rStyle w:val="1070"/>
        </w:rPr>
        <w:t xml:space="preserve">1</w:t>
      </w:r>
      <w:r>
        <w:footnoteRef/>
      </w:r>
      <w:r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68"/>
        <w:widowControl w:val="off"/>
      </w:pPr>
      <w:r>
        <w:t xml:space="preserve">а) 1000 рублей, если цена контракта не превышает 3 млн. рублей (включительно);</w:t>
      </w:r>
      <w:r/>
    </w:p>
    <w:p>
      <w:pPr>
        <w:pStyle w:val="1068"/>
        <w:widowControl w:val="off"/>
      </w:pPr>
      <w:r>
        <w:t xml:space="preserve">б) 5000 рублей, если цена контракта составляет от 3 млн. рублей до 50 млн. рублей (включительно);</w:t>
      </w:r>
      <w:r/>
    </w:p>
    <w:p>
      <w:pPr>
        <w:pStyle w:val="1068"/>
        <w:widowControl w:val="off"/>
      </w:pPr>
      <w:r>
        <w:t xml:space="preserve">в) 10000 рублей, если цена контракта составляет от 50 млн. рублей до 100 млн. рублей (включительно);</w:t>
      </w:r>
      <w:r/>
    </w:p>
    <w:p>
      <w:pPr>
        <w:pStyle w:val="1068"/>
        <w:widowControl w:val="off"/>
      </w:pPr>
      <w:r>
        <w:t xml:space="preserve">г) 100000 рублей, если цена контракта превышает 100 млн. рублей.</w:t>
      </w:r>
      <w:r/>
    </w:p>
    <w:p>
      <w:pPr>
        <w:pStyle w:val="1068"/>
        <w:widowControl w:val="off"/>
      </w:pPr>
      <w:r/>
      <w:r/>
    </w:p>
  </w:footnote>
  <w:footnote w:id="3">
    <w:p>
      <w:pPr>
        <w:pStyle w:val="1068"/>
        <w:widowControl w:val="off"/>
      </w:pPr>
      <w:r>
        <w:rPr>
          <w:rStyle w:val="1070"/>
        </w:rPr>
        <w:t xml:space="preserve">2</w:t>
      </w:r>
      <w:r>
        <w:footnoteRef/>
      </w:r>
      <w:r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68"/>
        <w:widowControl w:val="off"/>
      </w:pPr>
      <w:r>
        <w:t xml:space="preserve">а) 10 процентов цены контракта (этапа) в случае, если цена контракта (этапа) не превышает 3 млн. рублей;</w:t>
      </w:r>
      <w:r/>
    </w:p>
    <w:p>
      <w:pPr>
        <w:pStyle w:val="1068"/>
        <w:widowControl w:val="off"/>
      </w:pPr>
      <w:r>
        <w:t xml:space="preserve">б) 5 процентов цены контракта (этапа) в случае, если цена контракта (этапа) составляет от 3 млн. рублей до 50 млн. рублей (включительно);</w:t>
      </w:r>
      <w:r/>
    </w:p>
    <w:p>
      <w:pPr>
        <w:pStyle w:val="1068"/>
        <w:widowControl w:val="off"/>
      </w:pPr>
      <w:r>
        <w:t xml:space="preserve">в) 1 процент цены контракта (этапа) в случае, если цена контракта (этапа) составляет от 50 млн. рублей до 100 млн. рублей (включительно);</w:t>
      </w:r>
      <w:r/>
    </w:p>
    <w:p>
      <w:pPr>
        <w:pStyle w:val="1068"/>
        <w:widowControl w:val="off"/>
      </w:pPr>
      <w:r>
        <w:t xml:space="preserve">г) 0,5 процента цены контракта (этапа) в случае, если цена контракта (этапа) составляет от 100 млн. рублей до 500 млн. рублей (включительно);</w:t>
      </w:r>
      <w:r/>
    </w:p>
    <w:p>
      <w:pPr>
        <w:pStyle w:val="1068"/>
        <w:widowControl w:val="off"/>
      </w:pPr>
      <w:r>
        <w:t xml:space="preserve">д</w:t>
      </w:r>
      <w:r>
        <w:t xml:space="preserve">) 0,4 процента цены контракта (этапа) в случае, если цена контракта (этапа) составляет от 500 млн. рублей до 1 млрд. рублей (включительно);</w:t>
      </w:r>
      <w:r/>
    </w:p>
    <w:p>
      <w:pPr>
        <w:pStyle w:val="1068"/>
        <w:widowControl w:val="off"/>
      </w:pPr>
      <w:r>
        <w:t xml:space="preserve">е) 0,3 процента цены контракта (этапа) в случае, если цена контракта (этапа) составляет от 1 млрд. рублей до 2 млрд. рублей (включительно);</w:t>
      </w:r>
      <w:r/>
    </w:p>
    <w:p>
      <w:pPr>
        <w:pStyle w:val="1068"/>
        <w:widowControl w:val="off"/>
      </w:pPr>
      <w:r>
        <w:t xml:space="preserve">ж) 0,25 процента цены контракта (этапа) в случае, если цена контракта (этапа) составляет от 2 млрд. рублей до 5 млрд. рублей (включительно);</w:t>
      </w:r>
      <w:r/>
    </w:p>
    <w:p>
      <w:pPr>
        <w:pStyle w:val="1068"/>
        <w:widowControl w:val="off"/>
      </w:pPr>
      <w:r>
        <w:t xml:space="preserve">з</w:t>
      </w:r>
      <w:r>
        <w:t xml:space="preserve">) 0,2 процента цены контракта (этапа) в случае, если цена контракта (этапа) составляет от 5 млрд. рублей до 10 млрд. рублей (включительно);</w:t>
      </w:r>
      <w:r/>
    </w:p>
    <w:p>
      <w:pPr>
        <w:pStyle w:val="1068"/>
        <w:widowControl w:val="off"/>
      </w:pPr>
      <w:r>
        <w:t xml:space="preserve">и) 0,1 процента цены контракта (этапа) в случае, если цена контракта (этапа) превышает 10 млрд. рублей.</w:t>
      </w:r>
      <w:r/>
    </w:p>
    <w:p>
      <w:pPr>
        <w:pStyle w:val="1068"/>
        <w:widowControl w:val="off"/>
      </w:pPr>
      <w:r/>
      <w:r/>
    </w:p>
    <w:p>
      <w:pPr>
        <w:pStyle w:val="1068"/>
        <w:widowControl w:val="off"/>
      </w:pPr>
      <w:r>
        <w:t xml:space="preserve">В случае если контракт заключается по результатам определения Исполнителя в соответствии с пунктом 1 части 1 статьи 30 Федерал</w:t>
      </w:r>
      <w:r>
        <w:t xml:space="preserve">ьного закона "О контрактной системе в сфере закупок товаров, работ, услуг для обеспечения государственных и муниципальных нужд" , размер штрафа устанавливается в размере 1 процента цены контракта (этапа), но не более 5 тыс. рублей и не менее 1 тыс. рублей.</w:t>
      </w:r>
      <w:r/>
    </w:p>
    <w:p>
      <w:pPr>
        <w:pStyle w:val="1068"/>
        <w:widowControl w:val="off"/>
      </w:pPr>
      <w:r/>
      <w:r/>
    </w:p>
  </w:footnote>
  <w:footnote w:id="4">
    <w:p>
      <w:pPr>
        <w:pStyle w:val="1068"/>
        <w:widowControl w:val="off"/>
      </w:pPr>
      <w:r>
        <w:rPr>
          <w:rStyle w:val="1070"/>
        </w:rPr>
        <w:t xml:space="preserve">3</w:t>
      </w:r>
      <w:r>
        <w:footnoteRef/>
      </w:r>
      <w:r>
        <w:t xml:space="preserve">Размер штрафа определяется в соответствии с Постановлением Правительства РФ от 30.08.2017 г. № 1042</w:t>
      </w:r>
      <w:r/>
    </w:p>
    <w:p>
      <w:pPr>
        <w:pStyle w:val="1068"/>
        <w:ind w:left="340"/>
        <w:widowControl w:val="off"/>
      </w:pPr>
      <w:r>
        <w:t xml:space="preserve">а) 1000 рублей, если цена контракта не превышает 3 млн. рублей;</w:t>
      </w:r>
      <w:r/>
    </w:p>
    <w:p>
      <w:pPr>
        <w:pStyle w:val="1068"/>
        <w:ind w:left="340"/>
        <w:widowControl w:val="off"/>
      </w:pPr>
      <w:r>
        <w:t xml:space="preserve">б) 5000 рублей, если цена контракта составляет от 3 млн. рублей до 50 млн. рублей (включительно);</w:t>
      </w:r>
      <w:r/>
    </w:p>
    <w:p>
      <w:pPr>
        <w:pStyle w:val="1068"/>
        <w:ind w:left="340"/>
        <w:widowControl w:val="off"/>
      </w:pPr>
      <w:r>
        <w:t xml:space="preserve">в) 10000 рублей, если цена контракта составляет от 50 млн. рублей до 100 млн. рублей (включительно);</w:t>
      </w:r>
      <w:r/>
    </w:p>
    <w:p>
      <w:pPr>
        <w:pStyle w:val="1068"/>
        <w:ind w:left="340"/>
        <w:widowControl w:val="off"/>
      </w:pPr>
      <w:r>
        <w:t xml:space="preserve">г) 100000 рублей, если цена контракта превышает 100 млн. рублей.</w:t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4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1440" w:hanging="360"/>
        <w:tabs>
          <w:tab w:val="num" w:pos="14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1800" w:hanging="360"/>
        <w:tabs>
          <w:tab w:val="num" w:pos="180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2160" w:hanging="360"/>
        <w:tabs>
          <w:tab w:val="num" w:pos="216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2520" w:hanging="360"/>
        <w:tabs>
          <w:tab w:val="num" w:pos="25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2880" w:hanging="360"/>
        <w:tabs>
          <w:tab w:val="num" w:pos="288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3240" w:hanging="360"/>
        <w:tabs>
          <w:tab w:val="num" w:pos="324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3600" w:hanging="360"/>
        <w:tabs>
          <w:tab w:val="num" w:pos="360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813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  <w:sz w:val="20"/>
      </w:rPr>
    </w:lvl>
  </w:abstractNum>
  <w:abstractNum w:abstractNumId="3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ind w:left="432" w:hanging="432"/>
        <w:tabs>
          <w:tab w:val="left" w:pos="0" w:leader="none"/>
        </w:tabs>
      </w:pPr>
      <w:rPr>
        <w:rFonts w:ascii="Symbol" w:hAnsi="Symbol" w:eastAsia="Symbol"/>
      </w:r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left" w:pos="0" w:leader="none"/>
        </w:tabs>
      </w:pPr>
      <w:rPr>
        <w:b w:val="0"/>
        <w:i w:val="0"/>
        <w:color w:val="000000"/>
        <w:sz w:val="24"/>
        <w:shd w:val="clear" w:color="auto" w:fill="66ffff"/>
      </w:r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left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left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0" w:firstLine="142"/>
        <w:tabs>
          <w:tab w:val="left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left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left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left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left" w:pos="0" w:leader="none"/>
        </w:tabs>
      </w:pPr>
    </w:lvl>
  </w:abstractNum>
  <w:abstractNum w:abstractNumId="6">
    <w:multiLevelType w:val="hybridMultilevel"/>
    <w:lvl w:ilvl="0">
      <w:start w:val="1"/>
      <w:numFmt w:val="decimal"/>
      <w:pStyle w:val="814"/>
      <w:isLgl w:val="false"/>
      <w:suff w:val="nothing"/>
      <w:lvlText w:val=""/>
      <w:lvlJc w:val="left"/>
      <w:pPr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ind w:left="576" w:hanging="576"/>
        <w:tabs>
          <w:tab w:val="num" w:pos="0" w:leader="none"/>
        </w:tabs>
      </w:pPr>
    </w:lvl>
    <w:lvl w:ilvl="2">
      <w:start w:val="1"/>
      <w:numFmt w:val="decimal"/>
      <w:isLgl w:val="false"/>
      <w:suff w:val="nothing"/>
      <w:lvlText w:val="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ind w:left="864" w:hanging="864"/>
        <w:tabs>
          <w:tab w:val="num" w:pos="0" w:leader="none"/>
        </w:tabs>
      </w:pPr>
    </w:lvl>
    <w:lvl w:ilvl="4">
      <w:start w:val="1"/>
      <w:numFmt w:val="decimal"/>
      <w:isLgl w:val="false"/>
      <w:suff w:val="nothing"/>
      <w:lvlText w:val=""/>
      <w:lvlJc w:val="left"/>
      <w:pPr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ind w:left="1584" w:hanging="1584"/>
        <w:tabs>
          <w:tab w:val="num" w:pos="0" w:leader="none"/>
        </w:tabs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4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6">
    <w:name w:val="Title Char"/>
    <w:basedOn w:val="816"/>
    <w:link w:val="837"/>
    <w:uiPriority w:val="10"/>
    <w:rPr>
      <w:sz w:val="48"/>
      <w:szCs w:val="48"/>
    </w:rPr>
  </w:style>
  <w:style w:type="character" w:styleId="807">
    <w:name w:val="Subtitle Char"/>
    <w:basedOn w:val="816"/>
    <w:link w:val="839"/>
    <w:uiPriority w:val="11"/>
    <w:rPr>
      <w:sz w:val="24"/>
      <w:szCs w:val="24"/>
    </w:rPr>
  </w:style>
  <w:style w:type="character" w:styleId="808">
    <w:name w:val="Quote Char"/>
    <w:link w:val="841"/>
    <w:uiPriority w:val="29"/>
    <w:rPr>
      <w:i/>
    </w:rPr>
  </w:style>
  <w:style w:type="character" w:styleId="809">
    <w:name w:val="Intense Quote Char"/>
    <w:link w:val="843"/>
    <w:uiPriority w:val="30"/>
    <w:rPr>
      <w:i/>
    </w:rPr>
  </w:style>
  <w:style w:type="character" w:styleId="810">
    <w:name w:val="Footnote Text Char"/>
    <w:link w:val="978"/>
    <w:uiPriority w:val="99"/>
    <w:rPr>
      <w:sz w:val="18"/>
    </w:rPr>
  </w:style>
  <w:style w:type="character" w:styleId="811">
    <w:name w:val="Endnote Text Char"/>
    <w:link w:val="981"/>
    <w:uiPriority w:val="99"/>
    <w:rPr>
      <w:sz w:val="20"/>
    </w:rPr>
  </w:style>
  <w:style w:type="paragraph" w:styleId="812" w:default="1">
    <w:name w:val="Normal"/>
    <w:qFormat/>
    <w:pPr>
      <w:widowControl w:val="off"/>
    </w:pPr>
    <w:rPr>
      <w:rFonts w:eastAsia="SimSun" w:cs="Mangal"/>
      <w:sz w:val="24"/>
      <w:szCs w:val="24"/>
      <w:lang w:bidi="hi-IN"/>
    </w:rPr>
  </w:style>
  <w:style w:type="paragraph" w:styleId="813">
    <w:name w:val="Heading 1"/>
    <w:basedOn w:val="837"/>
    <w:next w:val="1035"/>
    <w:qFormat/>
    <w:pPr>
      <w:numPr>
        <w:numId w:val="2"/>
      </w:numPr>
      <w:spacing w:before="240" w:after="120"/>
      <w:outlineLvl w:val="0"/>
    </w:pPr>
    <w:rPr>
      <w:sz w:val="36"/>
      <w:szCs w:val="36"/>
    </w:rPr>
  </w:style>
  <w:style w:type="paragraph" w:styleId="814">
    <w:name w:val="Heading 2"/>
    <w:basedOn w:val="837"/>
    <w:next w:val="1035"/>
    <w:qFormat/>
    <w:pPr>
      <w:numPr>
        <w:numId w:val="3"/>
      </w:numPr>
      <w:spacing w:before="200" w:after="120"/>
      <w:outlineLvl w:val="1"/>
    </w:pPr>
    <w:rPr>
      <w:rFonts w:ascii="Liberation Serif" w:hAnsi="Liberation Serif" w:eastAsia="Arial Unicode MS"/>
      <w:sz w:val="36"/>
      <w:szCs w:val="36"/>
    </w:rPr>
  </w:style>
  <w:style w:type="paragraph" w:styleId="815">
    <w:name w:val="Heading 3"/>
    <w:basedOn w:val="837"/>
    <w:next w:val="1035"/>
    <w:qFormat/>
    <w:pPr>
      <w:ind w:left="432" w:hanging="432"/>
      <w:spacing w:before="140" w:after="120"/>
      <w:tabs>
        <w:tab w:val="num" w:pos="0" w:leader="none"/>
      </w:tabs>
      <w:outlineLvl w:val="2"/>
    </w:pPr>
    <w:rPr>
      <w:rFonts w:ascii="Liberation Serif" w:hAnsi="Liberation Serif" w:eastAsia="Arial Unicode MS"/>
      <w:color w:val="808080"/>
      <w:sz w:val="28"/>
      <w:szCs w:val="28"/>
    </w:rPr>
  </w:style>
  <w:style w:type="character" w:styleId="816" w:default="1">
    <w:name w:val="Default Paragraph Font"/>
    <w:uiPriority w:val="1"/>
    <w:semiHidden/>
    <w:unhideWhenUsed/>
  </w:style>
  <w:style w:type="table" w:styleId="81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8" w:default="1">
    <w:name w:val="No List"/>
    <w:uiPriority w:val="99"/>
    <w:semiHidden/>
    <w:unhideWhenUsed/>
  </w:style>
  <w:style w:type="paragraph" w:styleId="819" w:customStyle="1">
    <w:name w:val="Heading 1"/>
    <w:basedOn w:val="812"/>
    <w:next w:val="812"/>
    <w:link w:val="82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820" w:customStyle="1">
    <w:name w:val="Heading 1 Char"/>
    <w:basedOn w:val="816"/>
    <w:link w:val="819"/>
    <w:uiPriority w:val="9"/>
    <w:rPr>
      <w:rFonts w:ascii="Arial" w:hAnsi="Arial" w:eastAsia="Arial" w:cs="Arial"/>
      <w:sz w:val="40"/>
      <w:szCs w:val="40"/>
    </w:rPr>
  </w:style>
  <w:style w:type="paragraph" w:styleId="821" w:customStyle="1">
    <w:name w:val="Heading 2"/>
    <w:basedOn w:val="812"/>
    <w:next w:val="812"/>
    <w:link w:val="82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822" w:customStyle="1">
    <w:name w:val="Heading 2 Char"/>
    <w:basedOn w:val="816"/>
    <w:link w:val="821"/>
    <w:uiPriority w:val="9"/>
    <w:rPr>
      <w:rFonts w:ascii="Arial" w:hAnsi="Arial" w:eastAsia="Arial" w:cs="Arial"/>
      <w:sz w:val="34"/>
    </w:rPr>
  </w:style>
  <w:style w:type="paragraph" w:styleId="823" w:customStyle="1">
    <w:name w:val="Heading 3"/>
    <w:basedOn w:val="812"/>
    <w:next w:val="812"/>
    <w:link w:val="82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824" w:customStyle="1">
    <w:name w:val="Heading 3 Char"/>
    <w:basedOn w:val="816"/>
    <w:link w:val="823"/>
    <w:uiPriority w:val="9"/>
    <w:rPr>
      <w:rFonts w:ascii="Arial" w:hAnsi="Arial" w:eastAsia="Arial" w:cs="Arial"/>
      <w:sz w:val="30"/>
      <w:szCs w:val="30"/>
    </w:rPr>
  </w:style>
  <w:style w:type="paragraph" w:styleId="825" w:customStyle="1">
    <w:name w:val="Heading 4"/>
    <w:basedOn w:val="812"/>
    <w:next w:val="812"/>
    <w:link w:val="82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826" w:customStyle="1">
    <w:name w:val="Heading 4 Char"/>
    <w:basedOn w:val="816"/>
    <w:link w:val="825"/>
    <w:uiPriority w:val="9"/>
    <w:rPr>
      <w:rFonts w:ascii="Arial" w:hAnsi="Arial" w:eastAsia="Arial" w:cs="Arial"/>
      <w:b/>
      <w:bCs/>
      <w:sz w:val="26"/>
      <w:szCs w:val="26"/>
    </w:rPr>
  </w:style>
  <w:style w:type="paragraph" w:styleId="827" w:customStyle="1">
    <w:name w:val="Heading 5"/>
    <w:basedOn w:val="812"/>
    <w:next w:val="812"/>
    <w:link w:val="82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character" w:styleId="828" w:customStyle="1">
    <w:name w:val="Heading 5 Char"/>
    <w:basedOn w:val="816"/>
    <w:link w:val="827"/>
    <w:uiPriority w:val="9"/>
    <w:rPr>
      <w:rFonts w:ascii="Arial" w:hAnsi="Arial" w:eastAsia="Arial" w:cs="Arial"/>
      <w:b/>
      <w:bCs/>
      <w:sz w:val="24"/>
      <w:szCs w:val="24"/>
    </w:rPr>
  </w:style>
  <w:style w:type="paragraph" w:styleId="829" w:customStyle="1">
    <w:name w:val="Heading 6"/>
    <w:basedOn w:val="812"/>
    <w:next w:val="812"/>
    <w:link w:val="83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830" w:customStyle="1">
    <w:name w:val="Heading 6 Char"/>
    <w:basedOn w:val="816"/>
    <w:link w:val="829"/>
    <w:uiPriority w:val="9"/>
    <w:rPr>
      <w:rFonts w:ascii="Arial" w:hAnsi="Arial" w:eastAsia="Arial" w:cs="Arial"/>
      <w:b/>
      <w:bCs/>
      <w:sz w:val="22"/>
      <w:szCs w:val="22"/>
    </w:rPr>
  </w:style>
  <w:style w:type="paragraph" w:styleId="831" w:customStyle="1">
    <w:name w:val="Heading 7"/>
    <w:basedOn w:val="812"/>
    <w:next w:val="812"/>
    <w:link w:val="8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32" w:customStyle="1">
    <w:name w:val="Heading 7 Char"/>
    <w:basedOn w:val="816"/>
    <w:link w:val="83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33" w:customStyle="1">
    <w:name w:val="Heading 8"/>
    <w:basedOn w:val="812"/>
    <w:next w:val="812"/>
    <w:link w:val="83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834" w:customStyle="1">
    <w:name w:val="Heading 8 Char"/>
    <w:basedOn w:val="816"/>
    <w:link w:val="833"/>
    <w:uiPriority w:val="9"/>
    <w:rPr>
      <w:rFonts w:ascii="Arial" w:hAnsi="Arial" w:eastAsia="Arial" w:cs="Arial"/>
      <w:i/>
      <w:iCs/>
      <w:sz w:val="22"/>
      <w:szCs w:val="22"/>
    </w:rPr>
  </w:style>
  <w:style w:type="paragraph" w:styleId="835" w:customStyle="1">
    <w:name w:val="Heading 9"/>
    <w:basedOn w:val="812"/>
    <w:next w:val="812"/>
    <w:link w:val="83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36" w:customStyle="1">
    <w:name w:val="Heading 9 Char"/>
    <w:basedOn w:val="816"/>
    <w:link w:val="835"/>
    <w:uiPriority w:val="9"/>
    <w:rPr>
      <w:rFonts w:ascii="Arial" w:hAnsi="Arial" w:eastAsia="Arial" w:cs="Arial"/>
      <w:i/>
      <w:iCs/>
      <w:sz w:val="21"/>
      <w:szCs w:val="21"/>
    </w:rPr>
  </w:style>
  <w:style w:type="paragraph" w:styleId="837">
    <w:name w:val="Title"/>
    <w:basedOn w:val="812"/>
    <w:next w:val="812"/>
    <w:link w:val="838"/>
    <w:qFormat/>
    <w:pPr>
      <w:jc w:val="center"/>
    </w:pPr>
    <w:rPr>
      <w:b/>
      <w:bCs/>
      <w:sz w:val="56"/>
      <w:szCs w:val="56"/>
    </w:rPr>
  </w:style>
  <w:style w:type="character" w:styleId="838" w:customStyle="1">
    <w:name w:val="Название Знак"/>
    <w:basedOn w:val="816"/>
    <w:link w:val="837"/>
    <w:uiPriority w:val="10"/>
    <w:rPr>
      <w:sz w:val="48"/>
      <w:szCs w:val="48"/>
    </w:rPr>
  </w:style>
  <w:style w:type="paragraph" w:styleId="839">
    <w:name w:val="Subtitle"/>
    <w:basedOn w:val="812"/>
    <w:next w:val="812"/>
    <w:link w:val="840"/>
    <w:qFormat/>
    <w:pPr>
      <w:jc w:val="center"/>
      <w:spacing w:before="60" w:after="120"/>
    </w:pPr>
    <w:rPr>
      <w:sz w:val="36"/>
      <w:szCs w:val="36"/>
    </w:rPr>
  </w:style>
  <w:style w:type="character" w:styleId="840" w:customStyle="1">
    <w:name w:val="Подзаголовок Знак"/>
    <w:basedOn w:val="816"/>
    <w:link w:val="839"/>
    <w:uiPriority w:val="11"/>
    <w:rPr>
      <w:sz w:val="24"/>
      <w:szCs w:val="24"/>
    </w:rPr>
  </w:style>
  <w:style w:type="paragraph" w:styleId="841">
    <w:name w:val="Quote"/>
    <w:basedOn w:val="812"/>
    <w:next w:val="812"/>
    <w:link w:val="842"/>
    <w:uiPriority w:val="29"/>
    <w:qFormat/>
    <w:pPr>
      <w:ind w:left="720" w:right="720"/>
    </w:pPr>
    <w:rPr>
      <w:i/>
    </w:rPr>
  </w:style>
  <w:style w:type="character" w:styleId="842" w:customStyle="1">
    <w:name w:val="Цитата 2 Знак"/>
    <w:link w:val="841"/>
    <w:uiPriority w:val="29"/>
    <w:rPr>
      <w:i/>
    </w:rPr>
  </w:style>
  <w:style w:type="paragraph" w:styleId="843">
    <w:name w:val="Intense Quote"/>
    <w:basedOn w:val="812"/>
    <w:next w:val="812"/>
    <w:link w:val="84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44" w:customStyle="1">
    <w:name w:val="Выделенная цитата Знак"/>
    <w:link w:val="843"/>
    <w:uiPriority w:val="30"/>
    <w:rPr>
      <w:i/>
    </w:rPr>
  </w:style>
  <w:style w:type="paragraph" w:styleId="845" w:customStyle="1">
    <w:name w:val="Header"/>
    <w:basedOn w:val="812"/>
    <w:link w:val="84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46" w:customStyle="1">
    <w:name w:val="Header Char"/>
    <w:basedOn w:val="816"/>
    <w:link w:val="845"/>
    <w:uiPriority w:val="99"/>
  </w:style>
  <w:style w:type="paragraph" w:styleId="847" w:customStyle="1">
    <w:name w:val="Footer"/>
    <w:basedOn w:val="812"/>
    <w:link w:val="850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848" w:customStyle="1">
    <w:name w:val="Footer Char"/>
    <w:basedOn w:val="816"/>
    <w:link w:val="847"/>
    <w:uiPriority w:val="99"/>
  </w:style>
  <w:style w:type="paragraph" w:styleId="849" w:customStyle="1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50" w:customStyle="1">
    <w:name w:val="Caption Char"/>
    <w:link w:val="847"/>
    <w:uiPriority w:val="99"/>
  </w:style>
  <w:style w:type="table" w:styleId="851">
    <w:name w:val="Table Grid"/>
    <w:basedOn w:val="817"/>
    <w:uiPriority w:val="39"/>
    <w:rPr>
      <w:rFonts w:ascii="Calibri" w:hAnsi="Calibri" w:eastAsia="Calibri"/>
      <w:sz w:val="22"/>
      <w:szCs w:val="22"/>
      <w:lang w:eastAsia="en-US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52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53" w:customStyle="1">
    <w:name w:val="Plain Table 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4" w:customStyle="1">
    <w:name w:val="Plain Table 2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55" w:customStyle="1">
    <w:name w:val="Plain Table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6" w:customStyle="1">
    <w:name w:val="Plain Table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Plain Table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8" w:customStyle="1">
    <w:name w:val="Grid Table 1 Light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Grid Table 2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3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9" w:customStyle="1">
    <w:name w:val="Grid Table 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80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81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83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85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86" w:customStyle="1">
    <w:name w:val="Grid Table 5 Dark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87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88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89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90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91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92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93" w:customStyle="1">
    <w:name w:val="Grid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94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95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96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97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98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99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00" w:customStyle="1">
    <w:name w:val="Grid Table 7 Colorful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1 Light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List Table 2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1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1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1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1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1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2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21" w:customStyle="1">
    <w:name w:val="List Table 3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0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1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2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3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4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35" w:customStyle="1">
    <w:name w:val="List Table 5 Dark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6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7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8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9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0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1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42" w:customStyle="1">
    <w:name w:val="List Table 6 Colorful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4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4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4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4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4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4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49" w:customStyle="1">
    <w:name w:val="List Table 7 Colorful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6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7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58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59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0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1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2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63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64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65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66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7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8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9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70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71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72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73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74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75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76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77">
    <w:name w:val="Hyperlink"/>
    <w:rPr>
      <w:color w:val="000080"/>
      <w:u w:val="single"/>
      <w:lang w:val="en-US" w:bidi="en-US"/>
    </w:rPr>
  </w:style>
  <w:style w:type="paragraph" w:styleId="978">
    <w:name w:val="footnote text"/>
    <w:basedOn w:val="812"/>
    <w:link w:val="979"/>
    <w:uiPriority w:val="99"/>
    <w:semiHidden/>
    <w:unhideWhenUsed/>
    <w:pPr>
      <w:spacing w:after="40"/>
    </w:pPr>
    <w:rPr>
      <w:sz w:val="18"/>
    </w:rPr>
  </w:style>
  <w:style w:type="character" w:styleId="979" w:customStyle="1">
    <w:name w:val="Текст сноски Знак"/>
    <w:link w:val="978"/>
    <w:uiPriority w:val="99"/>
    <w:rPr>
      <w:sz w:val="18"/>
    </w:rPr>
  </w:style>
  <w:style w:type="character" w:styleId="980">
    <w:name w:val="footnote reference"/>
    <w:basedOn w:val="816"/>
    <w:rPr>
      <w:vertAlign w:val="superscript"/>
    </w:rPr>
  </w:style>
  <w:style w:type="paragraph" w:styleId="981">
    <w:name w:val="endnote text"/>
    <w:basedOn w:val="812"/>
    <w:link w:val="982"/>
    <w:uiPriority w:val="99"/>
    <w:semiHidden/>
    <w:unhideWhenUsed/>
    <w:rPr>
      <w:sz w:val="20"/>
    </w:rPr>
  </w:style>
  <w:style w:type="character" w:styleId="982" w:customStyle="1">
    <w:name w:val="Текст концевой сноски Знак"/>
    <w:link w:val="981"/>
    <w:uiPriority w:val="99"/>
    <w:rPr>
      <w:sz w:val="20"/>
    </w:rPr>
  </w:style>
  <w:style w:type="character" w:styleId="983">
    <w:name w:val="endnote reference"/>
    <w:basedOn w:val="816"/>
    <w:uiPriority w:val="99"/>
    <w:semiHidden/>
    <w:unhideWhenUsed/>
    <w:rPr>
      <w:vertAlign w:val="superscript"/>
    </w:rPr>
  </w:style>
  <w:style w:type="paragraph" w:styleId="984">
    <w:name w:val="toc 1"/>
    <w:basedOn w:val="812"/>
    <w:next w:val="812"/>
    <w:uiPriority w:val="39"/>
    <w:unhideWhenUsed/>
    <w:pPr>
      <w:spacing w:after="57"/>
    </w:pPr>
  </w:style>
  <w:style w:type="paragraph" w:styleId="985">
    <w:name w:val="toc 2"/>
    <w:basedOn w:val="812"/>
    <w:next w:val="812"/>
    <w:uiPriority w:val="39"/>
    <w:unhideWhenUsed/>
    <w:pPr>
      <w:ind w:left="283"/>
      <w:spacing w:after="57"/>
    </w:pPr>
  </w:style>
  <w:style w:type="paragraph" w:styleId="986">
    <w:name w:val="toc 3"/>
    <w:basedOn w:val="812"/>
    <w:next w:val="812"/>
    <w:uiPriority w:val="39"/>
    <w:unhideWhenUsed/>
    <w:pPr>
      <w:ind w:left="567"/>
      <w:spacing w:after="57"/>
    </w:pPr>
  </w:style>
  <w:style w:type="paragraph" w:styleId="987">
    <w:name w:val="toc 4"/>
    <w:basedOn w:val="812"/>
    <w:next w:val="812"/>
    <w:uiPriority w:val="39"/>
    <w:unhideWhenUsed/>
    <w:pPr>
      <w:ind w:left="850"/>
      <w:spacing w:after="57"/>
    </w:pPr>
  </w:style>
  <w:style w:type="paragraph" w:styleId="988">
    <w:name w:val="toc 5"/>
    <w:basedOn w:val="812"/>
    <w:next w:val="812"/>
    <w:uiPriority w:val="39"/>
    <w:unhideWhenUsed/>
    <w:pPr>
      <w:ind w:left="1134"/>
      <w:spacing w:after="57"/>
    </w:pPr>
  </w:style>
  <w:style w:type="paragraph" w:styleId="989">
    <w:name w:val="toc 6"/>
    <w:basedOn w:val="812"/>
    <w:next w:val="812"/>
    <w:uiPriority w:val="39"/>
    <w:unhideWhenUsed/>
    <w:pPr>
      <w:ind w:left="1417"/>
      <w:spacing w:after="57"/>
    </w:pPr>
  </w:style>
  <w:style w:type="paragraph" w:styleId="990">
    <w:name w:val="toc 7"/>
    <w:basedOn w:val="812"/>
    <w:next w:val="812"/>
    <w:uiPriority w:val="39"/>
    <w:unhideWhenUsed/>
    <w:pPr>
      <w:ind w:left="1701"/>
      <w:spacing w:after="57"/>
    </w:pPr>
  </w:style>
  <w:style w:type="paragraph" w:styleId="991">
    <w:name w:val="toc 8"/>
    <w:basedOn w:val="812"/>
    <w:next w:val="812"/>
    <w:uiPriority w:val="39"/>
    <w:unhideWhenUsed/>
    <w:pPr>
      <w:ind w:left="1984"/>
      <w:spacing w:after="57"/>
    </w:pPr>
  </w:style>
  <w:style w:type="paragraph" w:styleId="992">
    <w:name w:val="toc 9"/>
    <w:basedOn w:val="812"/>
    <w:next w:val="812"/>
    <w:uiPriority w:val="39"/>
    <w:unhideWhenUsed/>
    <w:pPr>
      <w:ind w:left="2268"/>
      <w:spacing w:after="57"/>
    </w:pPr>
  </w:style>
  <w:style w:type="paragraph" w:styleId="993">
    <w:name w:val="TOC Heading"/>
    <w:uiPriority w:val="39"/>
    <w:unhideWhenUsed/>
  </w:style>
  <w:style w:type="paragraph" w:styleId="994">
    <w:name w:val="table of figures"/>
    <w:basedOn w:val="812"/>
    <w:next w:val="812"/>
    <w:uiPriority w:val="99"/>
    <w:unhideWhenUsed/>
  </w:style>
  <w:style w:type="character" w:styleId="995" w:customStyle="1">
    <w:name w:val="WW8Num1z0"/>
  </w:style>
  <w:style w:type="character" w:styleId="996" w:customStyle="1">
    <w:name w:val="WW8Num1z1"/>
  </w:style>
  <w:style w:type="character" w:styleId="997" w:customStyle="1">
    <w:name w:val="WW8Num1z2"/>
  </w:style>
  <w:style w:type="character" w:styleId="998" w:customStyle="1">
    <w:name w:val="WW8Num1z3"/>
  </w:style>
  <w:style w:type="character" w:styleId="999" w:customStyle="1">
    <w:name w:val="WW8Num1z4"/>
  </w:style>
  <w:style w:type="character" w:styleId="1000" w:customStyle="1">
    <w:name w:val="WW8Num1z5"/>
  </w:style>
  <w:style w:type="character" w:styleId="1001" w:customStyle="1">
    <w:name w:val="WW8Num1z6"/>
  </w:style>
  <w:style w:type="character" w:styleId="1002" w:customStyle="1">
    <w:name w:val="WW8Num1z7"/>
  </w:style>
  <w:style w:type="character" w:styleId="1003" w:customStyle="1">
    <w:name w:val="WW8Num1z8"/>
  </w:style>
  <w:style w:type="character" w:styleId="1004" w:customStyle="1">
    <w:name w:val="WW8Num2z0"/>
  </w:style>
  <w:style w:type="character" w:styleId="1005" w:customStyle="1">
    <w:name w:val="WW8Num2z1"/>
  </w:style>
  <w:style w:type="character" w:styleId="1006" w:customStyle="1">
    <w:name w:val="WW8Num2z2"/>
  </w:style>
  <w:style w:type="character" w:styleId="1007" w:customStyle="1">
    <w:name w:val="WW8Num2z3"/>
  </w:style>
  <w:style w:type="character" w:styleId="1008" w:customStyle="1">
    <w:name w:val="WW8Num2z4"/>
  </w:style>
  <w:style w:type="character" w:styleId="1009" w:customStyle="1">
    <w:name w:val="WW8Num2z5"/>
  </w:style>
  <w:style w:type="character" w:styleId="1010" w:customStyle="1">
    <w:name w:val="WW8Num2z6"/>
  </w:style>
  <w:style w:type="character" w:styleId="1011" w:customStyle="1">
    <w:name w:val="WW8Num2z7"/>
  </w:style>
  <w:style w:type="character" w:styleId="1012" w:customStyle="1">
    <w:name w:val="WW8Num2z8"/>
  </w:style>
  <w:style w:type="character" w:styleId="1013" w:customStyle="1">
    <w:name w:val="WW8Num3z0"/>
  </w:style>
  <w:style w:type="character" w:styleId="1014" w:customStyle="1">
    <w:name w:val="WW8Num3z1"/>
  </w:style>
  <w:style w:type="character" w:styleId="1015" w:customStyle="1">
    <w:name w:val="WW8Num3z2"/>
  </w:style>
  <w:style w:type="character" w:styleId="1016" w:customStyle="1">
    <w:name w:val="WW8Num3z3"/>
  </w:style>
  <w:style w:type="character" w:styleId="1017" w:customStyle="1">
    <w:name w:val="WW8Num3z4"/>
  </w:style>
  <w:style w:type="character" w:styleId="1018" w:customStyle="1">
    <w:name w:val="WW8Num3z5"/>
  </w:style>
  <w:style w:type="character" w:styleId="1019" w:customStyle="1">
    <w:name w:val="WW8Num3z6"/>
  </w:style>
  <w:style w:type="character" w:styleId="1020" w:customStyle="1">
    <w:name w:val="WW8Num3z7"/>
  </w:style>
  <w:style w:type="character" w:styleId="1021" w:customStyle="1">
    <w:name w:val="WW8Num3z8"/>
  </w:style>
  <w:style w:type="character" w:styleId="1022" w:customStyle="1">
    <w:name w:val="WW8Num4z0"/>
  </w:style>
  <w:style w:type="character" w:styleId="1023" w:customStyle="1">
    <w:name w:val="WW8Num4z1"/>
  </w:style>
  <w:style w:type="character" w:styleId="1024" w:customStyle="1">
    <w:name w:val="WW8Num4z2"/>
  </w:style>
  <w:style w:type="character" w:styleId="1025" w:customStyle="1">
    <w:name w:val="WW8Num4z3"/>
  </w:style>
  <w:style w:type="character" w:styleId="1026" w:customStyle="1">
    <w:name w:val="WW8Num4z4"/>
  </w:style>
  <w:style w:type="character" w:styleId="1027" w:customStyle="1">
    <w:name w:val="WW8Num4z5"/>
  </w:style>
  <w:style w:type="character" w:styleId="1028" w:customStyle="1">
    <w:name w:val="WW8Num4z6"/>
  </w:style>
  <w:style w:type="character" w:styleId="1029" w:customStyle="1">
    <w:name w:val="WW8Num4z7"/>
  </w:style>
  <w:style w:type="character" w:styleId="1030" w:customStyle="1">
    <w:name w:val="WW8Num4z8"/>
  </w:style>
  <w:style w:type="character" w:styleId="1031" w:customStyle="1">
    <w:name w:val="Font Style19"/>
    <w:rPr>
      <w:rFonts w:ascii="Times New Roman" w:hAnsi="Times New Roman" w:cs="Times New Roman"/>
      <w:sz w:val="22"/>
      <w:szCs w:val="22"/>
    </w:rPr>
  </w:style>
  <w:style w:type="character" w:styleId="1032" w:customStyle="1">
    <w:name w:val="Маркеры списка"/>
    <w:rPr>
      <w:rFonts w:ascii="OpenSymbol" w:hAnsi="OpenSymbol" w:eastAsia="OpenSymbol" w:cs="OpenSymbol"/>
    </w:rPr>
  </w:style>
  <w:style w:type="character" w:styleId="1033" w:customStyle="1">
    <w:name w:val="Символ нумерации"/>
  </w:style>
  <w:style w:type="character" w:styleId="1034" w:customStyle="1">
    <w:name w:val="Основной шрифт абзаца1"/>
  </w:style>
  <w:style w:type="paragraph" w:styleId="1035">
    <w:name w:val="Body Text"/>
    <w:basedOn w:val="812"/>
    <w:pPr>
      <w:spacing w:after="120"/>
    </w:pPr>
  </w:style>
  <w:style w:type="paragraph" w:styleId="1036">
    <w:name w:val="List"/>
    <w:basedOn w:val="1035"/>
  </w:style>
  <w:style w:type="paragraph" w:styleId="1037">
    <w:name w:val="Caption"/>
    <w:basedOn w:val="812"/>
    <w:qFormat/>
    <w:pPr>
      <w:spacing w:before="120" w:after="120"/>
      <w:suppressLineNumbers/>
    </w:pPr>
    <w:rPr>
      <w:i/>
      <w:iCs/>
    </w:rPr>
  </w:style>
  <w:style w:type="paragraph" w:styleId="1038" w:customStyle="1">
    <w:name w:val="Указатель1"/>
    <w:basedOn w:val="812"/>
    <w:pPr>
      <w:suppressLineNumbers/>
    </w:pPr>
  </w:style>
  <w:style w:type="paragraph" w:styleId="1039" w:customStyle="1">
    <w:name w:val="Обычный (веб);Обычный (веб) Знак Знак;Обычный (веб)1;Обычный (Web)1;Обычный (Web);Знак Знак;Обычный (веб) Знак1;Обычный (веб) Знак1 Знак Знак;Обычный (веб) Знак Знак Знак Знак;Обычный (веб) Знак1 Знак Знак Знак Знак;Обычный (веб) Знак1 Знак"/>
    <w:basedOn w:val="812"/>
    <w:link w:val="1090"/>
    <w:uiPriority w:val="99"/>
    <w:qFormat/>
    <w:pPr>
      <w:spacing w:before="100" w:after="119"/>
      <w:widowControl/>
    </w:pPr>
    <w:rPr>
      <w:rFonts w:eastAsia="Times New Roman" w:cs="Times New Roman"/>
      <w:color w:val="000000"/>
      <w:lang w:val="en-US" w:bidi="ar-SA"/>
    </w:rPr>
  </w:style>
  <w:style w:type="paragraph" w:styleId="1040" w:customStyle="1">
    <w:name w:val="western"/>
    <w:basedOn w:val="812"/>
    <w:pPr>
      <w:spacing w:before="100" w:after="119"/>
      <w:widowControl/>
    </w:pPr>
    <w:rPr>
      <w:rFonts w:eastAsia="Times New Roman" w:cs="Times New Roman"/>
      <w:color w:val="000000"/>
      <w:lang w:bidi="ar-SA"/>
    </w:rPr>
  </w:style>
  <w:style w:type="paragraph" w:styleId="1041" w:customStyle="1">
    <w:name w:val="ConsPlusNormal"/>
    <w:link w:val="1089"/>
    <w:pPr>
      <w:ind w:firstLine="720"/>
      <w:widowControl w:val="off"/>
    </w:pPr>
    <w:rPr>
      <w:rFonts w:ascii="Arial" w:hAnsi="Arial"/>
    </w:rPr>
  </w:style>
  <w:style w:type="paragraph" w:styleId="1042" w:customStyle="1">
    <w:name w:val="Основной текст с отступом 31"/>
    <w:basedOn w:val="812"/>
    <w:pPr>
      <w:ind w:left="426" w:hanging="426"/>
      <w:jc w:val="both"/>
      <w:widowControl/>
    </w:pPr>
    <w:rPr>
      <w:rFonts w:eastAsia="Times New Roman" w:cs="Times New Roman"/>
      <w:sz w:val="20"/>
      <w:szCs w:val="20"/>
      <w:lang w:bidi="ar-SA"/>
    </w:rPr>
  </w:style>
  <w:style w:type="paragraph" w:styleId="1043" w:customStyle="1">
    <w:name w:val="Б11а30з37о3eв32ы4bй39"/>
    <w:pPr>
      <w:widowControl w:val="off"/>
    </w:pPr>
    <w:rPr>
      <w:sz w:val="24"/>
      <w:szCs w:val="24"/>
      <w:lang w:bidi="hi-IN"/>
    </w:rPr>
  </w:style>
  <w:style w:type="paragraph" w:styleId="1044" w:customStyle="1">
    <w:name w:val="С21о3eд34е35р40ж36и38м3cо3eе35 т42а30б31л3bи38ц46ы4b"/>
    <w:basedOn w:val="1043"/>
    <w:pPr>
      <w:suppressLineNumbers/>
    </w:pPr>
  </w:style>
  <w:style w:type="paragraph" w:styleId="1045" w:customStyle="1">
    <w:name w:val="Содержимое таблицы"/>
    <w:basedOn w:val="812"/>
    <w:pPr>
      <w:suppressLineNumbers/>
    </w:pPr>
  </w:style>
  <w:style w:type="paragraph" w:styleId="1046" w:customStyle="1">
    <w:name w:val="Заголовок таблицы"/>
    <w:basedOn w:val="1045"/>
    <w:pPr>
      <w:jc w:val="center"/>
    </w:pPr>
    <w:rPr>
      <w:b/>
      <w:bCs/>
    </w:rPr>
  </w:style>
  <w:style w:type="paragraph" w:styleId="1047" w:customStyle="1">
    <w:name w:val="ConsPlusNormal"/>
    <w:rPr>
      <w:rFonts w:ascii="Arial" w:hAnsi="Arial" w:eastAsia="Arial" w:cs="Tahoma"/>
      <w:szCs w:val="24"/>
      <w:lang w:bidi="hi-IN"/>
    </w:rPr>
  </w:style>
  <w:style w:type="paragraph" w:styleId="1048" w:customStyle="1">
    <w:name w:val="ConsPlusCell"/>
    <w:rPr>
      <w:rFonts w:ascii="Arial" w:hAnsi="Arial" w:eastAsia="Arial" w:cs="Tahoma"/>
      <w:szCs w:val="24"/>
      <w:lang w:bidi="hi-IN"/>
    </w:rPr>
  </w:style>
  <w:style w:type="paragraph" w:styleId="1049" w:customStyle="1">
    <w:name w:val="ConsPlusNonformat"/>
    <w:rPr>
      <w:rFonts w:ascii="Courier New" w:hAnsi="Courier New" w:eastAsia="Arial" w:cs="Tahoma"/>
      <w:szCs w:val="24"/>
      <w:lang w:bidi="hi-IN"/>
    </w:rPr>
  </w:style>
  <w:style w:type="paragraph" w:styleId="1050" w:customStyle="1">
    <w:name w:val="ConsPlusTitle"/>
    <w:rPr>
      <w:rFonts w:ascii="Arial" w:hAnsi="Arial" w:eastAsia="Arial" w:cs="Tahoma"/>
      <w:b/>
      <w:szCs w:val="24"/>
      <w:lang w:bidi="hi-IN"/>
    </w:rPr>
  </w:style>
  <w:style w:type="paragraph" w:styleId="1051">
    <w:name w:val="No Spacing"/>
    <w:link w:val="1081"/>
    <w:uiPriority w:val="1"/>
    <w:qFormat/>
    <w:pPr>
      <w:widowControl w:val="off"/>
    </w:pPr>
    <w:rPr>
      <w:rFonts w:ascii="Liberation Serif" w:hAnsi="Liberation Serif" w:eastAsia="Arial Unicode MS" w:cs="Mangal"/>
      <w:sz w:val="24"/>
      <w:szCs w:val="21"/>
      <w:lang w:bidi="hi-IN"/>
    </w:rPr>
  </w:style>
  <w:style w:type="paragraph" w:styleId="1052" w:customStyle="1">
    <w:name w:val="Обычный1"/>
    <w:pPr>
      <w:widowControl w:val="off"/>
    </w:pPr>
    <w:rPr>
      <w:rFonts w:eastAsia="SimSun" w:cs="Mangal"/>
      <w:color w:val="00000a"/>
      <w:sz w:val="24"/>
      <w:szCs w:val="24"/>
      <w:lang w:bidi="hi-IN"/>
    </w:rPr>
  </w:style>
  <w:style w:type="paragraph" w:styleId="1053" w:customStyle="1">
    <w:name w:val="Style4"/>
    <w:basedOn w:val="812"/>
    <w:pPr>
      <w:spacing w:line="276" w:lineRule="exact"/>
    </w:pPr>
  </w:style>
  <w:style w:type="paragraph" w:styleId="1054">
    <w:name w:val="Header"/>
    <w:basedOn w:val="812"/>
    <w:pPr>
      <w:tabs>
        <w:tab w:val="center" w:pos="4819" w:leader="none"/>
        <w:tab w:val="right" w:pos="9638" w:leader="none"/>
      </w:tabs>
      <w:suppressLineNumbers/>
    </w:pPr>
  </w:style>
  <w:style w:type="paragraph" w:styleId="1055" w:customStyle="1">
    <w:name w:val="Цитата1"/>
    <w:basedOn w:val="812"/>
    <w:pPr>
      <w:ind w:left="567" w:right="567"/>
      <w:spacing w:after="283"/>
    </w:pPr>
  </w:style>
  <w:style w:type="paragraph" w:styleId="1056" w:customStyle="1">
    <w:name w:val="Обычный2"/>
    <w:pPr>
      <w:widowControl w:val="off"/>
    </w:pPr>
    <w:rPr>
      <w:rFonts w:ascii="Liberation Serif" w:hAnsi="Liberation Serif" w:eastAsia="Arial Unicode MS" w:cs="Mangal"/>
      <w:color w:val="00000a"/>
      <w:sz w:val="24"/>
      <w:szCs w:val="24"/>
      <w:lang w:bidi="hi-IN"/>
    </w:rPr>
  </w:style>
  <w:style w:type="paragraph" w:styleId="1057" w:customStyle="1">
    <w:name w:val="msolistparagraph_mailru_css_attribute_postfix"/>
    <w:basedOn w:val="812"/>
    <w:pPr>
      <w:spacing w:before="100" w:beforeAutospacing="1" w:after="100" w:afterAutospacing="1"/>
      <w:widowControl/>
    </w:pPr>
    <w:rPr>
      <w:rFonts w:eastAsia="Times New Roman" w:cs="Times New Roman"/>
      <w:lang w:eastAsia="ru-RU" w:bidi="ar-SA"/>
    </w:rPr>
  </w:style>
  <w:style w:type="paragraph" w:styleId="1058">
    <w:name w:val="Body Text Indent"/>
    <w:basedOn w:val="812"/>
    <w:link w:val="1059"/>
    <w:uiPriority w:val="99"/>
    <w:semiHidden/>
    <w:unhideWhenUsed/>
    <w:pPr>
      <w:ind w:left="283"/>
      <w:spacing w:after="120"/>
    </w:pPr>
    <w:rPr>
      <w:szCs w:val="21"/>
      <w:lang w:val="en-US"/>
    </w:rPr>
  </w:style>
  <w:style w:type="character" w:styleId="1059" w:customStyle="1">
    <w:name w:val="Основной текст с отступом Знак"/>
    <w:link w:val="1058"/>
    <w:uiPriority w:val="99"/>
    <w:semiHidden/>
    <w:rPr>
      <w:rFonts w:eastAsia="SimSun" w:cs="Mangal"/>
      <w:sz w:val="24"/>
      <w:szCs w:val="21"/>
      <w:lang w:eastAsia="zh-CN" w:bidi="hi-IN"/>
    </w:rPr>
  </w:style>
  <w:style w:type="paragraph" w:styleId="1060" w:customStyle="1">
    <w:name w:val="Стиль"/>
    <w:pPr>
      <w:widowControl w:val="off"/>
    </w:pPr>
    <w:rPr>
      <w:rFonts w:eastAsia="Arial" w:cs="Mangal"/>
      <w:color w:val="00000a"/>
      <w:sz w:val="24"/>
      <w:szCs w:val="24"/>
      <w:lang w:bidi="hi-IN"/>
    </w:rPr>
  </w:style>
  <w:style w:type="paragraph" w:styleId="1061" w:customStyle="1">
    <w:name w:val="ConsNonformat"/>
    <w:pPr>
      <w:ind w:right="19772"/>
      <w:spacing w:line="100" w:lineRule="atLeast"/>
    </w:pPr>
    <w:rPr>
      <w:rFonts w:ascii="Courier New" w:hAnsi="Courier New" w:cs="Courier New"/>
      <w:color w:val="00000a"/>
      <w:lang w:bidi="hi-IN"/>
    </w:rPr>
  </w:style>
  <w:style w:type="paragraph" w:styleId="1062" w:customStyle="1">
    <w:name w:val="ConsNormal"/>
    <w:pPr>
      <w:ind w:right="19772" w:firstLine="720"/>
    </w:pPr>
    <w:rPr>
      <w:rFonts w:ascii="Arial" w:hAnsi="Arial" w:eastAsia="Arial" w:cs="Arial"/>
      <w:color w:val="00000a"/>
      <w:lang w:bidi="hi-IN"/>
    </w:rPr>
  </w:style>
  <w:style w:type="paragraph" w:styleId="1063" w:customStyle="1">
    <w:name w:val="Основной текст с отступом 22"/>
    <w:basedOn w:val="1052"/>
    <w:pPr>
      <w:ind w:left="283"/>
      <w:spacing w:after="120" w:line="480" w:lineRule="auto"/>
    </w:pPr>
    <w:rPr>
      <w:rFonts w:eastAsia="Times New Roman" w:cs="Times New Roman"/>
    </w:rPr>
  </w:style>
  <w:style w:type="paragraph" w:styleId="1064">
    <w:name w:val="List Paragraph"/>
    <w:basedOn w:val="812"/>
    <w:pPr>
      <w:contextualSpacing/>
      <w:ind w:left="720"/>
    </w:pPr>
    <w:rPr>
      <w:rFonts w:ascii="Symbol" w:hAnsi="Symbol" w:eastAsia="Symbol" w:cs="Symbol"/>
      <w:color w:val="000000"/>
    </w:rPr>
  </w:style>
  <w:style w:type="paragraph" w:styleId="1065" w:customStyle="1">
    <w:name w:val="WW-Базовый"/>
    <w:pPr>
      <w:spacing w:after="200" w:line="276" w:lineRule="auto"/>
      <w:widowControl w:val="off"/>
    </w:pPr>
    <w:rPr>
      <w:rFonts w:eastAsia="SimSun" w:cs="Mangal"/>
      <w:color w:val="00000a"/>
      <w:sz w:val="24"/>
      <w:szCs w:val="24"/>
      <w:lang w:bidi="hi-IN"/>
    </w:rPr>
  </w:style>
  <w:style w:type="paragraph" w:styleId="1066" w:customStyle="1">
    <w:name w:val="Текст2"/>
    <w:basedOn w:val="812"/>
    <w:pPr>
      <w:spacing w:line="100" w:lineRule="atLeast"/>
    </w:pPr>
    <w:rPr>
      <w:rFonts w:ascii="Courier New" w:hAnsi="Courier New" w:eastAsia="Times New Roman" w:cs="Courier New"/>
      <w:color w:val="00000a"/>
      <w:sz w:val="20"/>
      <w:szCs w:val="20"/>
    </w:rPr>
  </w:style>
  <w:style w:type="paragraph" w:styleId="1067" w:customStyle="1">
    <w:name w:val="Пункт"/>
    <w:basedOn w:val="812"/>
    <w:pPr>
      <w:ind w:left="1134" w:hanging="1134"/>
      <w:jc w:val="both"/>
      <w:spacing w:line="360" w:lineRule="auto"/>
      <w:tabs>
        <w:tab w:val="left" w:pos="4536" w:leader="none"/>
      </w:tabs>
    </w:pPr>
    <w:rPr>
      <w:rFonts w:ascii="Liberation Serif" w:hAnsi="Liberation Serif" w:eastAsia="Arial Unicode MS"/>
      <w:sz w:val="28"/>
      <w:szCs w:val="28"/>
    </w:rPr>
  </w:style>
  <w:style w:type="paragraph" w:styleId="1068" w:customStyle="1">
    <w:name w:val="Текст сноски;Char;Знак4 Знак;Знак2;Знак8 Знак Знак;Знак8 Знак"/>
    <w:basedOn w:val="812"/>
    <w:link w:val="1069"/>
    <w:pPr>
      <w:widowControl/>
    </w:pPr>
    <w:rPr>
      <w:rFonts w:eastAsia="Times New Roman" w:cs="Times New Roman"/>
      <w:sz w:val="20"/>
      <w:szCs w:val="20"/>
      <w:lang w:eastAsia="ru-RU" w:bidi="ar-SA"/>
    </w:rPr>
  </w:style>
  <w:style w:type="character" w:styleId="1069" w:customStyle="1">
    <w:name w:val="Текст сноски Знак;Char Знак;Знак4 Знак Знак;Знак2 Знак;Знак8 Знак Знак Знак;Знак8 Знак Знак1"/>
    <w:basedOn w:val="816"/>
    <w:link w:val="1068"/>
  </w:style>
  <w:style w:type="character" w:styleId="1070" w:customStyle="1">
    <w:name w:val="Символ сноски"/>
    <w:rPr>
      <w:vertAlign w:val="superscript"/>
    </w:rPr>
  </w:style>
  <w:style w:type="character" w:styleId="1071" w:customStyle="1">
    <w:name w:val="Знак сноски1"/>
    <w:rPr>
      <w:vertAlign w:val="superscript"/>
    </w:rPr>
  </w:style>
  <w:style w:type="paragraph" w:styleId="1072" w:customStyle="1">
    <w:name w:val="ConsPlusNonformat"/>
    <w:pPr>
      <w:widowControl w:val="off"/>
    </w:pPr>
    <w:rPr>
      <w:rFonts w:ascii="Courier New" w:hAnsi="Courier New" w:eastAsia="Arial" w:cs="Courier New"/>
    </w:rPr>
  </w:style>
  <w:style w:type="paragraph" w:styleId="1073" w:customStyle="1">
    <w:name w:val="Стиль3 Знак"/>
    <w:basedOn w:val="1075"/>
    <w:link w:val="1074"/>
    <w:rPr>
      <w:rFonts w:ascii="Liberation Serif" w:hAnsi="Liberation Serif" w:eastAsia="Lucida Sans Unicode"/>
    </w:rPr>
  </w:style>
  <w:style w:type="character" w:styleId="1074" w:customStyle="1">
    <w:name w:val="Стиль3 Знак Знак"/>
    <w:link w:val="1073"/>
    <w:rPr>
      <w:rFonts w:ascii="Liberation Serif" w:hAnsi="Liberation Serif" w:eastAsia="Lucida Sans Unicode" w:cs="Mangal"/>
      <w:sz w:val="24"/>
      <w:szCs w:val="21"/>
      <w:lang w:val="en-US" w:eastAsia="zh-CN" w:bidi="hi-IN"/>
    </w:rPr>
  </w:style>
  <w:style w:type="paragraph" w:styleId="1075">
    <w:name w:val="Body Text Indent 2"/>
    <w:basedOn w:val="812"/>
    <w:link w:val="1076"/>
    <w:uiPriority w:val="99"/>
    <w:semiHidden/>
    <w:unhideWhenUsed/>
    <w:pPr>
      <w:ind w:left="283"/>
      <w:spacing w:after="120" w:line="480" w:lineRule="auto"/>
    </w:pPr>
    <w:rPr>
      <w:szCs w:val="21"/>
      <w:lang w:val="en-US"/>
    </w:rPr>
  </w:style>
  <w:style w:type="character" w:styleId="1076" w:customStyle="1">
    <w:name w:val="Основной текст с отступом 2 Знак"/>
    <w:link w:val="1075"/>
    <w:uiPriority w:val="99"/>
    <w:semiHidden/>
    <w:rPr>
      <w:rFonts w:eastAsia="SimSun" w:cs="Mangal"/>
      <w:sz w:val="24"/>
      <w:szCs w:val="21"/>
      <w:lang w:eastAsia="zh-CN" w:bidi="hi-IN"/>
    </w:rPr>
  </w:style>
  <w:style w:type="paragraph" w:styleId="1077">
    <w:name w:val="Balloon Text"/>
    <w:basedOn w:val="812"/>
    <w:link w:val="1078"/>
    <w:uiPriority w:val="99"/>
    <w:semiHidden/>
    <w:unhideWhenUsed/>
    <w:rPr>
      <w:rFonts w:ascii="Segoe UI" w:hAnsi="Segoe UI"/>
      <w:sz w:val="18"/>
      <w:szCs w:val="16"/>
      <w:lang w:val="en-US"/>
    </w:rPr>
  </w:style>
  <w:style w:type="character" w:styleId="1078" w:customStyle="1">
    <w:name w:val="Текст выноски Знак"/>
    <w:link w:val="1077"/>
    <w:uiPriority w:val="99"/>
    <w:semiHidden/>
    <w:rPr>
      <w:rFonts w:ascii="Segoe UI" w:hAnsi="Segoe UI" w:eastAsia="SimSun" w:cs="Mangal"/>
      <w:sz w:val="18"/>
      <w:szCs w:val="16"/>
      <w:lang w:eastAsia="zh-CN" w:bidi="hi-IN"/>
    </w:rPr>
  </w:style>
  <w:style w:type="paragraph" w:styleId="1079" w:customStyle="1">
    <w:name w:val="Текст1"/>
    <w:basedOn w:val="812"/>
    <w:pPr>
      <w:widowControl/>
    </w:pPr>
    <w:rPr>
      <w:rFonts w:ascii="Courier New" w:hAnsi="Courier New" w:eastAsia="Times New Roman" w:cs="Courier New"/>
      <w:sz w:val="20"/>
      <w:szCs w:val="20"/>
      <w:lang w:bidi="ar-SA"/>
    </w:rPr>
  </w:style>
  <w:style w:type="character" w:styleId="1080" w:customStyle="1">
    <w:name w:val="grame"/>
    <w:basedOn w:val="816"/>
  </w:style>
  <w:style w:type="character" w:styleId="1081" w:customStyle="1">
    <w:name w:val="Без интервала Знак"/>
    <w:link w:val="1051"/>
    <w:uiPriority w:val="1"/>
    <w:rPr>
      <w:rFonts w:ascii="Liberation Serif" w:hAnsi="Liberation Serif" w:eastAsia="Arial Unicode MS" w:cs="Mangal"/>
      <w:sz w:val="24"/>
      <w:szCs w:val="21"/>
      <w:lang w:eastAsia="zh-CN" w:bidi="hi-IN"/>
    </w:rPr>
  </w:style>
  <w:style w:type="character" w:styleId="1082">
    <w:name w:val="Strong"/>
    <w:uiPriority w:val="22"/>
    <w:qFormat/>
    <w:rPr>
      <w:b/>
      <w:bCs/>
    </w:rPr>
  </w:style>
  <w:style w:type="character" w:styleId="1083" w:customStyle="1">
    <w:name w:val="apple-converted-space"/>
    <w:basedOn w:val="816"/>
  </w:style>
  <w:style w:type="character" w:styleId="1084" w:customStyle="1">
    <w:name w:val="i-text-lowcase"/>
    <w:basedOn w:val="816"/>
  </w:style>
  <w:style w:type="character" w:styleId="1085" w:customStyle="1">
    <w:name w:val="gloss"/>
    <w:basedOn w:val="816"/>
  </w:style>
  <w:style w:type="character" w:styleId="1086" w:customStyle="1">
    <w:name w:val="nobr"/>
    <w:basedOn w:val="816"/>
  </w:style>
  <w:style w:type="character" w:styleId="1087" w:customStyle="1">
    <w:name w:val="property_name"/>
    <w:basedOn w:val="816"/>
  </w:style>
  <w:style w:type="paragraph" w:styleId="1088" w:customStyle="1">
    <w:name w:val="Default"/>
    <w:rPr>
      <w:color w:val="000000"/>
      <w:sz w:val="24"/>
      <w:szCs w:val="24"/>
      <w:lang w:eastAsia="ru-RU"/>
    </w:rPr>
  </w:style>
  <w:style w:type="character" w:styleId="1089" w:customStyle="1">
    <w:name w:val="ConsPlusNormal Знак"/>
    <w:link w:val="1041"/>
    <w:rPr>
      <w:rFonts w:ascii="Arial" w:hAnsi="Arial"/>
      <w:lang w:eastAsia="zh-CN" w:bidi="ar-SA"/>
    </w:rPr>
  </w:style>
  <w:style w:type="character" w:styleId="1090" w:customStyle="1">
    <w:name w:val="Обычный (веб) Знак;Обычный (веб) Знак Знак Знак;Обычный (веб)1 Знак;Обычный (Web)1 Знак;Обычный (Web) Знак;Знак Знак Знак2;Обычный (веб) Знак1 Знак1;Обычный (веб) Знак1 Знак Знак Знак;Обычный (веб) Знак Знак Знак Знак Знак;Обычный (веб) Знак1 Знак Знак1"/>
    <w:link w:val="1039"/>
    <w:uiPriority w:val="99"/>
    <w:rPr>
      <w:color w:val="000000"/>
      <w:sz w:val="24"/>
      <w:szCs w:val="24"/>
      <w:lang w:eastAsia="zh-CN"/>
    </w:rPr>
  </w:style>
  <w:style w:type="character" w:styleId="1091" w:customStyle="1">
    <w:name w:val="Знак примечания1"/>
    <w:rPr>
      <w:sz w:val="16"/>
      <w:szCs w:val="16"/>
    </w:rPr>
  </w:style>
  <w:style w:type="character" w:styleId="1092" w:customStyle="1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paragraph" w:styleId="1093">
    <w:name w:val="Plain Text"/>
    <w:basedOn w:val="812"/>
    <w:link w:val="1094"/>
    <w:uiPriority w:val="99"/>
    <w:unhideWhenUsed/>
    <w:pPr>
      <w:widowControl/>
    </w:pPr>
    <w:rPr>
      <w:rFonts w:ascii="Consolas" w:hAnsi="Consolas" w:eastAsia="Calibri" w:cs="Times New Roman"/>
      <w:sz w:val="21"/>
      <w:szCs w:val="21"/>
      <w:lang w:eastAsia="en-US" w:bidi="ar-SA"/>
    </w:rPr>
  </w:style>
  <w:style w:type="character" w:styleId="1094" w:customStyle="1">
    <w:name w:val="Текст Знак"/>
    <w:link w:val="1093"/>
    <w:uiPriority w:val="99"/>
    <w:rPr>
      <w:rFonts w:ascii="Consolas" w:hAnsi="Consolas" w:eastAsia="Calibri" w:cs="Times New Roman"/>
      <w:sz w:val="21"/>
      <w:szCs w:val="21"/>
      <w:lang w:eastAsia="en-US"/>
    </w:rPr>
  </w:style>
  <w:style w:type="paragraph" w:styleId="1095" w:customStyle="1">
    <w:name w:val="WW-Без интервала"/>
    <w:rPr>
      <w:sz w:val="24"/>
      <w:szCs w:val="24"/>
    </w:rPr>
  </w:style>
  <w:style w:type="paragraph" w:styleId="1096" w:customStyle="1">
    <w:name w:val="Статья"/>
    <w:basedOn w:val="812"/>
    <w:pPr>
      <w:ind w:left="432" w:hanging="432"/>
      <w:jc w:val="center"/>
      <w:keepLines/>
      <w:keepNext/>
      <w:spacing w:after="60"/>
      <w:tabs>
        <w:tab w:val="num" w:pos="0" w:leader="none"/>
      </w:tabs>
      <w:suppressLineNumbers/>
    </w:pPr>
    <w:rPr>
      <w:rFonts w:eastAsia="Times New Roman" w:cs="Times New Roman"/>
      <w:b/>
      <w:bCs/>
      <w:caps/>
      <w:sz w:val="28"/>
      <w:szCs w:val="28"/>
      <w:lang w:bidi="ar-SA"/>
    </w:rPr>
  </w:style>
  <w:style w:type="paragraph" w:styleId="1097" w:customStyle="1">
    <w:name w:val="Базовый"/>
    <w:rPr>
      <w:sz w:val="24"/>
      <w:lang w:eastAsia="ru-RU"/>
    </w:rPr>
  </w:style>
  <w:style w:type="paragraph" w:styleId="1098">
    <w:name w:val="Footer"/>
    <w:basedOn w:val="812"/>
    <w:link w:val="1099"/>
    <w:uiPriority w:val="99"/>
    <w:unhideWhenUsed/>
    <w:pPr>
      <w:tabs>
        <w:tab w:val="center" w:pos="4677" w:leader="none"/>
        <w:tab w:val="right" w:pos="9355" w:leader="none"/>
      </w:tabs>
    </w:pPr>
    <w:rPr>
      <w:szCs w:val="21"/>
    </w:rPr>
  </w:style>
  <w:style w:type="character" w:styleId="1099" w:customStyle="1">
    <w:name w:val="Нижний колонтитул Знак"/>
    <w:link w:val="1098"/>
    <w:uiPriority w:val="99"/>
    <w:rPr>
      <w:rFonts w:eastAsia="SimSun" w:cs="Mangal"/>
      <w:sz w:val="24"/>
      <w:szCs w:val="21"/>
      <w:lang w:eastAsia="zh-CN" w:bidi="hi-I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hyperlink" Target="consultantplus://offline/main?base=LAW;n=112770;fld=134" TargetMode="External"/><Relationship Id="rId14" Type="http://schemas.openxmlformats.org/officeDocument/2006/relationships/hyperlink" Target="consultantplus://offline/main?base=LAW;n=116659;fld=134" TargetMode="External"/><Relationship Id="rId15" Type="http://schemas.openxmlformats.org/officeDocument/2006/relationships/hyperlink" Target="https://zakupki.gov.ru/epz/orderplan/pg2020/special-purchase-info.html?plan-number=202401453000019002&amp;special-purchase-id=&amp;reestr-number=202401453000019002000007&amp;purchase-number=243471300813747070100100010000000244&amp;special-purchase-position-id=62489233&amp;revision-id=" TargetMode="External"/><Relationship Id="rId16" Type="http://schemas.openxmlformats.org/officeDocument/2006/relationships/hyperlink" Target="consultantplus://offline/ref=1DFEC7638300A505F27E29B58ADA737C300DA16B3A3140B8B745165F41671B562F761484C56C73FE16J" TargetMode="External"/><Relationship Id="rId17" Type="http://schemas.openxmlformats.org/officeDocument/2006/relationships/image" Target="media/image1.jpg"/><Relationship Id="rId18" Type="http://schemas.openxmlformats.org/officeDocument/2006/relationships/image" Target="media/image2.emf"/><Relationship Id="rId19" Type="http://schemas.openxmlformats.org/officeDocument/2006/relationships/image" Target="media/image3.emf"/><Relationship Id="rId20" Type="http://schemas.openxmlformats.org/officeDocument/2006/relationships/image" Target="media/image4.emf"/><Relationship Id="rId21" Type="http://schemas.openxmlformats.org/officeDocument/2006/relationships/image" Target="media/image5.emf"/><Relationship Id="rId22" Type="http://schemas.openxmlformats.org/officeDocument/2006/relationships/image" Target="media/image6.emf"/><Relationship Id="rId23" Type="http://schemas.openxmlformats.org/officeDocument/2006/relationships/image" Target="media/image7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5C5DB-A07D-4B0D-BC77-7CCC5F678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"ОК 034-2007 (КПЕС 2002). Общероссийский классификатор продукции по видам экономической деятельности"(Том 1, классы 01 - 23; Том 2, классы 24 - 28; Том 3, классы 29 - 45; Том 4, классы 50 - 99)(ред. от 24.12.2012)(принят и введен в действие Приказом Ростехрегулирования от 22.11.2007 N 329-ст)(дата введения 01.01.2008)</dc:title>
  <dc:creator>ConsultantPlus</dc:creator>
  <cp:revision>93</cp:revision>
  <dcterms:created xsi:type="dcterms:W3CDTF">2023-03-02T07:07:00Z</dcterms:created>
  <dcterms:modified xsi:type="dcterms:W3CDTF">2026-09-09T12:28:25Z</dcterms:modified>
  <cp:version>1048576</cp:version>
</cp:coreProperties>
</file>