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Договор № 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0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0"/>
        </w:rPr>
        <w:t xml:space="preserve">  </w:t>
      </w:r>
      <w:r>
        <w:rPr>
          <w:rFonts w:ascii="Times New Roman" w:hAnsi="Times New Roman" w:cs="Times New Roman"/>
          <w:sz w:val="24"/>
          <w:szCs w:val="20"/>
        </w:rPr>
        <w:t xml:space="preserve">«</w:t>
      </w:r>
      <w:r>
        <w:rPr>
          <w:rFonts w:ascii="Times New Roman" w:hAnsi="Times New Roman" w:cs="Times New Roman"/>
          <w:sz w:val="24"/>
          <w:szCs w:val="20"/>
        </w:rPr>
        <w:t xml:space="preserve">___</w:t>
      </w:r>
      <w:r>
        <w:rPr>
          <w:rFonts w:ascii="Times New Roman" w:hAnsi="Times New Roman" w:cs="Times New Roman"/>
          <w:sz w:val="24"/>
          <w:szCs w:val="20"/>
        </w:rPr>
        <w:t xml:space="preserve">» </w:t>
      </w:r>
      <w:r>
        <w:rPr>
          <w:rFonts w:ascii="Times New Roman" w:hAnsi="Times New Roman" w:cs="Times New Roman"/>
          <w:sz w:val="24"/>
          <w:szCs w:val="20"/>
        </w:rPr>
        <w:t xml:space="preserve">________</w:t>
      </w:r>
      <w:r>
        <w:rPr>
          <w:rFonts w:ascii="Times New Roman" w:hAnsi="Times New Roman" w:cs="Times New Roman"/>
          <w:sz w:val="24"/>
          <w:szCs w:val="20"/>
        </w:rPr>
        <w:t xml:space="preserve"> 2026 года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       Муниципальное бюджетное учреждение «Благоустройство» Агалатовского сельского поселения Всеволожского муниципального района Ленинградской области (МБУ «Благоустройство»), </w:t>
      </w:r>
      <w:r>
        <w:rPr>
          <w:rFonts w:ascii="Times New Roman" w:hAnsi="Times New Roman" w:cs="Times New Roman"/>
          <w:sz w:val="24"/>
          <w:szCs w:val="20"/>
        </w:rPr>
        <w:t xml:space="preserve">именуемое в дальнейшем З</w:t>
      </w:r>
      <w:r>
        <w:rPr>
          <w:rFonts w:ascii="Times New Roman" w:hAnsi="Times New Roman" w:cs="Times New Roman"/>
          <w:b/>
          <w:bCs/>
          <w:sz w:val="24"/>
          <w:szCs w:val="20"/>
        </w:rPr>
        <w:t xml:space="preserve">аказчик</w:t>
      </w:r>
      <w:r>
        <w:rPr>
          <w:rFonts w:ascii="Times New Roman" w:hAnsi="Times New Roman" w:cs="Times New Roman"/>
          <w:sz w:val="24"/>
          <w:szCs w:val="20"/>
        </w:rPr>
        <w:t xml:space="preserve">, в лице и.о.директора </w:t>
      </w:r>
      <w:r>
        <w:rPr>
          <w:rFonts w:ascii="Times New Roman" w:hAnsi="Times New Roman" w:cs="Times New Roman"/>
          <w:sz w:val="24"/>
          <w:szCs w:val="20"/>
        </w:rPr>
        <w:t xml:space="preserve">Давыдовой Марины Владимировны</w:t>
      </w:r>
      <w:r>
        <w:rPr>
          <w:rFonts w:ascii="Times New Roman" w:hAnsi="Times New Roman" w:cs="Times New Roman"/>
          <w:sz w:val="24"/>
          <w:szCs w:val="20"/>
          <w:lang w:eastAsia="ru-RU"/>
        </w:rPr>
        <w:t xml:space="preserve">, д</w:t>
      </w:r>
      <w:r>
        <w:rPr>
          <w:rFonts w:ascii="Times New Roman" w:hAnsi="Times New Roman" w:cs="Times New Roman"/>
          <w:spacing w:val="-6"/>
          <w:sz w:val="24"/>
          <w:szCs w:val="20"/>
          <w:lang w:eastAsia="ru-RU"/>
        </w:rPr>
        <w:t xml:space="preserve">ействующей на основании Устава </w:t>
      </w:r>
      <w:r>
        <w:rPr>
          <w:rFonts w:ascii="Times New Roman" w:hAnsi="Times New Roman" w:cs="Times New Roman"/>
          <w:spacing w:val="1"/>
          <w:sz w:val="24"/>
          <w:szCs w:val="20"/>
          <w:lang w:eastAsia="ru-RU"/>
        </w:rPr>
        <w:t xml:space="preserve">и Приказа №26/01-05 от 16.09.2026г </w:t>
      </w:r>
      <w:r>
        <w:rPr>
          <w:rFonts w:ascii="Times New Roman" w:hAnsi="Times New Roman" w:cs="Times New Roman"/>
          <w:b/>
          <w:bCs/>
          <w:spacing w:val="1"/>
          <w:sz w:val="24"/>
          <w:szCs w:val="20"/>
          <w:lang w:eastAsia="ru-RU"/>
        </w:rPr>
        <w:t xml:space="preserve">_______________________________________</w:t>
      </w:r>
      <w:r>
        <w:rPr>
          <w:rFonts w:ascii="Times New Roman" w:hAnsi="Times New Roman" w:cs="Times New Roman"/>
          <w:bCs/>
          <w:spacing w:val="1"/>
          <w:sz w:val="24"/>
          <w:szCs w:val="20"/>
          <w:lang w:eastAsia="ru-RU"/>
        </w:rPr>
        <w:t xml:space="preserve"> в лице </w:t>
      </w:r>
      <w:r>
        <w:rPr>
          <w:rFonts w:ascii="Times New Roman" w:hAnsi="Times New Roman" w:cs="Times New Roman"/>
          <w:bCs/>
          <w:spacing w:val="1"/>
          <w:sz w:val="24"/>
          <w:szCs w:val="20"/>
          <w:lang w:eastAsia="ru-RU"/>
        </w:rPr>
        <w:t xml:space="preserve">________________________________________________</w:t>
      </w:r>
      <w:r>
        <w:rPr>
          <w:rFonts w:ascii="Times New Roman" w:hAnsi="Times New Roman" w:cs="Times New Roman"/>
          <w:bCs/>
          <w:spacing w:val="1"/>
          <w:sz w:val="24"/>
          <w:szCs w:val="20"/>
          <w:lang w:eastAsia="ru-RU"/>
        </w:rPr>
        <w:t xml:space="preserve">, действующего на основании </w:t>
      </w:r>
      <w:r>
        <w:rPr>
          <w:rFonts w:ascii="Times New Roman" w:hAnsi="Times New Roman" w:cs="Times New Roman"/>
          <w:bCs/>
          <w:spacing w:val="1"/>
          <w:sz w:val="24"/>
          <w:szCs w:val="20"/>
          <w:lang w:eastAsia="ru-RU"/>
        </w:rPr>
        <w:t xml:space="preserve">____________</w:t>
      </w:r>
      <w:r>
        <w:rPr>
          <w:rFonts w:ascii="Times New Roman" w:hAnsi="Times New Roman" w:cs="Times New Roman"/>
          <w:bCs/>
          <w:spacing w:val="1"/>
          <w:sz w:val="24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spacing w:val="1"/>
          <w:sz w:val="24"/>
          <w:szCs w:val="20"/>
          <w:lang w:eastAsia="ru-RU"/>
        </w:rPr>
        <w:t xml:space="preserve">именуемое  в дальнейшем </w:t>
      </w:r>
      <w:r>
        <w:rPr>
          <w:rFonts w:ascii="Times New Roman" w:hAnsi="Times New Roman" w:cs="Times New Roman"/>
          <w:b/>
          <w:spacing w:val="1"/>
          <w:sz w:val="24"/>
          <w:szCs w:val="20"/>
          <w:lang w:eastAsia="ru-RU"/>
        </w:rPr>
        <w:t xml:space="preserve">«Подрядчик»</w:t>
      </w:r>
      <w:r>
        <w:rPr>
          <w:rFonts w:ascii="Times New Roman" w:hAnsi="Times New Roman" w:cs="Times New Roman"/>
          <w:spacing w:val="1"/>
          <w:sz w:val="24"/>
          <w:szCs w:val="20"/>
          <w:lang w:eastAsia="ru-RU"/>
        </w:rPr>
        <w:t xml:space="preserve">, с другой стороны, совместно по тексту именуемые </w:t>
      </w:r>
      <w:r>
        <w:rPr>
          <w:rFonts w:ascii="Times New Roman" w:hAnsi="Times New Roman" w:cs="Times New Roman"/>
          <w:b/>
          <w:spacing w:val="1"/>
          <w:sz w:val="24"/>
          <w:szCs w:val="20"/>
          <w:lang w:eastAsia="ru-RU"/>
        </w:rPr>
        <w:t xml:space="preserve">«</w:t>
      </w:r>
      <w:r>
        <w:rPr>
          <w:rFonts w:ascii="Times New Roman" w:hAnsi="Times New Roman" w:cs="Times New Roman"/>
          <w:b/>
          <w:bCs/>
          <w:spacing w:val="1"/>
          <w:sz w:val="24"/>
          <w:szCs w:val="20"/>
          <w:lang w:eastAsia="ru-RU"/>
        </w:rPr>
        <w:t xml:space="preserve">Стороны»</w:t>
      </w:r>
      <w:r>
        <w:rPr>
          <w:rFonts w:ascii="Times New Roman" w:hAnsi="Times New Roman" w:cs="Times New Roman"/>
          <w:spacing w:val="1"/>
          <w:sz w:val="24"/>
          <w:szCs w:val="20"/>
          <w:lang w:eastAsia="ru-RU"/>
        </w:rPr>
        <w:t xml:space="preserve">, заключили настоящий договор о нижеследующем.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ind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1.Предмет Договора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1.1.</w:t>
      </w:r>
      <w:r>
        <w:rPr>
          <w:rFonts w:ascii="Times New Roman" w:hAnsi="Times New Roman" w:cs="Times New Roman"/>
          <w:sz w:val="24"/>
          <w:szCs w:val="20"/>
        </w:rPr>
        <w:t xml:space="preserve"> По Договору Подрядчик обязуется </w:t>
      </w:r>
      <w:r>
        <w:rPr>
          <w:rFonts w:ascii="Times New Roman" w:hAnsi="Times New Roman" w:cs="Times New Roman"/>
          <w:sz w:val="24"/>
          <w:szCs w:val="20"/>
        </w:rPr>
        <w:t xml:space="preserve">выполнить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аботы по монтажу технических средств организации дорожного движения и нанесению дорожной разметки в д. Агалатово</w:t>
      </w:r>
      <w:r>
        <w:rPr>
          <w:rFonts w:ascii="Times New Roman" w:hAnsi="Times New Roman" w:cs="Times New Roman"/>
          <w:sz w:val="24"/>
          <w:szCs w:val="20"/>
        </w:rPr>
      </w:r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соответствии с Локальным сметным расчетом № </w:t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ЛС-2026-09-08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(Приложение №1).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2. Сроки выполнения работ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</w:t>
      </w:r>
      <w:r>
        <w:rPr>
          <w:rFonts w:ascii="Times New Roman" w:hAnsi="Times New Roman" w:cs="Times New Roman"/>
          <w:sz w:val="24"/>
          <w:szCs w:val="24"/>
        </w:rPr>
        <w:t xml:space="preserve">. Начало выполнения работ по Договору: со дня подписания Договора Сторонами.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2.2.</w:t>
      </w:r>
      <w:r>
        <w:rPr>
          <w:rFonts w:ascii="Times New Roman" w:hAnsi="Times New Roman" w:cs="Times New Roman"/>
          <w:sz w:val="24"/>
          <w:szCs w:val="24"/>
        </w:rPr>
        <w:t xml:space="preserve"> Срок выполнения работ по Договору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0"/>
          <w:highlight w:val="white"/>
        </w:rPr>
        <w:t xml:space="preserve">д</w:t>
      </w:r>
      <w:r>
        <w:rPr>
          <w:rFonts w:ascii="Times New Roman" w:hAnsi="Times New Roman" w:cs="Times New Roman"/>
          <w:b/>
          <w:sz w:val="24"/>
          <w:szCs w:val="20"/>
          <w:highlight w:val="white"/>
        </w:rPr>
        <w:t xml:space="preserve">о 31 </w:t>
      </w:r>
      <w:r>
        <w:rPr>
          <w:rFonts w:ascii="Times New Roman" w:hAnsi="Times New Roman" w:cs="Times New Roman"/>
          <w:b/>
          <w:sz w:val="24"/>
          <w:szCs w:val="20"/>
          <w:highlight w:val="white"/>
        </w:rPr>
        <w:t xml:space="preserve">октября</w:t>
      </w:r>
      <w:r>
        <w:rPr>
          <w:rFonts w:ascii="Times New Roman" w:hAnsi="Times New Roman" w:cs="Times New Roman"/>
          <w:b/>
          <w:sz w:val="24"/>
          <w:szCs w:val="20"/>
          <w:highlight w:val="white"/>
        </w:rPr>
        <w:t xml:space="preserve"> 2026 г</w:t>
      </w:r>
      <w:r>
        <w:rPr>
          <w:rFonts w:ascii="Times New Roman" w:hAnsi="Times New Roman" w:cs="Times New Roman"/>
          <w:b/>
          <w:sz w:val="24"/>
          <w:szCs w:val="20"/>
          <w:highlight w:val="white"/>
        </w:rPr>
        <w:t xml:space="preserve">.</w:t>
      </w:r>
      <w:r>
        <w:rPr>
          <w:rFonts w:ascii="Times New Roman" w:hAnsi="Times New Roman" w:cs="Times New Roman"/>
          <w:b/>
          <w:sz w:val="24"/>
          <w:szCs w:val="20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2.3.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Подрядчик освобождается от ответственности и имеет право на продление срока выполнения работ, установленного пунктом 2.2. Договора, или продление сроков выполнения отдельных видов работ, если завершение Работ задерживается, ввиду любой из следующих причин: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направление Муниципальным Заказчиком распоряжения о приостановке работ;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неблагоприятные погодные условия, мешающие выполнить работы качественно. Срок выполнения работ продляется на дни неблагоприятных погодных условий;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задержек, вызванных требованиями, предписаниями либо актами государственных и муниципальных органов власти, если это не вызвано действиями Подрядчика. Срок выполнения работ продлевается на срок устранения замечаний Муниципальным Заказчиком.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713"/>
        <w:ind w:left="0" w:firstLine="42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3. Права и обязанности сторон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3.1.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0"/>
        </w:rPr>
        <w:t xml:space="preserve">Подрядчик обязуется: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numPr>
          <w:ilvl w:val="2"/>
          <w:numId w:val="2"/>
        </w:numPr>
        <w:ind w:left="0" w:firstLine="426"/>
        <w:jc w:val="both"/>
        <w:spacing w:after="0" w:line="240" w:lineRule="auto"/>
        <w:tabs>
          <w:tab w:val="left" w:pos="993" w:leader="none"/>
          <w:tab w:val="clear" w:pos="1080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Выполнить работы, предусмотренные пунктом 1.1. Договора, в сроки, установленные п.2 Договора, сдать результат работ Муниципальному заказчику в порядке, установленном п.4 Договора.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numPr>
          <w:ilvl w:val="2"/>
          <w:numId w:val="2"/>
        </w:numPr>
        <w:ind w:left="0" w:firstLine="426"/>
        <w:jc w:val="both"/>
        <w:spacing w:after="0" w:line="240" w:lineRule="auto"/>
        <w:tabs>
          <w:tab w:val="left" w:pos="993" w:leader="none"/>
          <w:tab w:val="clear" w:pos="1080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Немедленно письменно предупредить Муниципального заказчика при обнаружении не зависящих от Подрядчика обстоятельств, которые грозят годности результатов выполняемых работ либо создают невозможность их завершения в срок.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numPr>
          <w:ilvl w:val="2"/>
          <w:numId w:val="2"/>
        </w:numPr>
        <w:ind w:left="0" w:firstLine="426"/>
        <w:jc w:val="both"/>
        <w:spacing w:after="0" w:line="240" w:lineRule="auto"/>
        <w:tabs>
          <w:tab w:val="left" w:pos="993" w:leader="none"/>
          <w:tab w:val="clear" w:pos="1080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Обеспечить Муниципальному заказчику возможность контроля и надзора за ходом выполнения работ, в том числе представлять по его требованию отчеты о ходе выполнения работ.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3.2.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0"/>
        </w:rPr>
        <w:t xml:space="preserve">Подрядчик вправе: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3.2.1. Выполнить и сдать работы досрочно.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3.3. Муниципальный заказчик обязуется: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3.3.1. Своевременно принять и оплатить результат работ Подрядчика в соответствии с условиями, предусмотренными п.4 и п.5 Договора.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numPr>
          <w:ilvl w:val="2"/>
          <w:numId w:val="5"/>
        </w:numPr>
        <w:ind w:left="0" w:firstLine="426"/>
        <w:jc w:val="both"/>
        <w:spacing w:after="0" w:line="240" w:lineRule="auto"/>
        <w:tabs>
          <w:tab w:val="num" w:pos="900" w:leader="none"/>
          <w:tab w:val="left" w:pos="993" w:leader="none"/>
          <w:tab w:val="clear" w:pos="1080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Принять работы досрочно в установленном п.4 Договора порядке, в случае досрочной сдачи Подрядчиком выполненных работ.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3.4. Муниципальный заказчик вправе: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3.4.1. Проверять ход и качество работ, выполняемых Подрядчиком.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3.4.2. Если во время выполнения работ станет очевидным, что работы не могут быть выполне</w:t>
      </w:r>
      <w:r>
        <w:rPr>
          <w:rFonts w:ascii="Times New Roman" w:hAnsi="Times New Roman" w:cs="Times New Roman"/>
          <w:sz w:val="24"/>
          <w:szCs w:val="20"/>
        </w:rPr>
        <w:t xml:space="preserve">ны надлежащим образом, назначить Подрядчику разумный срок для устранения недостатков, а при неисполнении Подрядчиком данного требования, поручить исправление недостатков другому лицу за счет Подрядчика, а также потребовать от Подрядчика возмещения убытков.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4. Приемка работ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4.1.</w:t>
      </w:r>
      <w:r>
        <w:rPr>
          <w:rFonts w:ascii="Times New Roman" w:hAnsi="Times New Roman" w:cs="Times New Roman"/>
          <w:sz w:val="24"/>
          <w:szCs w:val="20"/>
        </w:rPr>
        <w:t xml:space="preserve"> Приемка выполненных работ по Договору производится Муниципальным заказчиком по акту о приемке выполненных работ (по форме КС-2) в течение 10 (десяти) рабочих дней со дня получения отчета.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4.2.</w:t>
      </w:r>
      <w:r>
        <w:rPr>
          <w:rFonts w:ascii="Times New Roman" w:hAnsi="Times New Roman" w:cs="Times New Roman"/>
          <w:sz w:val="24"/>
          <w:szCs w:val="20"/>
        </w:rPr>
        <w:t xml:space="preserve"> При обнаружении отступлений от Договора, ухудшающих результат работ, или иных недостатков в работах, Стороны составляют двусторонний акт с перечнем необходимых доработок и сроков их выполнения.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4.3</w:t>
      </w:r>
      <w:r>
        <w:rPr>
          <w:rFonts w:ascii="Times New Roman" w:hAnsi="Times New Roman" w:cs="Times New Roman"/>
          <w:sz w:val="24"/>
          <w:szCs w:val="20"/>
        </w:rPr>
        <w:t xml:space="preserve">. Работы считаются выполненными после подписания Сторонами акта о приемке выполненных работ (по форме КС-2).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</w:r>
      <w:r>
        <w:rPr>
          <w:rFonts w:ascii="Times New Roman" w:hAnsi="Times New Roman" w:cs="Times New Roman"/>
          <w:sz w:val="28"/>
          <w:szCs w:val="20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5. Стоимость работ и порядок расчетов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eastAsia="Calibri" w:cs="Times New Roman"/>
          <w:b/>
          <w:color w:val="000000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5.1</w:t>
      </w:r>
      <w:r>
        <w:rPr>
          <w:rFonts w:ascii="Times New Roman" w:hAnsi="Times New Roman" w:cs="Times New Roman"/>
          <w:sz w:val="24"/>
          <w:szCs w:val="20"/>
        </w:rPr>
        <w:t xml:space="preserve">. Стоимость работ по Договору составляет:</w:t>
      </w:r>
      <w: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0"/>
        </w:rPr>
        <w:t xml:space="preserve">__</w:t>
      </w:r>
      <w:r>
        <w:rPr>
          <w:rFonts w:ascii="Times New Roman" w:hAnsi="Times New Roman" w:cs="Times New Roman"/>
          <w:b/>
          <w:color w:val="000000"/>
          <w:sz w:val="24"/>
          <w:szCs w:val="2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eastAsia="Calibri" w:cs="Times New Roman"/>
          <w:b/>
          <w:color w:val="000000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color w:val="000000"/>
          <w:sz w:val="24"/>
          <w:szCs w:val="20"/>
        </w:rPr>
        <w:t xml:space="preserve">5.2.</w:t>
      </w:r>
      <w:r>
        <w:rPr>
          <w:rFonts w:ascii="Times New Roman" w:hAnsi="Times New Roman" w:cs="Times New Roman"/>
          <w:color w:val="000000"/>
          <w:sz w:val="24"/>
          <w:szCs w:val="20"/>
        </w:rPr>
        <w:t xml:space="preserve"> Оплата стоимости работ по Договору осуществляется Муниципальным</w:t>
      </w:r>
      <w:r>
        <w:rPr>
          <w:rFonts w:ascii="Times New Roman" w:hAnsi="Times New Roman" w:cs="Times New Roman"/>
          <w:sz w:val="24"/>
          <w:szCs w:val="20"/>
        </w:rPr>
        <w:t xml:space="preserve"> заказчиком в безналичной форме на расчетный счет Подрядчика, на основании представленных счета, справки о стоимости выполненных работ (КС-3), акта приемки выполненных работ (КС-2).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5.3.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Оплата за выполненные работы осуществляется в течение 10 (десяти) рабочих дней от даты подписания Сторонами акта выполненных работ, путем перечисления денежных средств на счет Подрядчика, согласно предоставленного счета на оплату выполненных работ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5.4.</w:t>
      </w:r>
      <w:r>
        <w:rPr>
          <w:rFonts w:ascii="Times New Roman" w:hAnsi="Times New Roman" w:cs="Times New Roman"/>
          <w:sz w:val="24"/>
          <w:szCs w:val="20"/>
        </w:rPr>
        <w:t xml:space="preserve"> Моментом исполнения обязательств Муниципального заказчика по оплате стоимости работ по Договору будет считаться день поступления денежных средств на расчетный счет Подрядчика.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6. Ответственность сторон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6.1.</w:t>
      </w:r>
      <w:r>
        <w:rPr>
          <w:rFonts w:ascii="Times New Roman" w:hAnsi="Times New Roman" w:cs="Times New Roman"/>
          <w:sz w:val="24"/>
          <w:szCs w:val="20"/>
        </w:rPr>
        <w:t xml:space="preserve"> В случае неисполнения/ненадлежащего исполнения условий Договора, Стороны несут ответственность в соответствии с 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6.2.</w:t>
      </w:r>
      <w:r>
        <w:rPr>
          <w:rFonts w:ascii="Times New Roman" w:hAnsi="Times New Roman" w:cs="Times New Roman"/>
          <w:sz w:val="24"/>
          <w:szCs w:val="20"/>
        </w:rPr>
        <w:t xml:space="preserve"> В случае просрочки Подрядчиком сроков выполнения работ, предусмотренных Договор</w:t>
      </w:r>
      <w:r>
        <w:rPr>
          <w:rFonts w:ascii="Times New Roman" w:hAnsi="Times New Roman" w:cs="Times New Roman"/>
          <w:sz w:val="24"/>
          <w:szCs w:val="20"/>
        </w:rPr>
        <w:t xml:space="preserve">ом, Муниципальный заказчик вправе потребовать от Подрядчика уплату пени в размере одной трехсотой действующей на день уплаты пеней ставки рефинансирования Центрального банка Российской Федерации от общей стоимости работ Подрядчика за каждый день просрочки.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6.3.</w:t>
      </w:r>
      <w:r>
        <w:rPr>
          <w:rFonts w:ascii="Times New Roman" w:hAnsi="Times New Roman" w:cs="Times New Roman"/>
          <w:sz w:val="24"/>
          <w:szCs w:val="20"/>
        </w:rPr>
        <w:t xml:space="preserve"> Уплата пеней не освобождает Подрядчика от выполнения работ, в случае, если Договор не расторгнут.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6.4.</w:t>
      </w:r>
      <w:r>
        <w:rPr>
          <w:rFonts w:ascii="Times New Roman" w:hAnsi="Times New Roman" w:cs="Times New Roman"/>
          <w:sz w:val="24"/>
          <w:szCs w:val="20"/>
        </w:rPr>
        <w:t xml:space="preserve"> Сторона, не исполнившая или ненадлежащим образом исполнившая свои обязанн</w:t>
      </w:r>
      <w:r>
        <w:rPr>
          <w:rFonts w:ascii="Times New Roman" w:hAnsi="Times New Roman" w:cs="Times New Roman"/>
          <w:sz w:val="24"/>
          <w:szCs w:val="20"/>
        </w:rPr>
        <w:t xml:space="preserve">ости по настоящему Договору, не несет ответственности за результаты действия непреодолимой силы, повлекшие невозможность исполнения обязательств, а также, если докажет, что неисполнение/ненадлежащее исполнение обязательств произошло по вине другой Стороны.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6.5.</w:t>
      </w:r>
      <w:r>
        <w:rPr>
          <w:rFonts w:ascii="Times New Roman" w:hAnsi="Times New Roman" w:cs="Times New Roman"/>
          <w:sz w:val="24"/>
          <w:szCs w:val="20"/>
        </w:rPr>
        <w:t xml:space="preserve"> Меры ответственности, не предусмотренные Договором, применяются в соответствии с нормами действующего законодательства РФ.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</w:r>
      <w:r>
        <w:rPr>
          <w:rFonts w:ascii="Times New Roman" w:hAnsi="Times New Roman" w:cs="Times New Roman"/>
          <w:sz w:val="28"/>
          <w:szCs w:val="20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7. Срок действия Договора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7.1.</w:t>
      </w:r>
      <w:r>
        <w:rPr>
          <w:rFonts w:ascii="Times New Roman" w:hAnsi="Times New Roman" w:cs="Times New Roman"/>
          <w:sz w:val="24"/>
          <w:szCs w:val="20"/>
        </w:rPr>
        <w:t xml:space="preserve"> Договор вступает в силу с момента подписания его Сторонами и действует до момента исполнения Сторонами своих обязательств по Договору.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/>
        <w:spacing w:after="0" w:line="240" w:lineRule="auto"/>
        <w:tabs>
          <w:tab w:val="left" w:pos="4230" w:leader="none"/>
        </w:tabs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</w:r>
      <w:r>
        <w:rPr>
          <w:rFonts w:ascii="Times New Roman" w:hAnsi="Times New Roman" w:cs="Times New Roman"/>
          <w:b/>
          <w:sz w:val="24"/>
          <w:szCs w:val="20"/>
        </w:rPr>
      </w:r>
    </w:p>
    <w:p>
      <w:pPr>
        <w:pStyle w:val="713"/>
        <w:ind w:left="0" w:firstLine="426"/>
        <w:jc w:val="center"/>
        <w:spacing w:after="0" w:line="240" w:lineRule="auto"/>
        <w:tabs>
          <w:tab w:val="left" w:pos="4230" w:leader="none"/>
        </w:tabs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8.</w:t>
      </w:r>
      <w:r>
        <w:rPr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0"/>
        </w:rPr>
        <w:t xml:space="preserve">Требования к сроку и (или) объему предоставления гарантии качества работ</w:t>
      </w:r>
      <w:r>
        <w:rPr>
          <w:rFonts w:ascii="Times New Roman" w:hAnsi="Times New Roman" w:cs="Times New Roman"/>
          <w:b/>
          <w:sz w:val="24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ascii="Times New Roman" w:hAnsi="Times New Roman" w:eastAsia="Calibri" w:cs="Times New Roman"/>
          <w:b/>
          <w:color w:val="000000"/>
          <w:szCs w:val="20"/>
          <w:lang w:eastAsia="ru-RU"/>
        </w:rPr>
        <w:t xml:space="preserve">          </w:t>
      </w:r>
      <w:r>
        <w:rPr>
          <w:rFonts w:ascii="Times New Roman" w:hAnsi="Times New Roman" w:eastAsia="Calibri" w:cs="Times New Roman"/>
          <w:b/>
          <w:color w:val="000000"/>
          <w:lang w:eastAsia="ru-RU"/>
        </w:rPr>
        <w:t xml:space="preserve">8.1.</w:t>
      </w:r>
      <w:r>
        <w:rPr>
          <w:rFonts w:ascii="Times New Roman" w:hAnsi="Times New Roman" w:eastAsia="Calibri" w:cs="Times New Roman"/>
          <w:color w:val="000000"/>
          <w:lang w:eastAsia="ru-RU"/>
        </w:rPr>
        <w:t xml:space="preserve"> Г</w:t>
      </w:r>
      <w:r>
        <w:rPr>
          <w:rFonts w:ascii="Times New Roman" w:hAnsi="Times New Roman" w:eastAsia="Calibri" w:cs="Times New Roman"/>
          <w:color w:val="000000"/>
          <w:sz w:val="24"/>
          <w:szCs w:val="24"/>
          <w:lang w:eastAsia="ru-RU"/>
        </w:rPr>
        <w:t xml:space="preserve">арантийный срок на результат выполненных работ составляет: Монтаж дорожных знаков – 2 (два) года или (24 месяца) с момента подписания акта о приемке выполненных работ (форма КС-2).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4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8.2.</w:t>
      </w:r>
      <w:r>
        <w:rPr>
          <w:rFonts w:ascii="Times New Roman" w:hAnsi="Times New Roman" w:cs="Times New Roman"/>
          <w:sz w:val="24"/>
          <w:szCs w:val="24"/>
        </w:rPr>
        <w:t xml:space="preserve"> Гарантийный срок на результат выполненных работ составляет: Искусственные дорожные неровности – 1 (один) год или (12 месяцев) с момента подписания акта о приемке выполненных работ (форма КС-2).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left" w:pos="4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8.3</w:t>
      </w:r>
      <w:r>
        <w:rPr>
          <w:rFonts w:ascii="Times New Roman" w:hAnsi="Times New Roman" w:cs="Times New Roman"/>
          <w:sz w:val="24"/>
          <w:szCs w:val="24"/>
        </w:rPr>
        <w:t xml:space="preserve"> Гарантийный срок на результат выполненных работ составляет: Дорожная разметка (пластик) – 1 (один) год или (12 месяцев) с момента подписания акта о приемке выполненных работ (форма КС-2).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9. Порядок разрешения споров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9.1.</w:t>
      </w:r>
      <w:r>
        <w:rPr>
          <w:rFonts w:ascii="Times New Roman" w:hAnsi="Times New Roman" w:cs="Times New Roman"/>
          <w:sz w:val="24"/>
          <w:szCs w:val="20"/>
        </w:rPr>
        <w:t xml:space="preserve"> Все споры и разногласия, которые могут возникнуть в связи с Договором, подлежат разрешению путем переговоров между Сторонами.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9.2.</w:t>
      </w:r>
      <w:r>
        <w:rPr>
          <w:rFonts w:ascii="Times New Roman" w:hAnsi="Times New Roman" w:cs="Times New Roman"/>
          <w:sz w:val="24"/>
          <w:szCs w:val="20"/>
        </w:rPr>
        <w:t xml:space="preserve"> В случае, если споры и разногласия не будут урегулированы путем переговоров между Сторонами, они подлежат разрешению в судебном порядке в соответствии с действующим законодательством РФ.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10.  Заключительные положения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p>
      <w:pPr>
        <w:pStyle w:val="713"/>
        <w:numPr>
          <w:ilvl w:val="1"/>
          <w:numId w:val="9"/>
        </w:numPr>
        <w:ind w:left="0" w:firstLine="426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 Подрядчик передает права на установленные искусственные дорожные неровности, дорожные знаки Муниципальному заказчику с момента подписания сторонами акта сдачи-приемки результата выполненных работ.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numPr>
          <w:ilvl w:val="1"/>
          <w:numId w:val="9"/>
        </w:numPr>
        <w:ind w:left="0" w:firstLine="426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Договор может быть изменен, расторгнут или признан недействител</w:t>
      </w:r>
      <w:r>
        <w:rPr>
          <w:rFonts w:ascii="Times New Roman" w:hAnsi="Times New Roman" w:cs="Times New Roman"/>
          <w:sz w:val="24"/>
          <w:szCs w:val="20"/>
        </w:rPr>
        <w:t xml:space="preserve">ьным по основаниям, предусмотренным действующим законодательством РФ или по согласованию Сторон. Любые изменения и дополнения к Договору действительны лишь при условии, если они совершены в письменной форме и вступают в силу с момента подписания Сторонами.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numPr>
          <w:ilvl w:val="1"/>
          <w:numId w:val="9"/>
        </w:numPr>
        <w:ind w:left="0" w:firstLine="426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Договор составлен в 2 (двух) экземплярах, имеющих равную юридическую силу, по одному для каждой из Сторон.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567" w:firstLine="426"/>
        <w:jc w:val="both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numPr>
          <w:ilvl w:val="0"/>
          <w:numId w:val="9"/>
        </w:numPr>
        <w:ind w:left="0" w:firstLine="426"/>
        <w:jc w:val="center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Приложения</w:t>
      </w:r>
      <w:r>
        <w:rPr>
          <w:rFonts w:ascii="Times New Roman" w:hAnsi="Times New Roman" w:cs="Times New Roman"/>
          <w:b/>
          <w:sz w:val="24"/>
          <w:szCs w:val="20"/>
        </w:rPr>
      </w:r>
    </w:p>
    <w:p>
      <w:pPr>
        <w:pStyle w:val="713"/>
        <w:numPr>
          <w:ilvl w:val="1"/>
          <w:numId w:val="9"/>
        </w:numPr>
        <w:ind w:left="0" w:firstLine="426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Локальный сметный расчет - Приложение №1</w:t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ind w:left="710" w:firstLine="426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pStyle w:val="713"/>
        <w:numPr>
          <w:ilvl w:val="0"/>
          <w:numId w:val="9"/>
        </w:numPr>
        <w:ind w:left="0" w:firstLine="426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Реквизиты и подписи сторон</w:t>
      </w:r>
      <w:r>
        <w:rPr>
          <w:rFonts w:ascii="Times New Roman" w:hAnsi="Times New Roman" w:cs="Times New Roman"/>
          <w:b/>
          <w:bCs/>
          <w:sz w:val="24"/>
          <w:szCs w:val="20"/>
        </w:rPr>
      </w:r>
    </w:p>
    <w:tbl>
      <w:tblPr>
        <w:tblW w:w="9531" w:type="dxa"/>
        <w:tblInd w:w="108" w:type="dxa"/>
        <w:tblLook w:val="01E0" w:firstRow="1" w:lastRow="1" w:firstColumn="1" w:lastColumn="1" w:noHBand="0" w:noVBand="0"/>
      </w:tblPr>
      <w:tblGrid>
        <w:gridCol w:w="4820"/>
        <w:gridCol w:w="4711"/>
      </w:tblGrid>
      <w:tr>
        <w:tblPrEx/>
        <w:trPr>
          <w:trHeight w:val="31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20" w:type="dxa"/>
            <w:vAlign w:val="center"/>
            <w:textDirection w:val="lrTb"/>
            <w:noWrap w:val="false"/>
          </w:tcPr>
          <w:p>
            <w:pPr>
              <w:ind w:right="-3" w:firstLine="539"/>
              <w:jc w:val="both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11" w:type="dxa"/>
            <w:vAlign w:val="center"/>
            <w:textDirection w:val="lrTb"/>
            <w:noWrap w:val="false"/>
          </w:tcPr>
          <w:p>
            <w:pPr>
              <w:ind w:right="-3" w:firstLine="539"/>
              <w:jc w:val="both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Подрядчик  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101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20" w:type="dxa"/>
            <w:textDirection w:val="lrTb"/>
            <w:noWrap w:val="false"/>
          </w:tcPr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b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pacing w:val="-3"/>
                <w:lang w:eastAsia="ru-RU"/>
              </w:rPr>
              <w:t xml:space="preserve">Муниципальное бюджетное учреждение «Благоустройство» Агалатовского сельского поселения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b/>
                <w:spacing w:val="-3"/>
                <w:lang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b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pacing w:val="-3"/>
                <w:lang w:eastAsia="ru-RU"/>
              </w:rPr>
              <w:t xml:space="preserve">(МБУ «Благоустройство»)</w:t>
            </w:r>
            <w:r>
              <w:rPr>
                <w:rFonts w:ascii="Times New Roman" w:hAnsi="Times New Roman" w:cs="Times New Roman"/>
                <w:b/>
                <w:spacing w:val="-3"/>
                <w:lang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Юр. адрес: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188653, Ленинградская обл., м.р-н Всеволожский, с.п.Агалатовское, д.Агалатово, д.158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spacing w:val="-3"/>
                <w:lang w:val="en-US" w:eastAsia="ru-RU"/>
              </w:rPr>
            </w:pPr>
            <w:r>
              <w:rPr>
                <w:rFonts w:ascii="Times New Roman" w:hAnsi="Times New Roman" w:cs="Times New Roman"/>
                <w:spacing w:val="-3"/>
                <w:lang w:val="en-US" w:eastAsia="ru-RU"/>
              </w:rPr>
              <w:t xml:space="preserve">E-mail: </w:t>
            </w:r>
            <w:hyperlink r:id="rId10" w:tooltip="mailto:mbu@agalatovoadm.ru" w:history="1">
              <w:r>
                <w:rPr>
                  <w:rStyle w:val="855"/>
                  <w:rFonts w:ascii="Times New Roman" w:hAnsi="Times New Roman" w:cs="Times New Roman"/>
                  <w:spacing w:val="-3"/>
                  <w:lang w:val="en-US" w:eastAsia="ru-RU"/>
                </w:rPr>
                <w:t xml:space="preserve">mbu@agalatovoadm.ru</w:t>
              </w:r>
            </w:hyperlink>
            <w:r/>
            <w:r>
              <w:rPr>
                <w:rFonts w:ascii="Times New Roman" w:hAnsi="Times New Roman" w:cs="Times New Roman"/>
                <w:spacing w:val="-3"/>
                <w:lang w:val="en-US"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spacing w:val="-3"/>
                <w:lang w:val="en-US" w:eastAsia="ru-RU"/>
              </w:rPr>
            </w:pPr>
            <w:r>
              <w:rPr>
                <w:rFonts w:ascii="Times New Roman" w:hAnsi="Times New Roman" w:cs="Times New Roman"/>
                <w:spacing w:val="-3"/>
                <w:lang w:val="en-US" w:eastAsia="ru-RU"/>
              </w:rPr>
            </w:r>
            <w:r>
              <w:rPr>
                <w:rFonts w:ascii="Times New Roman" w:hAnsi="Times New Roman" w:cs="Times New Roman"/>
                <w:spacing w:val="-3"/>
                <w:lang w:val="en-US"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spacing w:val="-3"/>
                <w:lang w:val="en-US"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ИНН</w:t>
            </w:r>
            <w:r>
              <w:rPr>
                <w:rFonts w:ascii="Times New Roman" w:hAnsi="Times New Roman" w:cs="Times New Roman"/>
                <w:spacing w:val="-3"/>
                <w:lang w:val="en-US" w:eastAsia="ru-RU"/>
              </w:rPr>
              <w:t xml:space="preserve">   4703133570 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КПП</w:t>
            </w:r>
            <w:r>
              <w:rPr>
                <w:rFonts w:ascii="Times New Roman" w:hAnsi="Times New Roman" w:cs="Times New Roman"/>
                <w:spacing w:val="-3"/>
                <w:lang w:val="en-US" w:eastAsia="ru-RU"/>
              </w:rPr>
              <w:t xml:space="preserve"> 470301001 </w:t>
            </w:r>
            <w:r>
              <w:rPr>
                <w:rFonts w:ascii="Times New Roman" w:hAnsi="Times New Roman" w:cs="Times New Roman"/>
                <w:spacing w:val="-3"/>
                <w:lang w:val="en-US"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ОГРН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 1134703001784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КФ администрации Всеволожского муниципального района (МБУ «Благоустройство» л/с 20001410117)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р/с 03231643416124084501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ind w:left="63" w:right="171"/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Банк : БИК 044030098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spacing w:after="0" w:line="17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/>
            <w:bookmarkStart w:id="1" w:name="undefined"/>
            <w:r>
              <w:rPr>
                <w:rFonts w:ascii="Times New Roman" w:hAnsi="Times New Roman"/>
              </w:rPr>
              <w:t xml:space="preserve"> ОКЦ №1 Северо-Западного ГУ Банка России</w:t>
            </w:r>
            <w:bookmarkEnd w:id="1"/>
            <w:r/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ind w:left="63" w:right="171"/>
              <w:spacing w:after="0" w:line="17" w:lineRule="atLeast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сч. 40102810745370000098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ind w:left="63"/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И.о. директора</w:t>
            </w:r>
            <w:r>
              <w:t xml:space="preserve"> 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МБУ «Благоустройство»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ind w:left="63"/>
              <w:spacing w:after="0" w:line="240" w:lineRule="auto"/>
              <w:rPr>
                <w:highlight w:val="none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  <w:t xml:space="preserve">_________________</w:t>
            </w:r>
            <w:r>
              <w:t xml:space="preserve"> 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</w:p>
          <w:p>
            <w:pPr>
              <w:ind w:left="63"/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ind w:left="63"/>
              <w:spacing w:after="0" w:line="240" w:lineRule="auto"/>
              <w:rPr>
                <w:rFonts w:ascii="Times New Roman" w:hAnsi="Times New Roman" w:cs="Times New Roman"/>
                <w:spacing w:val="-3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</w:rPr>
              <w:t xml:space="preserve">МП.</w:t>
            </w:r>
            <w:r>
              <w:rPr>
                <w:rFonts w:ascii="Times New Roman" w:hAnsi="Times New Roman" w:cs="Times New Roman"/>
                <w:spacing w:val="-3"/>
                <w:lang w:eastAsia="ru-RU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11" w:type="dxa"/>
            <w:textDirection w:val="lrTb"/>
            <w:noWrap w:val="false"/>
          </w:tcPr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ascii="Times New Roman" w:hAnsi="Times New Roman" w:eastAsia="Calibri" w:cs="Times New Roman"/>
                <w:b/>
                <w:bCs/>
              </w:rPr>
            </w:r>
            <w:r>
              <w:rPr>
                <w:rFonts w:ascii="Times New Roman" w:hAnsi="Times New Roman" w:eastAsia="Calibri" w:cs="Times New Roman"/>
                <w:b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  <w:t xml:space="preserve">_______________________</w:t>
            </w:r>
            <w:r>
              <w:rPr>
                <w:rFonts w:ascii="Times New Roman" w:hAnsi="Times New Roman" w:eastAsia="Calibri" w:cs="Times New Roman"/>
                <w:bCs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</w:rPr>
            </w:r>
          </w:p>
          <w:p>
            <w:pPr>
              <w:ind w:right="-3"/>
              <w:spacing w:after="0" w:line="240" w:lineRule="auto"/>
              <w:tabs>
                <w:tab w:val="left" w:pos="9540" w:leader="none"/>
                <w:tab w:val="left" w:pos="9900" w:leader="none"/>
              </w:tabs>
              <w:rPr>
                <w:rFonts w:ascii="Times New Roman" w:hAnsi="Times New Roman" w:eastAsia="Calibri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  <w:t xml:space="preserve"> МП.</w:t>
            </w:r>
            <w:r>
              <w:rPr>
                <w:rFonts w:ascii="Times New Roman" w:hAnsi="Times New Roman" w:eastAsia="Calibri" w:cs="Times New Roman"/>
                <w:bCs/>
              </w:rPr>
            </w:r>
          </w:p>
        </w:tc>
      </w:tr>
    </w:tbl>
    <w:p>
      <w:pPr>
        <w:ind w:firstLine="567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ind w:left="360"/>
        <w:jc w:val="right"/>
        <w:spacing w:after="0" w:line="240" w:lineRule="auto"/>
        <w:rPr>
          <w:rFonts w:ascii="Times New Roman" w:hAnsi="Times New Roman" w:cs="Times New Roman"/>
          <w:sz w:val="24"/>
          <w:szCs w:val="20"/>
        </w:rPr>
        <w:sectPr>
          <w:footerReference w:type="default" r:id="rId9"/>
          <w:footnotePr/>
          <w:endnotePr/>
          <w:type w:val="nextPage"/>
          <w:pgSz w:w="11906" w:h="16838" w:orient="portrait"/>
          <w:pgMar w:top="709" w:right="851" w:bottom="709" w:left="709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0"/>
        </w:rPr>
      </w:r>
      <w:r>
        <w:rPr>
          <w:rFonts w:ascii="Times New Roman" w:hAnsi="Times New Roman" w:cs="Times New Roman"/>
          <w:sz w:val="24"/>
          <w:szCs w:val="20"/>
        </w:rPr>
      </w:r>
    </w:p>
    <w:p>
      <w:pPr>
        <w:ind w:left="360"/>
        <w:jc w:val="right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0"/>
        </w:rPr>
        <w:t xml:space="preserve">Приложение №1 к Договору № </w:t>
      </w:r>
      <w:r>
        <w:rPr>
          <w:rFonts w:ascii="Times New Roman" w:hAnsi="Times New Roman" w:cs="Times New Roman"/>
          <w:sz w:val="24"/>
          <w:szCs w:val="20"/>
        </w:rPr>
        <w:t xml:space="preserve">________________</w:t>
      </w:r>
      <w:r>
        <w:rPr>
          <w:rFonts w:ascii="Times New Roman" w:hAnsi="Times New Roman" w:cs="Times New Roman"/>
          <w:sz w:val="24"/>
          <w:szCs w:val="20"/>
        </w:rPr>
        <w:t xml:space="preserve"> от «</w:t>
      </w:r>
      <w:r>
        <w:rPr>
          <w:rFonts w:ascii="Times New Roman" w:hAnsi="Times New Roman" w:cs="Times New Roman"/>
          <w:sz w:val="24"/>
          <w:szCs w:val="20"/>
        </w:rPr>
        <w:t xml:space="preserve">_____</w:t>
      </w:r>
      <w:r>
        <w:rPr>
          <w:rFonts w:ascii="Times New Roman" w:hAnsi="Times New Roman" w:cs="Times New Roman"/>
          <w:sz w:val="24"/>
          <w:szCs w:val="20"/>
        </w:rPr>
        <w:t xml:space="preserve">» </w:t>
      </w:r>
      <w:r>
        <w:rPr>
          <w:rFonts w:ascii="Times New Roman" w:hAnsi="Times New Roman" w:cs="Times New Roman"/>
          <w:sz w:val="24"/>
          <w:szCs w:val="20"/>
        </w:rPr>
        <w:t xml:space="preserve">_______</w:t>
      </w:r>
      <w:r>
        <w:rPr>
          <w:rFonts w:ascii="Times New Roman" w:hAnsi="Times New Roman" w:cs="Times New Roman"/>
          <w:sz w:val="24"/>
          <w:szCs w:val="20"/>
        </w:rPr>
        <w:t xml:space="preserve">2026г.</w:t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tbl>
      <w:tblPr>
        <w:tblW w:w="15922" w:type="dxa"/>
        <w:tblInd w:w="-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9"/>
        <w:gridCol w:w="3093"/>
      </w:tblGrid>
      <w:tr>
        <w:tblPrEx/>
        <w:trPr>
          <w:cantSplit/>
          <w:trHeight w:val="20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922" w:type="dxa"/>
            <w:textDirection w:val="lrTb"/>
            <w:noWrap w:val="false"/>
          </w:tcPr>
          <w:p>
            <w:pPr>
              <w:ind w:right="85"/>
              <w:tabs>
                <w:tab w:val="left" w:pos="9706" w:leader="none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УТВЕРЖДАЮ:</w:t>
            </w: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</w:rPr>
              <w:t xml:space="preserve">СОГЛАСОВАНО: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cantSplit/>
          <w:trHeight w:val="20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922" w:type="dxa"/>
            <w:textDirection w:val="lrTb"/>
            <w:noWrap w:val="false"/>
          </w:tcPr>
          <w:p>
            <w:pPr>
              <w:ind w:right="85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И.о.директора МБУ «Благоустройство»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 xml:space="preserve">                                                                                       </w:t>
            </w:r>
            <w:r>
              <w:rPr>
                <w:rFonts w:ascii="Times New Roman" w:hAnsi="Times New Roman"/>
              </w:rPr>
              <w:t xml:space="preserve">____________________________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 xml:space="preserve">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85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tabs>
                <w:tab w:val="left" w:pos="11170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_________________ /</w:t>
            </w:r>
            <w:r>
              <w:t xml:space="preserve"> </w:t>
            </w:r>
            <w:r>
              <w:t xml:space="preserve">М.В.Давыдова</w:t>
            </w:r>
            <w:r>
              <w:rPr>
                <w:rFonts w:ascii="Times New Roman" w:hAnsi="Times New Roman"/>
              </w:rPr>
              <w:t xml:space="preserve">/                                                                                                  ________________ /</w:t>
            </w:r>
            <w:r>
              <w:rPr>
                <w:rFonts w:ascii="Times New Roman" w:hAnsi="Times New Roman"/>
              </w:rPr>
              <w:t xml:space="preserve">________________</w:t>
            </w:r>
            <w:r>
              <w:rPr>
                <w:rFonts w:ascii="Times New Roman" w:hAnsi="Times New Roman"/>
              </w:rPr>
              <w:t xml:space="preserve">/ 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tabs>
                <w:tab w:val="left" w:pos="11170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left="360"/>
        <w:jc w:val="right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0"/>
          <w:highlight w:val="none"/>
        </w:rPr>
      </w:r>
      <w:r>
        <w:rPr>
          <w:rFonts w:ascii="Times New Roman" w:hAnsi="Times New Roman" w:cs="Times New Roman"/>
          <w:sz w:val="24"/>
          <w:szCs w:val="20"/>
          <w:highlight w:val="none"/>
        </w:rPr>
      </w:r>
    </w:p>
    <w:tbl>
      <w:tblPr>
        <w:tblStyle w:val="702"/>
        <w:tblW w:w="15138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2"/>
        <w:gridCol w:w="1000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>
        <w:tblPrEx/>
        <w:trPr>
          <w:trHeight w:val="275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8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Наименование программного продукта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32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SmetaWIZARD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735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8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Наименование редакции сметных нормативов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32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3495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8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Реквизиты приказа Минстроя России об утверждении дополнений и изменений к сметным нормативам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32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Приказ Минстроя России от 17.02.2026 № 91/пр; Приказ Минстроя России от 15.05.2026 № 301/пр; Приказ Минстроя России от 09.07.2026 № 435/пр; Приказ Минстроя России от 12.08.2026 № 527/пр; Приказ Минстроя России от 07.07.2022 № 557/пр; Приказ Минстроя Росси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 от 30.01.2024 № 55/пр; Приказ Минстроя России от 23.01.2025 № 30/пр; Приказ Минстроя России от 30.01.2026 № 42/пр; Приказ Минстроя России от 02.09.2021 № 636/пр, Приказ Минстроя России от 26.07.2022 № 611/пр; Приказ Минстроя России от 22.04.2022 № 317/пр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874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8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32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Письмо Минстроя России от 24.08.2026 № 52419-ИФ/09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954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8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32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Постановление Правительства Ленинградской области  от 06.04.2026 № 275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8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Обоснование принятых текущих цен на строительные ресурсы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32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ФГИС ЦС, конъюнктурный анализ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8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Наименование субъекта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32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Ленинградская область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64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8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Наименование зоны субъекта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32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  <w:t xml:space="preserve">(наименование стройки)</w:t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  <w:t xml:space="preserve">(наименование объекта капитального строительства)</w:t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56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ЛОКАЛЬНЫЙ СМЕТНЫЙ РАСЧЕТ №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89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ЛС-2026-09-08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Выполнение работ по монтажу технических средств организации дорожного движения и нанесению дорожной разметки в д. Агалатово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  <w:t xml:space="preserve">(наименование работ и затрат)</w:t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Составлен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7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ресурсно-индексным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5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методом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Основание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36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1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6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  <w:t xml:space="preserve">(проектная и (или) иная техническая документация)</w:t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3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Составлен в текущем уровне цен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 квартал 2026 г.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68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3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Сметная стоимость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60,05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3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Средства на оплату труда рабочих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42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6,19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3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   в том числе: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3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Средства на оплату труда машинистов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42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3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   строительных работ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60,05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3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Нормативные затраты труда рабочих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42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11,6103059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3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   монтажных работ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3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Нормативные затраты труда машинистов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42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2,124334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3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   оборудования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3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2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3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   прочих затрат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2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35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2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12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98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651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№ п.п.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627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Обоснование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930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Наименование работ и затрат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76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41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Количество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53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Сметная стоимость,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21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651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627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930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76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 единицу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коэффициенты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всего с учетом коэффициентов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 единицу измерения в базисном уровне цен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индекс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 единицу измерения в текущем уровне цен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коэффициенты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всего в текущем уровне цен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gridSpan w:val="2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Раздел 1. &lt;Раздел&gt;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ГЭСН27-09-009-01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Установка дорожных знаков на сборных железобетонных фундаментах и металлических стойках массой: до 25 кг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V=5,25*4,5*1/1000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 стоек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0,023625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0,023625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 (ЗТ)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9,6241163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5 092,5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1-100-29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Средний разряд работы 2,9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407,37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9,6241163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529,14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5 092,5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ЭМ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2 033,72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1,0352476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780,05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9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[91.04.01-031]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Машины бурильно-крановые на автомобильном ходу, диаметр бурения до 800 мм, глубина бурения до 5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11,83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0,2794838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2 088,77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2 840,73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793,94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4-100-050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Средний разряд машинистов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11,83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0,2794838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690,57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193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91.05.05-015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Краны на автомобильном ходу, грузоподъемность 16 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26,82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0,6336225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1 792,05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1 135,48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4-100-060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Средний разряд машинистов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26,82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0,6336225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807,16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511,43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91.06.05-011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1,05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0,0248063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1 676,4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41,59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4-100-050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Средний разряд машинистов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1,05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0,0248063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690,57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17,13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91.14.02-001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Автомобили бортовые, грузоподъемность до 5 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4,12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0,097335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644,27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62,71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4-100-040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Средний разряд машинистов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4,12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0,097335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600,88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58,49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666,01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02.3.01.02-1118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Песок природный для строительных работ II класс, средний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15,95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0,3768188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1 167,06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439,77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[08.1.02.11-0001]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Поковки из квадратных заготовок, масса 1,5-4,5 кг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0,116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0,0027405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55 898,18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76 021,52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208,34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[14.4.01.01-0003]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Грунтовка ГФ-021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0,0756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51,3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82,59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6,24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[14.4.02.04-0142]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Краска масляная МА-0115, мумия, сурик железный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0,94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0,0222075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79,88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1,51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120,62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2,68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7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[14.5.05.01-0011]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Олифа комбинированная для отделочных работ внутри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0,00396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0,0000936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65 007,69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81 909,69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[14.5.09.07-0022]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Растворитель № 646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0,00056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0,0000132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67 231,42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99 502,5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04.1.02.05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Смеси бетонные тяжелого бетона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5,66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0,1337175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 прямые затраты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8 572,28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8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[01.5.03.03-0023]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Знак дорожный на оцинкованной подоснове со световозвращающей пленкой типа А, размеры 700х700 мм, тип 2.1, 2.2, 2.7, 5.5, 5.6, 5.8-5.14, 5.15.2-5.15.6, 5.19.1, 5.19.2, 5.20, 6.2, 6.3.1, 6.3.2, 6.4-6.7, 6.8.1-6.8.3, 8.1.2, 8.13_6.4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42,328042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1 108,69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1 197,39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1 197,39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4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[01.5.03.03-0021]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Знак дорожный на оцинкованной подоснове со световозвращающей пленкой типа А, размеры 350х700 мм, тип 8.1.1, 8.1.3-8.12, 8.14-8.21.3_8.2.6 и 8.17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84,656084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661,85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714,8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1 429,6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9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1.3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[01.5.03.05-0338]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Стойка (опора) металлическая для дорожных знаков, оцинкованная, диаметр 76 мм, толщина стенки 3 мм, длина 4000 мм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42,328042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3 350,51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3 618,55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3 618,55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9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1.4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[01.5.03.05-0340]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Стойка (опора) металлическая для дорожных знаков, оцинкованная, диаметр 76 мм, толщина стенки 3 мм, длина 4500 мм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42,328042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3 761,44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4 062,36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4 062,36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9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1.5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[05.1.05.15-0012]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Фундаменты под столбы оград железобетонные, объем до 0,9 м3, бетон В22,5, расход арматуры от 50 до 100 кг/м3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5,417989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0,128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15 438,24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20 532,86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2 628,21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ФОТ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5 872,55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Пр/812-021.0-1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НР Автомобильные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147%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147%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8 632,65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Пр/774-021.0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СП Автомобильные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134%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134%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7 869,22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Всего по позиции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1 608 899,89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38 010,26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ГЭСН27-09-012-01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При установке дополнительных щитков добавлять к нормам таблиц с 27-09-008 по 27-09-011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V=(3-1)/100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100 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 (ЗТ)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736,4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1-100-30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Средний разряд работы 3,0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533,62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736,4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72,98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[08.1.02.11-0001]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Поковки из квадратных заготовок, масса 1,5-4,5 кг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0,00096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55 898,18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76 021,52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72,98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01.5.03.03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Знаки дорожные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 прямые затраты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809,38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ФОТ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736,4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Пр/812-021.0-1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НР Автомобильные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147%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147%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1 082,51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Пр/774-021.0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СП Автомобильные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134%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134%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986,78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Всего по позиции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143 933,5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2 878,67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6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ГЭСН27-09-018-01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Нанесение линии горизонтальной дорожной разметки краской со световозвращающими элементами на дорожное покрытие (асфальт, поверхностная обработка)_1.1, 1.24.3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V=(23,22+3,25+2,07)/100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100 м2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0,2854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0,2854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2022-19-ГЭСН-ПР-27-03-3.1-000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Производство работ на одной половине проезжей части при систематическом движении транспорта на другой (Кэм=1,2; Кзт=1,2; Кзтм=1,2)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 (ЗТ)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0,6061896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364,25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1-100-40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Средний разряд работы 4,0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1,77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0,6061896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600,88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364,25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ЭМ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1 245,89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righ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1,0890864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770,28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9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[91.13.01-032]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Машины дорожной службы (машина дорожного мастера), мощность двигателя 80 кВт (109 л.с.)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0,86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0,2945328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865,46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1 228,95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361,97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4-100-040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Средний разряд машинистов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0,86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0,2945328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600,88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176,98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4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[91.13.01-037]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Машины разметочные на базе автомобиля для нанесения краски со световозвращающими элементами, вместимость бака для краски 650 кг, для стеклошариков 160 кг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0,82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0,2808336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1 462,96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1 901,85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534,1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4-100-060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Средний разряд машинистов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1,64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0,5616672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807,16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453,36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91.13.01-038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Машины поливомоечные, вместимость цистерны 6 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маш.-ч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0,2328864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1 502,09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349,82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4-100-040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ОТм (ЗТм)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Средний разряд машинистов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чел.-ч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0,2328864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600,88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139,94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 прямые затраты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2 380,42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14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01.5.01.01-1000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Краска для дорожной разметки автомобильных дорог, суспензия пигментов и наполнителей в акриловом сополимере с модифицирующими добавками, цвет белый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кг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15,697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176,3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2 767,38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ФОТ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1 134,53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Пр/812-021.0-1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НР Автомобильные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147%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147%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1 667,76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Пр/774-021.0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СП Автомобильные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134%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134%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1 520,27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3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Всего по позиции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9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29 207,53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8 335,83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Итого прямые затраты по разделу 1. &lt;Раздел&gt;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27 465,57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   в том числе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оплата труда (ОТ)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6 193,15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эксплуатация машин и механизмов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3 279,61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оплата труда машинистов (ОТм)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1 550,33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материальные ресурсы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16 442,48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перевозка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 ФОТ (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справочно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7 743,48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 накладные расходы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11 382,92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 сметная прибыль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10 376,27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 оборудование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 прочие затраты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Итого по разделу 1. &lt;Раздел&gt;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49 224,76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   в том числе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материальные ресурсы, отсутствующие в ФРСН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оборудование, отсутствующее в ФРСН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   справочно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затраты труда рабочих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11,6103059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затраты труда машинистов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2,124334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ИТОГИ ПО СМЕТЕ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ВСЕГО строительные работы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49 224,76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   в том числе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прямые затраты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27 465,57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      в том числе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оплата труда (ОТ)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6 193,15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эксплуатация машин и механизмов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3 279,61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оплата труда машинистов (ОТм)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1 550,33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материальные ресурсы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16 442,48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ФОТ (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справочно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7 743,48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накладные расходы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11 382,92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сметная прибыль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10 376,27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ВСЕГО по смете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49 224,76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   в том числе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прямые затраты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27 465,57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      в том числе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оплата труда (ОТ)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6 193,15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эксплуатация машин и механизмов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3 279,61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оплата труда машинистов (ОТм)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1 550,33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материальные ресурсы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16 442,48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   перевозка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ФОТ (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lang w:val="ru-RU" w:bidi="ru-RU"/>
              </w:rPr>
              <w:t xml:space="preserve">справочно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7 743,48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накладные расходы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11 382,92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сметная прибыль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10 376,27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оборудование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Всего прочие затраты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2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0"/>
                <w:szCs w:val="20"/>
                <w:lang w:val="ru-RU" w:bidi="ru-RU"/>
              </w:rPr>
              <w:t xml:space="preserve">Справочно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материальные ресурсы, отсутствующие в ФРСН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оборудование, отсутствующее в ФРСН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затраты труда рабочих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11,6103059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  затраты труда машинистов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2,124334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НДС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(49 224,76*22%) = 10 829,45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22%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10 829,45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7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06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4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40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60 054,21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Составил: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08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2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8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  <w:t xml:space="preserve">[должность, подпись (инициалы, фамилия)]</w:t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2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7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Проверил: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08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2" w:type="dxa"/>
            <w:vAlign w:val="top"/>
            <w:vMerge w:val="restart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  <w:tc>
          <w:tcPr>
            <w:gridSpan w:val="14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83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  <w:t xml:space="preserve">[должность, подпись (инициалы, фамилия)]</w:t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sz w:val="16"/>
                <w:szCs w:val="16"/>
                <w:lang w:val="ru-RU" w:bidi="ru-RU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2" w:type="dxa"/>
            <w:vAlign w:val="top"/>
            <w:vMerge w:val="continue"/>
            <w:textDirection w:val="lrTb"/>
            <w:noWrap w:val="false"/>
          </w:tcPr>
          <w:p>
            <w:pPr>
              <w:ind w:left="28" w:right="28" w:firstLine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  <w:tr>
        <w:tblPrEx/>
        <w:trPr>
          <w:trHeight w:val="255"/>
        </w:trPr>
        <w:tc>
          <w:tcPr>
            <w:gridSpan w:val="2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138" w:type="dxa"/>
            <w:vAlign w:val="top"/>
            <w:textDirection w:val="lrTb"/>
            <w:noWrap w:val="false"/>
          </w:tcPr>
          <w:p>
            <w:pPr>
              <w:ind w:left="28" w:right="28" w:firstLine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</w:p>
        </w:tc>
      </w:tr>
    </w:tbl>
    <w:p>
      <w:pPr>
        <w:ind w:left="0" w:right="0" w:firstLine="0"/>
        <w:jc w:val="left"/>
        <w:spacing w:before="0" w:after="160" w:line="259" w:lineRule="auto"/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</w:p>
    <w:p>
      <w:pPr>
        <w:ind w:left="360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0"/>
          <w:highlight w:val="none"/>
        </w:rPr>
      </w:r>
      <w:r>
        <w:rPr>
          <w:rFonts w:ascii="Times New Roman" w:hAnsi="Times New Roman" w:cs="Times New Roman"/>
          <w:sz w:val="24"/>
          <w:szCs w:val="20"/>
          <w:highlight w:val="none"/>
        </w:rPr>
      </w:r>
    </w:p>
    <w:sectPr>
      <w:footnotePr/>
      <w:endnotePr/>
      <w:type w:val="nextPage"/>
      <w:pgSz w:w="16838" w:h="11906" w:orient="landscape"/>
      <w:pgMar w:top="851" w:right="709" w:bottom="709" w:left="709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</w:t>
    </w:r>
    <w: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ascii="Times New Roman" w:hAnsi="Times New Roman" w:cs="Times New Roman"/>
        <w:b w:val="0"/>
        <w:bCs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rFonts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rFonts w:ascii="Times New Roman" w:hAnsi="Times New Roman"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0" w:leader="none"/>
        </w:tabs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0" w:leader="none"/>
        </w:tabs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95" w:hanging="495"/>
        <w:tabs>
          <w:tab w:val="num" w:pos="495" w:leader="none"/>
        </w:tabs>
      </w:pPr>
      <w:rPr>
        <w:rFonts w:ascii="Times New Roman" w:hAnsi="Times New Roman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675" w:hanging="495"/>
        <w:tabs>
          <w:tab w:val="num" w:pos="675" w:leader="none"/>
        </w:tabs>
      </w:pPr>
      <w:rPr>
        <w:rFonts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  <w:tabs>
          <w:tab w:val="num" w:pos="1080" w:leader="none"/>
        </w:tabs>
      </w:pPr>
      <w:rPr>
        <w:rFonts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60" w:hanging="720"/>
        <w:tabs>
          <w:tab w:val="num" w:pos="1260" w:leader="none"/>
        </w:tabs>
      </w:pPr>
      <w:rPr>
        <w:rFonts w:ascii="Times New Roman" w:hAnsi="Times New Roman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00" w:hanging="1080"/>
        <w:tabs>
          <w:tab w:val="num" w:pos="1800" w:leader="none"/>
        </w:tabs>
      </w:pPr>
      <w:rPr>
        <w:rFonts w:ascii="Times New Roman" w:hAnsi="Times New Roman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80" w:hanging="1080"/>
        <w:tabs>
          <w:tab w:val="num" w:pos="1980" w:leader="none"/>
        </w:tabs>
      </w:pPr>
      <w:rPr>
        <w:rFonts w:ascii="Times New Roman" w:hAnsi="Times New Roman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20" w:hanging="1440"/>
        <w:tabs>
          <w:tab w:val="num" w:pos="2520" w:leader="none"/>
        </w:tabs>
      </w:pPr>
      <w:rPr>
        <w:rFonts w:ascii="Times New Roman" w:hAnsi="Times New Roman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00" w:hanging="1440"/>
        <w:tabs>
          <w:tab w:val="num" w:pos="2700" w:leader="none"/>
        </w:tabs>
      </w:pPr>
      <w:rPr>
        <w:rFonts w:ascii="Times New Roman" w:hAnsi="Times New Roman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40" w:hanging="1800"/>
        <w:tabs>
          <w:tab w:val="num" w:pos="3240" w:leader="none"/>
        </w:tabs>
      </w:pPr>
      <w:rPr>
        <w:rFonts w:ascii="Times New Roman" w:hAnsi="Times New Roman" w:cs="Times New Roman"/>
      </w:rPr>
    </w:lvl>
  </w:abstractNum>
  <w:abstractNum w:abstractNumId="3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9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55" w:hanging="180"/>
      </w:pPr>
    </w:lvl>
  </w:abstractNum>
  <w:abstractNum w:abstractNumId="4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405" w:hanging="405"/>
      </w:pPr>
    </w:lvl>
    <w:lvl w:ilvl="1">
      <w:start w:val="1"/>
      <w:numFmt w:val="decimal"/>
      <w:isLgl w:val="false"/>
      <w:suff w:val="tab"/>
      <w:lvlText w:val="%1.%2."/>
      <w:lvlJc w:val="left"/>
      <w:pPr>
        <w:ind w:left="1020" w:hanging="405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5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565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5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15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77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45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60" w:hanging="1440"/>
      </w:p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405" w:hanging="405"/>
      </w:pPr>
    </w:lvl>
    <w:lvl w:ilvl="1">
      <w:start w:val="1"/>
      <w:numFmt w:val="decimal"/>
      <w:isLgl w:val="false"/>
      <w:suff w:val="tab"/>
      <w:lvlText w:val="%1.%2."/>
      <w:lvlJc w:val="left"/>
      <w:pPr>
        <w:ind w:left="547" w:hanging="405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756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080" w:hanging="1440"/>
      </w:p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05" w:hanging="705"/>
        <w:tabs>
          <w:tab w:val="num" w:pos="705" w:leader="none"/>
        </w:tabs>
      </w:pPr>
      <w:rPr>
        <w:rFonts w:ascii="Times New Roman" w:hAnsi="Times New Roman" w:cs="Times New Roman"/>
      </w:rPr>
    </w:lvl>
    <w:lvl w:ilvl="1">
      <w:start w:val="3"/>
      <w:numFmt w:val="decimal"/>
      <w:isLgl w:val="false"/>
      <w:suff w:val="tab"/>
      <w:lvlText w:val="%1.%2."/>
      <w:lvlJc w:val="left"/>
      <w:pPr>
        <w:ind w:left="885" w:hanging="705"/>
        <w:tabs>
          <w:tab w:val="num" w:pos="885" w:leader="none"/>
        </w:tabs>
      </w:pPr>
      <w:rPr>
        <w:rFonts w:ascii="Times New Roman" w:hAnsi="Times New Roman" w:cs="Times New Roman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080" w:hanging="720"/>
        <w:tabs>
          <w:tab w:val="num" w:pos="1080" w:leader="none"/>
        </w:tabs>
      </w:pPr>
      <w:rPr>
        <w:rFonts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60" w:hanging="720"/>
        <w:tabs>
          <w:tab w:val="num" w:pos="1260" w:leader="none"/>
        </w:tabs>
      </w:pPr>
      <w:rPr>
        <w:rFonts w:ascii="Times New Roman" w:hAnsi="Times New Roman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00" w:hanging="1080"/>
        <w:tabs>
          <w:tab w:val="num" w:pos="1800" w:leader="none"/>
        </w:tabs>
      </w:pPr>
      <w:rPr>
        <w:rFonts w:ascii="Times New Roman" w:hAnsi="Times New Roman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80" w:hanging="1080"/>
        <w:tabs>
          <w:tab w:val="num" w:pos="1980" w:leader="none"/>
        </w:tabs>
      </w:pPr>
      <w:rPr>
        <w:rFonts w:ascii="Times New Roman" w:hAnsi="Times New Roman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20" w:hanging="1440"/>
        <w:tabs>
          <w:tab w:val="num" w:pos="2520" w:leader="none"/>
        </w:tabs>
      </w:pPr>
      <w:rPr>
        <w:rFonts w:ascii="Times New Roman" w:hAnsi="Times New Roman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00" w:hanging="1440"/>
        <w:tabs>
          <w:tab w:val="num" w:pos="2700" w:leader="none"/>
        </w:tabs>
      </w:pPr>
      <w:rPr>
        <w:rFonts w:ascii="Times New Roman" w:hAnsi="Times New Roman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40" w:hanging="1800"/>
        <w:tabs>
          <w:tab w:val="num" w:pos="3240" w:leader="none"/>
        </w:tabs>
      </w:pPr>
      <w:rPr>
        <w:rFonts w:ascii="Times New Roman" w:hAnsi="Times New Roman"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</w:lvl>
  </w:abstractNum>
  <w:abstractNum w:abstractNumId="8">
    <w:multiLevelType w:val="hybridMultilevel"/>
    <w:lvl w:ilvl="0">
      <w:start w:val="10"/>
      <w:numFmt w:val="decimal"/>
      <w:isLgl w:val="false"/>
      <w:suff w:val="tab"/>
      <w:lvlText w:val="%1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600" w:hanging="72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5400" w:hanging="108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200" w:hanging="1440"/>
      </w:pPr>
    </w:lvl>
  </w:abstractNum>
  <w:abstractNum w:abstractNumId="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ascii="Times New Roman" w:hAnsi="Times New Roman"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50" w:hanging="435"/>
        <w:tabs>
          <w:tab w:val="num" w:pos="1050" w:leader="none"/>
        </w:tabs>
      </w:pPr>
      <w:rPr>
        <w:rFonts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50" w:hanging="720"/>
        <w:tabs>
          <w:tab w:val="num" w:pos="1950" w:leader="none"/>
        </w:tabs>
      </w:pPr>
      <w:rPr>
        <w:rFonts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65" w:hanging="720"/>
        <w:tabs>
          <w:tab w:val="num" w:pos="2565" w:leader="none"/>
        </w:tabs>
      </w:pPr>
      <w:rPr>
        <w:rFonts w:ascii="Times New Roman" w:hAnsi="Times New Roman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540" w:hanging="1080"/>
        <w:tabs>
          <w:tab w:val="num" w:pos="3540" w:leader="none"/>
        </w:tabs>
      </w:pPr>
      <w:rPr>
        <w:rFonts w:ascii="Times New Roman" w:hAnsi="Times New Roman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55" w:hanging="1080"/>
        <w:tabs>
          <w:tab w:val="num" w:pos="4155" w:leader="none"/>
        </w:tabs>
      </w:pPr>
      <w:rPr>
        <w:rFonts w:ascii="Times New Roman" w:hAnsi="Times New Roman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130" w:hanging="1440"/>
        <w:tabs>
          <w:tab w:val="num" w:pos="5130" w:leader="none"/>
        </w:tabs>
      </w:pPr>
      <w:rPr>
        <w:rFonts w:ascii="Times New Roman" w:hAnsi="Times New Roman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45" w:hanging="1440"/>
        <w:tabs>
          <w:tab w:val="num" w:pos="5745" w:leader="none"/>
        </w:tabs>
      </w:pPr>
      <w:rPr>
        <w:rFonts w:ascii="Times New Roman" w:hAnsi="Times New Roman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720" w:hanging="1800"/>
        <w:tabs>
          <w:tab w:val="num" w:pos="6720" w:leader="none"/>
        </w:tabs>
      </w:pPr>
      <w:rPr>
        <w:rFonts w:ascii="Times New Roman" w:hAnsi="Times New Roman" w:cs="Times New Roman"/>
      </w:r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95" w:hanging="495"/>
        <w:tabs>
          <w:tab w:val="num" w:pos="495" w:leader="none"/>
        </w:tabs>
      </w:pPr>
    </w:lvl>
    <w:lvl w:ilvl="1">
      <w:start w:val="3"/>
      <w:numFmt w:val="decimal"/>
      <w:isLgl w:val="false"/>
      <w:suff w:val="tab"/>
      <w:lvlText w:val="%1.%2."/>
      <w:lvlJc w:val="left"/>
      <w:pPr>
        <w:ind w:left="675" w:hanging="495"/>
        <w:tabs>
          <w:tab w:val="num" w:pos="675" w:leader="none"/>
        </w:tabs>
      </w:pPr>
    </w:lvl>
    <w:lvl w:ilvl="2">
      <w:start w:val="2"/>
      <w:numFmt w:val="decimal"/>
      <w:isLgl w:val="false"/>
      <w:suff w:val="tab"/>
      <w:lvlText w:val="%1.%2.%3."/>
      <w:lvlJc w:val="left"/>
      <w:pPr>
        <w:ind w:left="1080" w:hanging="72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260" w:hanging="720"/>
        <w:tabs>
          <w:tab w:val="num" w:pos="126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800" w:hanging="1080"/>
        <w:tabs>
          <w:tab w:val="num" w:pos="180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980" w:hanging="1080"/>
        <w:tabs>
          <w:tab w:val="num" w:pos="19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520" w:hanging="1440"/>
        <w:tabs>
          <w:tab w:val="num" w:pos="25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00" w:hanging="1440"/>
        <w:tabs>
          <w:tab w:val="num" w:pos="27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40" w:hanging="1800"/>
        <w:tabs>
          <w:tab w:val="num" w:pos="324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-540" w:leader="none"/>
        </w:tabs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-5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-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-5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-5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-5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-5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-5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-540" w:leader="none"/>
        </w:tabs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9"/>
  </w:num>
  <w:num w:numId="5">
    <w:abstractNumId w:val="10"/>
  </w:num>
  <w:num w:numId="6">
    <w:abstractNumId w:val="3"/>
  </w:num>
  <w:num w:numId="7">
    <w:abstractNumId w:val="4"/>
  </w:num>
  <w:num w:numId="8">
    <w:abstractNumId w:val="8"/>
  </w:num>
  <w:num w:numId="9">
    <w:abstractNumId w:val="5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">
    <w:name w:val="Heading 2 Char"/>
    <w:basedOn w:val="701"/>
    <w:link w:val="693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01"/>
    <w:link w:val="694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01"/>
    <w:link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01"/>
    <w:link w:val="715"/>
    <w:uiPriority w:val="10"/>
    <w:rPr>
      <w:sz w:val="48"/>
      <w:szCs w:val="48"/>
    </w:rPr>
  </w:style>
  <w:style w:type="character" w:styleId="37">
    <w:name w:val="Subtitle Char"/>
    <w:basedOn w:val="701"/>
    <w:link w:val="717"/>
    <w:uiPriority w:val="11"/>
    <w:rPr>
      <w:sz w:val="24"/>
      <w:szCs w:val="24"/>
    </w:rPr>
  </w:style>
  <w:style w:type="character" w:styleId="39">
    <w:name w:val="Quote Char"/>
    <w:link w:val="719"/>
    <w:uiPriority w:val="29"/>
    <w:rPr>
      <w:i/>
    </w:rPr>
  </w:style>
  <w:style w:type="character" w:styleId="41">
    <w:name w:val="Intense Quote Char"/>
    <w:link w:val="721"/>
    <w:uiPriority w:val="30"/>
    <w:rPr>
      <w:i/>
    </w:rPr>
  </w:style>
  <w:style w:type="character" w:styleId="47">
    <w:name w:val="Caption Char"/>
    <w:basedOn w:val="701"/>
    <w:link w:val="727"/>
    <w:uiPriority w:val="35"/>
    <w:rPr>
      <w:b/>
      <w:bCs/>
      <w:color w:val="4f81bd" w:themeColor="accent1"/>
      <w:sz w:val="18"/>
      <w:szCs w:val="18"/>
    </w:rPr>
  </w:style>
  <w:style w:type="character" w:styleId="176">
    <w:name w:val="Footnote Text Char"/>
    <w:link w:val="856"/>
    <w:uiPriority w:val="99"/>
    <w:rPr>
      <w:sz w:val="18"/>
    </w:rPr>
  </w:style>
  <w:style w:type="character" w:styleId="179">
    <w:name w:val="Endnote Text Char"/>
    <w:link w:val="859"/>
    <w:uiPriority w:val="99"/>
    <w:rPr>
      <w:sz w:val="20"/>
    </w:rPr>
  </w:style>
  <w:style w:type="paragraph" w:styleId="691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92">
    <w:name w:val="Heading 1"/>
    <w:basedOn w:val="691"/>
    <w:next w:val="691"/>
    <w:link w:val="873"/>
    <w:uiPriority w:val="99"/>
    <w:qFormat/>
    <w:pPr>
      <w:jc w:val="both"/>
      <w:keepNext/>
      <w:spacing w:after="0" w:line="240" w:lineRule="auto"/>
      <w:outlineLvl w:val="0"/>
    </w:pPr>
    <w:rPr>
      <w:rFonts w:cs="Times New Roman"/>
      <w:b/>
      <w:bCs/>
    </w:rPr>
  </w:style>
  <w:style w:type="paragraph" w:styleId="693">
    <w:name w:val="Heading 2"/>
    <w:basedOn w:val="691"/>
    <w:next w:val="691"/>
    <w:link w:val="70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4">
    <w:name w:val="Heading 3"/>
    <w:basedOn w:val="691"/>
    <w:next w:val="691"/>
    <w:link w:val="70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5">
    <w:name w:val="Heading 4"/>
    <w:basedOn w:val="691"/>
    <w:next w:val="691"/>
    <w:link w:val="70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691"/>
    <w:next w:val="691"/>
    <w:link w:val="70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691"/>
    <w:next w:val="691"/>
    <w:link w:val="70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8">
    <w:name w:val="Heading 7"/>
    <w:basedOn w:val="691"/>
    <w:next w:val="691"/>
    <w:link w:val="71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9">
    <w:name w:val="Heading 8"/>
    <w:basedOn w:val="691"/>
    <w:next w:val="691"/>
    <w:link w:val="71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0">
    <w:name w:val="Heading 9"/>
    <w:basedOn w:val="691"/>
    <w:next w:val="691"/>
    <w:link w:val="71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character" w:styleId="704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05" w:customStyle="1">
    <w:name w:val="Заголовок 2 Знак"/>
    <w:link w:val="693"/>
    <w:uiPriority w:val="9"/>
    <w:rPr>
      <w:rFonts w:ascii="Arial" w:hAnsi="Arial" w:eastAsia="Arial" w:cs="Arial"/>
      <w:sz w:val="34"/>
    </w:rPr>
  </w:style>
  <w:style w:type="character" w:styleId="706" w:customStyle="1">
    <w:name w:val="Заголовок 3 Знак"/>
    <w:link w:val="694"/>
    <w:uiPriority w:val="9"/>
    <w:rPr>
      <w:rFonts w:ascii="Arial" w:hAnsi="Arial" w:eastAsia="Arial" w:cs="Arial"/>
      <w:sz w:val="30"/>
      <w:szCs w:val="30"/>
    </w:rPr>
  </w:style>
  <w:style w:type="character" w:styleId="707" w:customStyle="1">
    <w:name w:val="Заголовок 4 Знак"/>
    <w:link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08" w:customStyle="1">
    <w:name w:val="Заголовок 5 Знак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09" w:customStyle="1">
    <w:name w:val="Заголовок 6 Знак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10" w:customStyle="1">
    <w:name w:val="Заголовок 7 Знак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1" w:customStyle="1">
    <w:name w:val="Заголовок 8 Знак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12" w:customStyle="1">
    <w:name w:val="Заголовок 9 Знак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13">
    <w:name w:val="List Paragraph"/>
    <w:basedOn w:val="691"/>
    <w:uiPriority w:val="99"/>
    <w:qFormat/>
    <w:pPr>
      <w:ind w:left="720"/>
    </w:pPr>
  </w:style>
  <w:style w:type="paragraph" w:styleId="714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715">
    <w:name w:val="Title"/>
    <w:basedOn w:val="691"/>
    <w:next w:val="691"/>
    <w:link w:val="716"/>
    <w:uiPriority w:val="10"/>
    <w:qFormat/>
    <w:pPr>
      <w:contextualSpacing/>
      <w:spacing w:before="300"/>
    </w:pPr>
    <w:rPr>
      <w:sz w:val="48"/>
      <w:szCs w:val="48"/>
    </w:rPr>
  </w:style>
  <w:style w:type="character" w:styleId="716" w:customStyle="1">
    <w:name w:val="Заголовок Знак"/>
    <w:link w:val="715"/>
    <w:uiPriority w:val="10"/>
    <w:rPr>
      <w:sz w:val="48"/>
      <w:szCs w:val="48"/>
    </w:rPr>
  </w:style>
  <w:style w:type="paragraph" w:styleId="717">
    <w:name w:val="Subtitle"/>
    <w:basedOn w:val="691"/>
    <w:next w:val="691"/>
    <w:link w:val="718"/>
    <w:uiPriority w:val="11"/>
    <w:qFormat/>
    <w:pPr>
      <w:spacing w:before="200"/>
    </w:pPr>
    <w:rPr>
      <w:sz w:val="24"/>
      <w:szCs w:val="24"/>
    </w:rPr>
  </w:style>
  <w:style w:type="character" w:styleId="718" w:customStyle="1">
    <w:name w:val="Подзаголовок Знак"/>
    <w:link w:val="717"/>
    <w:uiPriority w:val="11"/>
    <w:rPr>
      <w:sz w:val="24"/>
      <w:szCs w:val="24"/>
    </w:rPr>
  </w:style>
  <w:style w:type="paragraph" w:styleId="719">
    <w:name w:val="Quote"/>
    <w:basedOn w:val="691"/>
    <w:next w:val="691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91"/>
    <w:next w:val="691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paragraph" w:styleId="723">
    <w:name w:val="Header"/>
    <w:basedOn w:val="691"/>
    <w:link w:val="87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24" w:customStyle="1">
    <w:name w:val="Header Char"/>
    <w:uiPriority w:val="99"/>
  </w:style>
  <w:style w:type="paragraph" w:styleId="725">
    <w:name w:val="Footer"/>
    <w:basedOn w:val="691"/>
    <w:link w:val="8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26" w:customStyle="1">
    <w:name w:val="Footer Char"/>
    <w:uiPriority w:val="99"/>
  </w:style>
  <w:style w:type="paragraph" w:styleId="727">
    <w:name w:val="Caption"/>
    <w:basedOn w:val="691"/>
    <w:next w:val="691"/>
    <w:link w:val="72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8" w:customStyle="1">
    <w:name w:val="Название объекта Знак"/>
    <w:link w:val="727"/>
    <w:uiPriority w:val="35"/>
    <w:rPr>
      <w:b/>
      <w:bCs/>
      <w:color w:val="4f81bd" w:themeColor="accent1"/>
      <w:sz w:val="18"/>
      <w:szCs w:val="18"/>
    </w:rPr>
  </w:style>
  <w:style w:type="table" w:styleId="729">
    <w:name w:val="Table Grid"/>
    <w:basedOn w:val="702"/>
    <w:uiPriority w:val="59"/>
    <w:tblPr/>
  </w:style>
  <w:style w:type="table" w:styleId="730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9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0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1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2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3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4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3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4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5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6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7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0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1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2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3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4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000ff"/>
      <w:u w:val="single"/>
    </w:rPr>
  </w:style>
  <w:style w:type="paragraph" w:styleId="856">
    <w:name w:val="footnote text"/>
    <w:basedOn w:val="691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 w:customStyle="1">
    <w:name w:val="Текст сноски Знак"/>
    <w:link w:val="856"/>
    <w:uiPriority w:val="99"/>
    <w:rPr>
      <w:sz w:val="18"/>
    </w:rPr>
  </w:style>
  <w:style w:type="character" w:styleId="858">
    <w:name w:val="footnote reference"/>
    <w:uiPriority w:val="99"/>
    <w:unhideWhenUsed/>
    <w:rPr>
      <w:vertAlign w:val="superscript"/>
    </w:rPr>
  </w:style>
  <w:style w:type="paragraph" w:styleId="859">
    <w:name w:val="endnote text"/>
    <w:basedOn w:val="691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uiPriority w:val="99"/>
    <w:semiHidden/>
    <w:unhideWhenUsed/>
    <w:rPr>
      <w:vertAlign w:val="superscript"/>
    </w:rPr>
  </w:style>
  <w:style w:type="paragraph" w:styleId="862">
    <w:name w:val="toc 1"/>
    <w:basedOn w:val="691"/>
    <w:next w:val="691"/>
    <w:uiPriority w:val="39"/>
    <w:unhideWhenUsed/>
    <w:pPr>
      <w:spacing w:after="57"/>
    </w:pPr>
  </w:style>
  <w:style w:type="paragraph" w:styleId="863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64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65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66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67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68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69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70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691"/>
    <w:next w:val="691"/>
    <w:uiPriority w:val="99"/>
    <w:unhideWhenUsed/>
    <w:pPr>
      <w:spacing w:after="0"/>
    </w:pPr>
  </w:style>
  <w:style w:type="character" w:styleId="873" w:customStyle="1">
    <w:name w:val="Заголовок 1 Знак"/>
    <w:link w:val="692"/>
    <w:uiPriority w:val="99"/>
    <w:rPr>
      <w:rFonts w:ascii="Cambria" w:hAnsi="Cambria" w:cs="Cambria"/>
      <w:b/>
      <w:bCs/>
      <w:sz w:val="32"/>
      <w:szCs w:val="32"/>
      <w:lang w:eastAsia="en-US"/>
    </w:rPr>
  </w:style>
  <w:style w:type="paragraph" w:styleId="874">
    <w:name w:val="Balloon Text"/>
    <w:basedOn w:val="691"/>
    <w:link w:val="87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link w:val="874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876" w:customStyle="1">
    <w:name w:val="Верхний колонтитул Знак"/>
    <w:link w:val="723"/>
    <w:uiPriority w:val="99"/>
    <w:rPr>
      <w:rFonts w:cs="Calibri"/>
      <w:sz w:val="22"/>
      <w:szCs w:val="22"/>
      <w:lang w:eastAsia="en-US"/>
    </w:rPr>
  </w:style>
  <w:style w:type="character" w:styleId="877" w:customStyle="1">
    <w:name w:val="Нижний колонтитул Знак"/>
    <w:link w:val="725"/>
    <w:uiPriority w:val="99"/>
    <w:rPr>
      <w:rFonts w:cs="Calibri"/>
      <w:sz w:val="22"/>
      <w:szCs w:val="22"/>
      <w:lang w:eastAsia="en-US"/>
    </w:rPr>
  </w:style>
  <w:style w:type="character" w:styleId="878">
    <w:name w:val="FollowedHyperlink"/>
    <w:uiPriority w:val="99"/>
    <w:semiHidden/>
    <w:unhideWhenUsed/>
    <w:rPr>
      <w:color w:val="800080"/>
      <w:u w:val="single"/>
    </w:rPr>
  </w:style>
  <w:style w:type="paragraph" w:styleId="879" w:customStyle="1">
    <w:name w:val="font5"/>
    <w:basedOn w:val="691"/>
    <w:pPr>
      <w:spacing w:before="100" w:beforeAutospacing="1" w:after="100" w:afterAutospacing="1" w:line="240" w:lineRule="auto"/>
    </w:pPr>
    <w:rPr>
      <w:rFonts w:ascii="Arial" w:hAnsi="Arial" w:cs="Arial"/>
      <w:i/>
      <w:iCs/>
      <w:sz w:val="14"/>
      <w:szCs w:val="14"/>
      <w:lang w:eastAsia="ru-RU"/>
    </w:rPr>
  </w:style>
  <w:style w:type="paragraph" w:styleId="880" w:customStyle="1">
    <w:name w:val="xl63"/>
    <w:basedOn w:val="691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  <w:lang w:eastAsia="ru-RU"/>
    </w:rPr>
  </w:style>
  <w:style w:type="paragraph" w:styleId="881" w:customStyle="1">
    <w:name w:val="xl64"/>
    <w:basedOn w:val="691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  <w:lang w:eastAsia="ru-RU"/>
    </w:rPr>
  </w:style>
  <w:style w:type="paragraph" w:styleId="882" w:customStyle="1">
    <w:name w:val="xl65"/>
    <w:basedOn w:val="691"/>
    <w:pPr>
      <w:jc w:val="center"/>
      <w:spacing w:before="100" w:beforeAutospacing="1" w:after="100" w:afterAutospacing="1" w:line="240" w:lineRule="auto"/>
    </w:pPr>
    <w:rPr>
      <w:rFonts w:ascii="Arial" w:hAnsi="Arial" w:cs="Arial"/>
      <w:sz w:val="18"/>
      <w:szCs w:val="18"/>
      <w:lang w:eastAsia="ru-RU"/>
    </w:rPr>
  </w:style>
  <w:style w:type="paragraph" w:styleId="883" w:customStyle="1">
    <w:name w:val="xl66"/>
    <w:basedOn w:val="691"/>
    <w:pPr>
      <w:jc w:val="right"/>
      <w:spacing w:before="100" w:beforeAutospacing="1" w:after="100" w:afterAutospacing="1" w:line="240" w:lineRule="auto"/>
    </w:pPr>
    <w:rPr>
      <w:rFonts w:ascii="Arial" w:hAnsi="Arial" w:cs="Arial"/>
      <w:sz w:val="16"/>
      <w:szCs w:val="16"/>
      <w:lang w:eastAsia="ru-RU"/>
    </w:rPr>
  </w:style>
  <w:style w:type="paragraph" w:styleId="884" w:customStyle="1">
    <w:name w:val="xl67"/>
    <w:basedOn w:val="691"/>
    <w:pPr>
      <w:jc w:val="right"/>
      <w:spacing w:before="100" w:beforeAutospacing="1" w:after="100" w:afterAutospacing="1" w:line="240" w:lineRule="auto"/>
    </w:pPr>
    <w:rPr>
      <w:rFonts w:ascii="Arial" w:hAnsi="Arial" w:cs="Arial"/>
      <w:sz w:val="16"/>
      <w:szCs w:val="16"/>
      <w:lang w:eastAsia="ru-RU"/>
    </w:rPr>
  </w:style>
  <w:style w:type="paragraph" w:styleId="885" w:customStyle="1">
    <w:name w:val="xl68"/>
    <w:basedOn w:val="691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eastAsia="ru-RU"/>
    </w:rPr>
  </w:style>
  <w:style w:type="paragraph" w:styleId="886" w:customStyle="1">
    <w:name w:val="xl69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8"/>
      <w:szCs w:val="18"/>
      <w:lang w:eastAsia="ru-RU"/>
    </w:rPr>
  </w:style>
  <w:style w:type="paragraph" w:styleId="887" w:customStyle="1">
    <w:name w:val="xl70"/>
    <w:basedOn w:val="691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  <w:lang w:eastAsia="ru-RU"/>
    </w:rPr>
  </w:style>
  <w:style w:type="paragraph" w:styleId="888" w:customStyle="1">
    <w:name w:val="xl71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8"/>
      <w:szCs w:val="18"/>
      <w:lang w:eastAsia="ru-RU"/>
    </w:rPr>
  </w:style>
  <w:style w:type="paragraph" w:styleId="889" w:customStyle="1">
    <w:name w:val="xl72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8"/>
      <w:szCs w:val="18"/>
      <w:lang w:eastAsia="ru-RU"/>
    </w:rPr>
  </w:style>
  <w:style w:type="paragraph" w:styleId="890" w:customStyle="1">
    <w:name w:val="xl73"/>
    <w:basedOn w:val="691"/>
    <w:pPr>
      <w:jc w:val="center"/>
      <w:spacing w:before="100" w:beforeAutospacing="1" w:after="100" w:afterAutospacing="1" w:line="240" w:lineRule="auto"/>
    </w:pPr>
    <w:rPr>
      <w:rFonts w:ascii="Arial" w:hAnsi="Arial" w:cs="Arial"/>
      <w:sz w:val="18"/>
      <w:szCs w:val="18"/>
      <w:lang w:eastAsia="ru-RU"/>
    </w:rPr>
  </w:style>
  <w:style w:type="paragraph" w:styleId="891" w:customStyle="1">
    <w:name w:val="xl74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8"/>
      <w:szCs w:val="18"/>
      <w:lang w:eastAsia="ru-RU"/>
    </w:rPr>
  </w:style>
  <w:style w:type="paragraph" w:styleId="892" w:customStyle="1">
    <w:name w:val="xl75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24"/>
      <w:szCs w:val="24"/>
      <w:lang w:eastAsia="ru-RU"/>
    </w:rPr>
  </w:style>
  <w:style w:type="paragraph" w:styleId="893" w:customStyle="1">
    <w:name w:val="xl76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24"/>
      <w:szCs w:val="24"/>
      <w:lang w:eastAsia="ru-RU"/>
    </w:rPr>
  </w:style>
  <w:style w:type="paragraph" w:styleId="894" w:customStyle="1">
    <w:name w:val="xl77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895" w:customStyle="1">
    <w:name w:val="xl78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8"/>
      <w:szCs w:val="18"/>
      <w:lang w:eastAsia="ru-RU"/>
    </w:rPr>
  </w:style>
  <w:style w:type="paragraph" w:styleId="896" w:customStyle="1">
    <w:name w:val="xl79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8"/>
      <w:szCs w:val="18"/>
      <w:lang w:eastAsia="ru-RU"/>
    </w:rPr>
  </w:style>
  <w:style w:type="paragraph" w:styleId="897" w:customStyle="1">
    <w:name w:val="xl80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8"/>
      <w:szCs w:val="18"/>
      <w:lang w:eastAsia="ru-RU"/>
    </w:rPr>
  </w:style>
  <w:style w:type="paragraph" w:styleId="898" w:customStyle="1">
    <w:name w:val="xl81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8"/>
      <w:szCs w:val="18"/>
      <w:lang w:eastAsia="ru-RU"/>
    </w:rPr>
  </w:style>
  <w:style w:type="paragraph" w:styleId="899" w:customStyle="1">
    <w:name w:val="xl82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6"/>
      <w:szCs w:val="16"/>
      <w:lang w:eastAsia="ru-RU"/>
    </w:rPr>
  </w:style>
  <w:style w:type="paragraph" w:styleId="900" w:customStyle="1">
    <w:name w:val="xl83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6"/>
      <w:szCs w:val="16"/>
      <w:lang w:eastAsia="ru-RU"/>
    </w:rPr>
  </w:style>
  <w:style w:type="paragraph" w:styleId="901" w:customStyle="1">
    <w:name w:val="xl84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i/>
      <w:iCs/>
      <w:sz w:val="18"/>
      <w:szCs w:val="18"/>
      <w:lang w:eastAsia="ru-RU"/>
    </w:rPr>
  </w:style>
  <w:style w:type="paragraph" w:styleId="902" w:customStyle="1">
    <w:name w:val="xl85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8"/>
      <w:szCs w:val="18"/>
      <w:lang w:eastAsia="ru-RU"/>
    </w:rPr>
  </w:style>
  <w:style w:type="paragraph" w:styleId="903" w:customStyle="1">
    <w:name w:val="xl86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sz w:val="16"/>
      <w:szCs w:val="16"/>
      <w:lang w:eastAsia="ru-RU"/>
    </w:rPr>
  </w:style>
  <w:style w:type="paragraph" w:styleId="904" w:customStyle="1">
    <w:name w:val="xl87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8"/>
      <w:szCs w:val="18"/>
      <w:lang w:eastAsia="ru-RU"/>
    </w:rPr>
  </w:style>
  <w:style w:type="paragraph" w:styleId="905" w:customStyle="1">
    <w:name w:val="xl88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8"/>
      <w:szCs w:val="18"/>
      <w:lang w:eastAsia="ru-RU"/>
    </w:rPr>
  </w:style>
  <w:style w:type="paragraph" w:styleId="906" w:customStyle="1">
    <w:name w:val="xl89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6"/>
      <w:szCs w:val="16"/>
      <w:lang w:eastAsia="ru-RU"/>
    </w:rPr>
  </w:style>
  <w:style w:type="paragraph" w:styleId="907" w:customStyle="1">
    <w:name w:val="xl90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Arial" w:hAnsi="Arial" w:cs="Arial"/>
      <w:b/>
      <w:bCs/>
      <w:sz w:val="16"/>
      <w:szCs w:val="16"/>
      <w:lang w:eastAsia="ru-RU"/>
    </w:rPr>
  </w:style>
  <w:style w:type="paragraph" w:styleId="908" w:customStyle="1">
    <w:name w:val="xl91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09" w:customStyle="1">
    <w:name w:val="msonormal"/>
    <w:basedOn w:val="69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910" w:customStyle="1">
    <w:name w:val="xl92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1" w:customStyle="1">
    <w:name w:val="xl93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2" w:customStyle="1">
    <w:name w:val="xl94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3" w:customStyle="1">
    <w:name w:val="xl95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4" w:customStyle="1">
    <w:name w:val="xl96"/>
    <w:basedOn w:val="6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5" w:customStyle="1">
    <w:name w:val="xl97"/>
    <w:basedOn w:val="6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6" w:customStyle="1">
    <w:name w:val="xl98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7" w:customStyle="1">
    <w:name w:val="xl99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8" w:customStyle="1">
    <w:name w:val="xl100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19" w:customStyle="1">
    <w:name w:val="xl101"/>
    <w:basedOn w:val="691"/>
    <w:pPr>
      <w:jc w:val="right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920" w:customStyle="1">
    <w:name w:val="xl102"/>
    <w:basedOn w:val="691"/>
    <w:pPr>
      <w:jc w:val="right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921" w:customStyle="1">
    <w:name w:val="xl103"/>
    <w:basedOn w:val="691"/>
    <w:pPr>
      <w:jc w:val="right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922" w:customStyle="1">
    <w:name w:val="xl104"/>
    <w:basedOn w:val="691"/>
    <w:pPr>
      <w:spacing w:before="100" w:beforeAutospacing="1" w:after="100" w:afterAutospacing="1" w:line="240" w:lineRule="auto"/>
      <w:pBdr>
        <w:top w:val="single" w:color="000000" w:sz="8" w:space="0"/>
        <w:left w:val="single" w:color="000000" w:sz="8" w:space="0"/>
        <w:bottom w:val="single" w:color="000000" w:sz="8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23" w:customStyle="1">
    <w:name w:val="xl105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24" w:customStyle="1">
    <w:name w:val="xl106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25" w:customStyle="1">
    <w:name w:val="xl107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26" w:customStyle="1">
    <w:name w:val="xl108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27" w:customStyle="1">
    <w:name w:val="xl109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cs="Times New Roman"/>
      <w:color w:val="ffffff"/>
      <w:sz w:val="24"/>
      <w:szCs w:val="24"/>
      <w:lang w:eastAsia="ru-RU"/>
    </w:rPr>
  </w:style>
  <w:style w:type="paragraph" w:styleId="928" w:customStyle="1">
    <w:name w:val="xl110"/>
    <w:basedOn w:val="691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29" w:customStyle="1">
    <w:name w:val="xl111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30" w:customStyle="1">
    <w:name w:val="xl112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31" w:customStyle="1">
    <w:name w:val="xl113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32" w:customStyle="1">
    <w:name w:val="xl114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933" w:customStyle="1">
    <w:name w:val="xl115"/>
    <w:basedOn w:val="691"/>
    <w:pPr>
      <w:jc w:val="right"/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  <w:lang w:eastAsia="ru-RU"/>
    </w:rPr>
  </w:style>
  <w:style w:type="paragraph" w:styleId="934" w:customStyle="1">
    <w:name w:val="xl116"/>
    <w:basedOn w:val="691"/>
    <w:pPr>
      <w:jc w:val="right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935" w:customStyle="1">
    <w:name w:val="xl117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36" w:customStyle="1">
    <w:name w:val="xl118"/>
    <w:basedOn w:val="6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37" w:customStyle="1">
    <w:name w:val="xl119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38" w:customStyle="1">
    <w:name w:val="xl120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39" w:customStyle="1">
    <w:name w:val="xl121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40" w:customStyle="1">
    <w:name w:val="xl122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41" w:customStyle="1">
    <w:name w:val="xl123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42" w:customStyle="1">
    <w:name w:val="xl124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43" w:customStyle="1">
    <w:name w:val="xl125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44" w:customStyle="1">
    <w:name w:val="xl126"/>
    <w:basedOn w:val="691"/>
    <w:pPr>
      <w:jc w:val="right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945" w:customStyle="1">
    <w:name w:val="xl127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color w:val="ffffff"/>
      <w:sz w:val="24"/>
      <w:szCs w:val="24"/>
      <w:lang w:eastAsia="ru-RU"/>
    </w:rPr>
  </w:style>
  <w:style w:type="paragraph" w:styleId="946" w:customStyle="1">
    <w:name w:val="xl128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47" w:customStyle="1">
    <w:name w:val="xl129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48" w:customStyle="1">
    <w:name w:val="xl130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color w:val="ffffff"/>
      <w:sz w:val="24"/>
      <w:szCs w:val="24"/>
      <w:lang w:eastAsia="ru-RU"/>
    </w:rPr>
  </w:style>
  <w:style w:type="paragraph" w:styleId="949" w:customStyle="1">
    <w:name w:val="xl131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cs="Times New Roman"/>
      <w:color w:val="ffffff"/>
      <w:sz w:val="24"/>
      <w:szCs w:val="24"/>
      <w:lang w:eastAsia="ru-RU"/>
    </w:rPr>
  </w:style>
  <w:style w:type="paragraph" w:styleId="950" w:customStyle="1">
    <w:name w:val="xl132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numbering" w:styleId="951" w:customStyle="1">
    <w:name w:val="Нет списка1"/>
    <w:next w:val="703"/>
    <w:uiPriority w:val="99"/>
    <w:semiHidden/>
    <w:unhideWhenUsed/>
  </w:style>
  <w:style w:type="numbering" w:styleId="952" w:customStyle="1">
    <w:name w:val="Нет списка2"/>
    <w:next w:val="703"/>
    <w:uiPriority w:val="99"/>
    <w:semiHidden/>
    <w:unhideWhenUsed/>
  </w:style>
  <w:style w:type="numbering" w:styleId="953" w:customStyle="1">
    <w:name w:val="Нет списка3"/>
    <w:next w:val="703"/>
    <w:uiPriority w:val="99"/>
    <w:semiHidden/>
    <w:unhideWhenUsed/>
  </w:style>
  <w:style w:type="numbering" w:styleId="954" w:customStyle="1">
    <w:name w:val="Нет списка4"/>
    <w:next w:val="703"/>
    <w:uiPriority w:val="99"/>
    <w:semiHidden/>
    <w:unhideWhenUsed/>
  </w:style>
  <w:style w:type="numbering" w:styleId="955" w:customStyle="1">
    <w:name w:val="Нет списка5"/>
    <w:next w:val="703"/>
    <w:uiPriority w:val="99"/>
    <w:semiHidden/>
    <w:unhideWhenUsed/>
  </w:style>
  <w:style w:type="numbering" w:styleId="956" w:customStyle="1">
    <w:name w:val="Нет списка6"/>
    <w:next w:val="703"/>
    <w:uiPriority w:val="99"/>
    <w:semiHidden/>
    <w:unhideWhenUsed/>
  </w:style>
  <w:style w:type="numbering" w:styleId="957" w:customStyle="1">
    <w:name w:val="Нет списка7"/>
    <w:next w:val="703"/>
    <w:uiPriority w:val="99"/>
    <w:semiHidden/>
    <w:unhideWhenUsed/>
  </w:style>
  <w:style w:type="numbering" w:styleId="958" w:customStyle="1">
    <w:name w:val="Нет списка8"/>
    <w:next w:val="703"/>
    <w:uiPriority w:val="99"/>
    <w:semiHidden/>
    <w:unhideWhenUsed/>
  </w:style>
  <w:style w:type="numbering" w:styleId="959" w:customStyle="1">
    <w:name w:val="Нет списка9"/>
    <w:next w:val="703"/>
    <w:uiPriority w:val="99"/>
    <w:semiHidden/>
    <w:unhideWhenUsed/>
  </w:style>
  <w:style w:type="numbering" w:styleId="960" w:customStyle="1">
    <w:name w:val="Нет списка10"/>
    <w:next w:val="703"/>
    <w:uiPriority w:val="99"/>
    <w:semiHidden/>
    <w:unhideWhenUsed/>
  </w:style>
  <w:style w:type="numbering" w:styleId="961" w:customStyle="1">
    <w:name w:val="Нет списка11"/>
    <w:next w:val="703"/>
    <w:uiPriority w:val="99"/>
    <w:semiHidden/>
    <w:unhideWhenUsed/>
  </w:style>
  <w:style w:type="numbering" w:styleId="962" w:customStyle="1">
    <w:name w:val="Нет списка12"/>
    <w:next w:val="703"/>
    <w:uiPriority w:val="99"/>
    <w:semiHidden/>
    <w:unhideWhenUsed/>
  </w:style>
  <w:style w:type="numbering" w:styleId="963" w:customStyle="1">
    <w:name w:val="Нет списка13"/>
    <w:next w:val="703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mailto:mbu@agalatovoadm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Tycoon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</dc:title>
  <dc:creator>sbear</dc:creator>
  <cp:lastModifiedBy>buh</cp:lastModifiedBy>
  <cp:revision>3</cp:revision>
  <dcterms:created xsi:type="dcterms:W3CDTF">2026-07-17T09:21:00Z</dcterms:created>
  <dcterms:modified xsi:type="dcterms:W3CDTF">2026-09-28T11:44:02Z</dcterms:modified>
  <cp:version>1048576</cp:version>
</cp:coreProperties>
</file>