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C75A8" w14:textId="77777777" w:rsidR="003A75AB" w:rsidRDefault="003A75AB">
      <w:pPr>
        <w:pStyle w:val="docdata"/>
        <w:spacing w:before="0" w:beforeAutospacing="0" w:after="0" w:afterAutospacing="0" w:line="273" w:lineRule="auto"/>
        <w:jc w:val="both"/>
        <w:rPr>
          <w:b/>
          <w:bCs/>
          <w:color w:val="000000"/>
          <w:sz w:val="20"/>
          <w:szCs w:val="20"/>
          <w:shd w:val="clear" w:color="auto" w:fill="00FFFF"/>
        </w:rPr>
      </w:pPr>
    </w:p>
    <w:p w14:paraId="6F7A5A63" w14:textId="77777777" w:rsidR="003A75AB" w:rsidRDefault="003A75AB">
      <w:pPr>
        <w:pStyle w:val="a5"/>
        <w:spacing w:before="0" w:beforeAutospacing="0" w:after="0" w:afterAutospacing="0" w:line="273" w:lineRule="auto"/>
        <w:jc w:val="right"/>
        <w:rPr>
          <w:b/>
          <w:bCs/>
          <w:color w:val="000000"/>
          <w:sz w:val="20"/>
          <w:szCs w:val="20"/>
        </w:rPr>
      </w:pPr>
    </w:p>
    <w:p w14:paraId="43EA762F" w14:textId="77777777" w:rsidR="003A75AB" w:rsidRDefault="000C6216">
      <w:pPr>
        <w:pStyle w:val="a5"/>
        <w:spacing w:before="0" w:beforeAutospacing="0" w:after="0" w:afterAutospacing="0" w:line="273" w:lineRule="auto"/>
        <w:jc w:val="right"/>
      </w:pPr>
      <w:r>
        <w:rPr>
          <w:b/>
          <w:bCs/>
          <w:color w:val="000000"/>
          <w:sz w:val="20"/>
          <w:szCs w:val="20"/>
        </w:rPr>
        <w:t xml:space="preserve">Приложение №1 </w:t>
      </w:r>
    </w:p>
    <w:p w14:paraId="14C4CA69" w14:textId="77777777" w:rsidR="003A75AB" w:rsidRDefault="000C6216">
      <w:pPr>
        <w:pStyle w:val="a5"/>
        <w:spacing w:before="0" w:beforeAutospacing="0" w:after="0" w:afterAutospacing="0" w:line="273" w:lineRule="auto"/>
        <w:jc w:val="right"/>
      </w:pPr>
      <w:r>
        <w:rPr>
          <w:color w:val="000000"/>
          <w:sz w:val="20"/>
          <w:szCs w:val="20"/>
        </w:rPr>
        <w:t>к контракту №________________</w:t>
      </w:r>
    </w:p>
    <w:p w14:paraId="5C95CFBF" w14:textId="77777777" w:rsidR="003A75AB" w:rsidRDefault="000C6216">
      <w:pPr>
        <w:pStyle w:val="a5"/>
        <w:spacing w:before="0" w:beforeAutospacing="0" w:after="0" w:afterAutospacing="0" w:line="273" w:lineRule="auto"/>
        <w:jc w:val="right"/>
      </w:pPr>
      <w:r>
        <w:rPr>
          <w:color w:val="000000"/>
          <w:sz w:val="20"/>
          <w:szCs w:val="20"/>
        </w:rPr>
        <w:t>от _______________________ 202_ г.</w:t>
      </w:r>
    </w:p>
    <w:p w14:paraId="7A4FB5AA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5EF92E72" w14:textId="77777777" w:rsidR="003A75AB" w:rsidRDefault="000C6216">
      <w:pPr>
        <w:pStyle w:val="a5"/>
        <w:spacing w:before="0" w:beforeAutospacing="0" w:after="0" w:afterAutospacing="0" w:line="273" w:lineRule="auto"/>
        <w:jc w:val="center"/>
      </w:pPr>
      <w:r>
        <w:rPr>
          <w:b/>
          <w:bCs/>
          <w:color w:val="000000"/>
        </w:rPr>
        <w:t>ТЕХНИЧЕСКОЕ ЗАДАНИЕ (СПЕЦИФИКАЦИЯ)</w:t>
      </w:r>
    </w:p>
    <w:p w14:paraId="1877B6A4" w14:textId="77777777" w:rsidR="003A75AB" w:rsidRDefault="000C6216">
      <w:pPr>
        <w:pStyle w:val="a5"/>
        <w:spacing w:before="0" w:beforeAutospacing="0" w:after="0" w:afterAutospacing="0"/>
        <w:jc w:val="center"/>
      </w:pPr>
      <w:r>
        <w:t> </w:t>
      </w:r>
    </w:p>
    <w:p w14:paraId="43A66248" w14:textId="77777777" w:rsidR="003A75AB" w:rsidRDefault="000C6216">
      <w:pPr>
        <w:pStyle w:val="a5"/>
        <w:spacing w:before="0" w:beforeAutospacing="0" w:after="0" w:afterAutospacing="0"/>
        <w:jc w:val="center"/>
      </w:pPr>
      <w:r>
        <w:rPr>
          <w:b/>
          <w:bCs/>
          <w:color w:val="000000"/>
        </w:rPr>
        <w:t>Функциональные возможности программного обеспечения </w:t>
      </w:r>
      <w:r>
        <w:rPr>
          <w:b/>
          <w:bCs/>
          <w:i/>
          <w:iCs/>
          <w:color w:val="000000"/>
        </w:rPr>
        <w:t>«Эконом Эксперт. Онлайн»</w:t>
      </w:r>
    </w:p>
    <w:p w14:paraId="6115408B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Программное обеспечение представляет собой веб-сервис, доступ к которому осуществляется с использованием сети интернет. Программное обеспечение должно включать в себя следующие возможности:</w:t>
      </w:r>
      <w:r>
        <w:rPr>
          <w:color w:val="000000"/>
          <w:sz w:val="20"/>
          <w:szCs w:val="20"/>
        </w:rPr>
        <w:br/>
        <w:t> </w:t>
      </w:r>
    </w:p>
    <w:p w14:paraId="0759ECEA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1. Программный классификатор ОКПД2 и КТРУ со следующими возможностями:</w:t>
      </w:r>
    </w:p>
    <w:p w14:paraId="1FE28D60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1.1. Иерархический вид справочника, с возможностью раскрытия и закрытия ветвей иерархии;</w:t>
      </w:r>
    </w:p>
    <w:p w14:paraId="51565079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1.2. Поиск кодов ОКПД 2 и КТРУ по составным частям наименования или кода, поиск по НКМИ;</w:t>
      </w:r>
    </w:p>
    <w:p w14:paraId="775A1F6D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1.3. Поиск кодов ОКПД 2 и КТРУ в соответствии с частотой упоминания данного кода среди закупок, размещенных на официальном сайте единой информационной системы в сфере закупок (далее – ЕИС);</w:t>
      </w:r>
    </w:p>
    <w:p w14:paraId="577480E6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1.4. Вывод информации об актуальности кода ОКПД 2 / КТРУ (актуален/исключен). </w:t>
      </w:r>
    </w:p>
    <w:p w14:paraId="2B81CB67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1.5. Вывод рекомендуемого метода расчета НМЦК с переходом к расчету;</w:t>
      </w:r>
    </w:p>
    <w:p w14:paraId="2D64EBB6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1.6. Поиск позиций КТРУ, связанных с кодом ОКПД2, вывод похожих позиций КТРУ;</w:t>
      </w:r>
    </w:p>
    <w:p w14:paraId="13B36EED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1.7. </w:t>
      </w:r>
      <w:proofErr w:type="gramStart"/>
      <w:r>
        <w:rPr>
          <w:color w:val="000000"/>
          <w:sz w:val="20"/>
          <w:szCs w:val="20"/>
        </w:rPr>
        <w:t>Поиск  позиций</w:t>
      </w:r>
      <w:proofErr w:type="gramEnd"/>
      <w:r>
        <w:rPr>
          <w:color w:val="000000"/>
          <w:sz w:val="20"/>
          <w:szCs w:val="20"/>
        </w:rPr>
        <w:t xml:space="preserve"> КТРУ по характеристикам ТРУ (обязательным, необязательным); </w:t>
      </w:r>
    </w:p>
    <w:p w14:paraId="65B32A59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1.8. Отображение даты начала обязательного </w:t>
      </w:r>
      <w:proofErr w:type="gramStart"/>
      <w:r>
        <w:rPr>
          <w:color w:val="000000"/>
          <w:sz w:val="20"/>
          <w:szCs w:val="20"/>
        </w:rPr>
        <w:t>применения  позиции</w:t>
      </w:r>
      <w:proofErr w:type="gramEnd"/>
      <w:r>
        <w:rPr>
          <w:color w:val="000000"/>
          <w:sz w:val="20"/>
          <w:szCs w:val="20"/>
        </w:rPr>
        <w:t xml:space="preserve"> КТРУ;</w:t>
      </w:r>
    </w:p>
    <w:p w14:paraId="256C97A3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1.9. Для выбранной позиции КТРУ отображение кода ОКПД 2, от которого образована данная позиция КТРУ, а также кодов ОКПД 2 из справочной информации КТРУ;</w:t>
      </w:r>
    </w:p>
    <w:p w14:paraId="520212FE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1.10. Для выбранной позиции КТРУ отображение кода вида НКМИ (если позиция КТРУ содержит данную информацию);</w:t>
      </w:r>
    </w:p>
    <w:p w14:paraId="349F7EC1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1.11. Для выбранной позиции КТРУ по медицинским изделиям вывод номеров регистрационных удостоверений на </w:t>
      </w:r>
      <w:proofErr w:type="spellStart"/>
      <w:r>
        <w:rPr>
          <w:color w:val="000000"/>
          <w:sz w:val="20"/>
          <w:szCs w:val="20"/>
        </w:rPr>
        <w:t>медизделия</w:t>
      </w:r>
      <w:proofErr w:type="spellEnd"/>
      <w:r>
        <w:rPr>
          <w:color w:val="000000"/>
          <w:sz w:val="20"/>
          <w:szCs w:val="20"/>
        </w:rPr>
        <w:t xml:space="preserve"> из государственного реестра медицинских изделий в соответствии с НКМИ;</w:t>
      </w:r>
    </w:p>
    <w:p w14:paraId="65CE7BD7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1.12. Для выбранной позиции КТРУ вывод проверки на допустимость указания дополнительных характеристик;</w:t>
      </w:r>
    </w:p>
    <w:p w14:paraId="3D71DD1E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1.13. Отображение характеристик, содержащихся в позиции КТРУ (обязательные, необязательные), их значений и описания в соответствии с данными КТРУ ЕИС;</w:t>
      </w:r>
    </w:p>
    <w:p w14:paraId="543CA4F5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1.14. Проверка кодов ОКПД 2 (для КТРУ проверка проводится с учетом кодов ОКПД 2 из справочной информации КТРУ) на наличие в следующих </w:t>
      </w:r>
      <w:proofErr w:type="gramStart"/>
      <w:r>
        <w:rPr>
          <w:color w:val="000000"/>
          <w:sz w:val="20"/>
          <w:szCs w:val="20"/>
        </w:rPr>
        <w:t>нормативных  правовых</w:t>
      </w:r>
      <w:proofErr w:type="gramEnd"/>
      <w:r>
        <w:rPr>
          <w:color w:val="000000"/>
          <w:sz w:val="20"/>
          <w:szCs w:val="20"/>
        </w:rPr>
        <w:t xml:space="preserve"> актах (с учётом всех последних редакций):</w:t>
      </w:r>
    </w:p>
    <w:p w14:paraId="35913BC6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1.14.1. Постановление Правительства РФ № 1875 от 23 декабря 2024 г. (с определением защитной меры (запрет, ограничение, преимущество), применимой для закупаемого товара); </w:t>
      </w:r>
    </w:p>
    <w:p w14:paraId="1FAEDC92" w14:textId="77777777" w:rsidR="003A75AB" w:rsidRDefault="000C6216">
      <w:pPr>
        <w:pStyle w:val="a5"/>
        <w:spacing w:before="0" w:beforeAutospacing="0" w:after="0" w:afterAutospacing="0"/>
        <w:jc w:val="both"/>
        <w:rPr>
          <w:color w:val="262626"/>
          <w:sz w:val="20"/>
          <w:szCs w:val="20"/>
        </w:rPr>
      </w:pPr>
      <w:r>
        <w:rPr>
          <w:color w:val="000000"/>
          <w:sz w:val="20"/>
          <w:szCs w:val="20"/>
        </w:rPr>
        <w:t xml:space="preserve">1.14.2. Постановление Правительства РФ № 1221 от 31 декабря 2009 </w:t>
      </w:r>
      <w:r>
        <w:rPr>
          <w:color w:val="262626"/>
          <w:sz w:val="20"/>
          <w:szCs w:val="20"/>
        </w:rPr>
        <w:t>г.;</w:t>
      </w:r>
    </w:p>
    <w:p w14:paraId="12508503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1.14.3. Постановление Правительства РФ № 1292 от 26 декабря 2013 </w:t>
      </w:r>
      <w:r>
        <w:rPr>
          <w:color w:val="262626"/>
          <w:sz w:val="20"/>
          <w:szCs w:val="20"/>
        </w:rPr>
        <w:t>г.;</w:t>
      </w:r>
    </w:p>
    <w:p w14:paraId="360B91DE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1.14.4. Постановление Правительства РФ № 2571 от 29 декабря 2021</w:t>
      </w:r>
    </w:p>
    <w:p w14:paraId="74E7B9F4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1.14.5. Постановление Правительства РФ № 927 от 2 сентября 2015 г.;</w:t>
      </w:r>
    </w:p>
    <w:p w14:paraId="78D5AA57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1.14.6. Постановление Правительства РФ № 1224 от 8 июля 2022 г.;</w:t>
      </w:r>
    </w:p>
    <w:p w14:paraId="37F4D09B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1.14.7. Постановление Правительства РФ № 2411 от 24 декабря 2022 г.;</w:t>
      </w:r>
    </w:p>
    <w:p w14:paraId="45F38DAB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1.14.8. Постановление Правительства РФ N 688 от 15 сентября 2008 г.;</w:t>
      </w:r>
    </w:p>
    <w:p w14:paraId="2B8EBE47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1.14.9. Постановление Правительства РФ N 10 от 12 января 2023 г.;</w:t>
      </w:r>
    </w:p>
    <w:p w14:paraId="1E266583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1.14.10. Постановление Правительства РФ N 1110 от 1 июля 2021 г.;</w:t>
      </w:r>
    </w:p>
    <w:p w14:paraId="42112383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1.14.11. Постановление Правительства РФ N 1042 от 30 сентября 2015 г.;</w:t>
      </w:r>
    </w:p>
    <w:p w14:paraId="268C3906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1.14.12. Постановление Правительства РФ от 31 декабря 2009 г. N 1222;</w:t>
      </w:r>
    </w:p>
    <w:p w14:paraId="6C746C40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1.14.13. Распоряжение Правительства РФ № 21-р от 16 января 2018 г.;</w:t>
      </w:r>
    </w:p>
    <w:p w14:paraId="4969C19E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1.14.14. Распоряжение Правительства РФ № 471-р от 21 марта 2016 г.;</w:t>
      </w:r>
    </w:p>
    <w:p w14:paraId="7935B9AA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1.14.15. Распоряжение Правительства РФ № 3500-р от 8 декабря 2021 г.;</w:t>
      </w:r>
    </w:p>
    <w:p w14:paraId="1D20A4D9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1.14.16. Распоряжение Правительства РФ от 17 января 2024 г. N 40-р</w:t>
      </w:r>
    </w:p>
    <w:p w14:paraId="0860D680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1.14.17. Распоряжение Правительства Российской Федерации от 29 марта 2024 г. N 744-р</w:t>
      </w:r>
    </w:p>
    <w:p w14:paraId="0611B2C9" w14:textId="7777777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1.14.18. Распоряжение Правительства РФ от 28 апреля 2018 г. N 792-р</w:t>
      </w:r>
    </w:p>
    <w:p w14:paraId="79568CB7" w14:textId="718903F6" w:rsidR="003A75AB" w:rsidRDefault="003A75AB" w:rsidP="00881E4D">
      <w:pPr>
        <w:pStyle w:val="a5"/>
        <w:spacing w:before="0" w:beforeAutospacing="0" w:after="0" w:afterAutospacing="0"/>
        <w:jc w:val="both"/>
      </w:pPr>
    </w:p>
    <w:p w14:paraId="08614E62" w14:textId="6B5F9C37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</w:t>
      </w:r>
      <w:r w:rsidR="00881E4D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. Определение наличия кода ОКПД2 в Библиотеке типовых контрактов ЕИС с возможностью перехода в контракт на ЕИС;</w:t>
      </w:r>
    </w:p>
    <w:p w14:paraId="1808A97F" w14:textId="5F6853D3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</w:t>
      </w:r>
      <w:r w:rsidR="00881E4D">
        <w:rPr>
          <w:color w:val="000000"/>
          <w:sz w:val="20"/>
          <w:szCs w:val="20"/>
        </w:rPr>
        <w:t>6</w:t>
      </w:r>
      <w:r>
        <w:rPr>
          <w:color w:val="000000"/>
          <w:sz w:val="20"/>
          <w:szCs w:val="20"/>
        </w:rPr>
        <w:t xml:space="preserve">. Для кодов ОКПД2 вывод кодов ТН ВЭД ЕАЭС; </w:t>
      </w:r>
    </w:p>
    <w:p w14:paraId="1F5B20D7" w14:textId="722475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</w:t>
      </w:r>
      <w:r w:rsidR="00881E4D">
        <w:rPr>
          <w:color w:val="000000"/>
          <w:sz w:val="20"/>
          <w:szCs w:val="20"/>
        </w:rPr>
        <w:t>7</w:t>
      </w:r>
      <w:r>
        <w:rPr>
          <w:color w:val="000000"/>
          <w:sz w:val="20"/>
          <w:szCs w:val="20"/>
        </w:rPr>
        <w:t>. Рекомендации по применению/не применению НПА;</w:t>
      </w:r>
    </w:p>
    <w:p w14:paraId="06079853" w14:textId="5A9CACC4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lastRenderedPageBreak/>
        <w:t>1.1</w:t>
      </w:r>
      <w:r w:rsidR="00881E4D">
        <w:rPr>
          <w:color w:val="000000"/>
          <w:sz w:val="20"/>
          <w:szCs w:val="20"/>
        </w:rPr>
        <w:t>8</w:t>
      </w:r>
      <w:r>
        <w:rPr>
          <w:color w:val="000000"/>
          <w:sz w:val="20"/>
          <w:szCs w:val="20"/>
        </w:rPr>
        <w:t>. Возможность перехода в текст НПА в справочно-правовой системе;</w:t>
      </w:r>
    </w:p>
    <w:p w14:paraId="6C6B4ED0" w14:textId="6452B456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</w:t>
      </w:r>
      <w:r w:rsidR="00881E4D">
        <w:rPr>
          <w:color w:val="000000"/>
          <w:sz w:val="20"/>
          <w:szCs w:val="20"/>
        </w:rPr>
        <w:t>19</w:t>
      </w:r>
      <w:r>
        <w:rPr>
          <w:color w:val="000000"/>
          <w:sz w:val="20"/>
          <w:szCs w:val="20"/>
        </w:rPr>
        <w:t>. Возможность добавлять коды в список, проверить список на НПА;</w:t>
      </w:r>
    </w:p>
    <w:p w14:paraId="6BBB7746" w14:textId="6533F555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</w:t>
      </w:r>
      <w:r w:rsidR="00881E4D">
        <w:rPr>
          <w:color w:val="000000"/>
          <w:sz w:val="20"/>
          <w:szCs w:val="20"/>
        </w:rPr>
        <w:t>0</w:t>
      </w:r>
      <w:r>
        <w:rPr>
          <w:color w:val="000000"/>
          <w:sz w:val="20"/>
          <w:szCs w:val="20"/>
        </w:rPr>
        <w:t>. Возможность проверить список кодов на совместимость (допустимо или нет объединение в одной закупке кодов из списка с точки зрения действующих для выбранных кодов НПА);</w:t>
      </w:r>
    </w:p>
    <w:p w14:paraId="11DBA00F" w14:textId="6143C763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1.2</w:t>
      </w:r>
      <w:r w:rsidR="00881E4D">
        <w:rPr>
          <w:color w:val="000000"/>
          <w:sz w:val="20"/>
          <w:szCs w:val="20"/>
        </w:rPr>
        <w:t>1</w:t>
      </w:r>
      <w:r>
        <w:rPr>
          <w:color w:val="000000"/>
          <w:sz w:val="20"/>
          <w:szCs w:val="20"/>
        </w:rPr>
        <w:t>. Автоматическое разделение в отдельные лоты кодов из списка в результате проверки на совместимость. Выбор закона, по правилам которого проводится разделение (№ 44-ФЗ/223-ФЗ);</w:t>
      </w:r>
    </w:p>
    <w:p w14:paraId="31981B05" w14:textId="7372EA31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</w:t>
      </w:r>
      <w:r w:rsidR="00881E4D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. Поиск в реестре контрактов поставщиков, не включенных в РНП, по выбранному ОКПД2/КТРУ с фильтрами по региону поставщика, дате заключения, принадлежности к СМП, наличию поставок промышленных товаров, включенных в ГИСП, поставки товаров из РФ/ЕАЭС, наличию исполненных без неустоек контрактов. Вывод контактных данных поставщиков (телефон, </w:t>
      </w:r>
      <w:proofErr w:type="spellStart"/>
      <w:r>
        <w:rPr>
          <w:color w:val="000000"/>
          <w:sz w:val="20"/>
          <w:szCs w:val="20"/>
        </w:rPr>
        <w:t>email</w:t>
      </w:r>
      <w:proofErr w:type="spellEnd"/>
      <w:r>
        <w:rPr>
          <w:color w:val="000000"/>
          <w:sz w:val="20"/>
          <w:szCs w:val="20"/>
        </w:rPr>
        <w:t xml:space="preserve">). Возможность просмотреть количество исполненных контрактов у поставщика и перейти в последний исполненный контракт. Возможность запросить коммерческие </w:t>
      </w:r>
      <w:proofErr w:type="gramStart"/>
      <w:r>
        <w:rPr>
          <w:color w:val="000000"/>
          <w:sz w:val="20"/>
          <w:szCs w:val="20"/>
        </w:rPr>
        <w:t>предложения  по</w:t>
      </w:r>
      <w:proofErr w:type="gramEnd"/>
      <w:r>
        <w:rPr>
          <w:color w:val="000000"/>
          <w:sz w:val="20"/>
          <w:szCs w:val="20"/>
        </w:rPr>
        <w:t xml:space="preserve"> списку выбранных поставщиков и скопировать отмеченные электронные адреса.</w:t>
      </w:r>
    </w:p>
    <w:p w14:paraId="335151CE" w14:textId="074C0635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</w:t>
      </w:r>
      <w:r w:rsidR="00881E4D">
        <w:rPr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 xml:space="preserve">. Поиск в государственной информационной системе промышленности (ГИСП) поставщиков по выбранному ОКПД 2/КТРУ с выводом информации о товарах поставщика, включенных в реестр российской промышленной продукции (с указанием наименования товара, кода ОКПД2 и номера реестровой записи). Возможность запросить коммерческие </w:t>
      </w:r>
      <w:proofErr w:type="gramStart"/>
      <w:r>
        <w:rPr>
          <w:color w:val="000000"/>
          <w:sz w:val="20"/>
          <w:szCs w:val="20"/>
        </w:rPr>
        <w:t>предложения  по</w:t>
      </w:r>
      <w:proofErr w:type="gramEnd"/>
      <w:r>
        <w:rPr>
          <w:color w:val="000000"/>
          <w:sz w:val="20"/>
          <w:szCs w:val="20"/>
        </w:rPr>
        <w:t xml:space="preserve"> списку выбранных поставщиков и скопировать отмеченные электронные адреса.</w:t>
      </w:r>
    </w:p>
    <w:p w14:paraId="51BC0E26" w14:textId="599A6506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</w:t>
      </w:r>
      <w:r w:rsidR="00881E4D">
        <w:rPr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. Возможность сохранения информации по коду в </w:t>
      </w:r>
      <w:r>
        <w:rPr>
          <w:color w:val="000000"/>
          <w:sz w:val="20"/>
          <w:szCs w:val="20"/>
          <w:lang w:val="en-US"/>
        </w:rPr>
        <w:t>Excel</w:t>
      </w:r>
      <w:r>
        <w:rPr>
          <w:color w:val="000000"/>
          <w:sz w:val="20"/>
          <w:szCs w:val="20"/>
        </w:rPr>
        <w:t>.</w:t>
      </w:r>
    </w:p>
    <w:p w14:paraId="36779821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2513F90A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b/>
          <w:bCs/>
          <w:color w:val="000000"/>
          <w:sz w:val="20"/>
          <w:szCs w:val="20"/>
        </w:rPr>
        <w:t>2. Инструмент расчета сроков для следующих конкурентных процедур:</w:t>
      </w:r>
    </w:p>
    <w:p w14:paraId="0A45C050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 По Закону № 44-ФЗ:</w:t>
      </w:r>
    </w:p>
    <w:p w14:paraId="30EF8213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2.1.1. Электронный аукцион (до 300 млн. руб.);</w:t>
      </w:r>
    </w:p>
    <w:p w14:paraId="6F5DD18A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2.1.2. Электронный аукцион (от 300 млн. руб.);</w:t>
      </w:r>
    </w:p>
    <w:p w14:paraId="7D3C95A3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2.1.3. Электронный аукцион по строительству и </w:t>
      </w:r>
      <w:proofErr w:type="spellStart"/>
      <w:proofErr w:type="gramStart"/>
      <w:r>
        <w:rPr>
          <w:color w:val="000000"/>
          <w:sz w:val="20"/>
          <w:szCs w:val="20"/>
        </w:rPr>
        <w:t>кап.ремонту</w:t>
      </w:r>
      <w:proofErr w:type="spellEnd"/>
      <w:proofErr w:type="gramEnd"/>
      <w:r>
        <w:rPr>
          <w:color w:val="000000"/>
          <w:sz w:val="20"/>
          <w:szCs w:val="20"/>
        </w:rPr>
        <w:t>;</w:t>
      </w:r>
    </w:p>
    <w:p w14:paraId="18458DD2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2.1.4. Запрос котировок электронный (до 10 млн. </w:t>
      </w:r>
      <w:proofErr w:type="spellStart"/>
      <w:r>
        <w:rPr>
          <w:color w:val="000000"/>
          <w:sz w:val="20"/>
          <w:szCs w:val="20"/>
        </w:rPr>
        <w:t>руб</w:t>
      </w:r>
      <w:proofErr w:type="spellEnd"/>
      <w:r>
        <w:rPr>
          <w:color w:val="000000"/>
          <w:sz w:val="20"/>
          <w:szCs w:val="20"/>
        </w:rPr>
        <w:t>);</w:t>
      </w:r>
    </w:p>
    <w:p w14:paraId="3F5E71A7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2.1.5. Электронный конкурс;</w:t>
      </w:r>
    </w:p>
    <w:p w14:paraId="253AEEA2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2.1.6. Электронный конкурс по ч.19 ст.48;</w:t>
      </w:r>
    </w:p>
    <w:p w14:paraId="60E183F5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2.1.7. Электронный конкурс культурное наследие и НИОКР;</w:t>
      </w:r>
    </w:p>
    <w:p w14:paraId="4690364E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2.1.8. Закрытый электронный аукцион;</w:t>
      </w:r>
    </w:p>
    <w:p w14:paraId="2580222F" w14:textId="77777777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2.1.9. Закупка у </w:t>
      </w:r>
      <w:proofErr w:type="spellStart"/>
      <w:proofErr w:type="gramStart"/>
      <w:r>
        <w:rPr>
          <w:color w:val="000000"/>
          <w:sz w:val="20"/>
          <w:szCs w:val="20"/>
        </w:rPr>
        <w:t>ед.поставщика</w:t>
      </w:r>
      <w:proofErr w:type="spellEnd"/>
      <w:proofErr w:type="gramEnd"/>
      <w:r>
        <w:rPr>
          <w:color w:val="000000"/>
          <w:sz w:val="20"/>
          <w:szCs w:val="20"/>
        </w:rPr>
        <w:t xml:space="preserve"> по ч. 12 ст. 93 (до 5 млн. руб.)</w:t>
      </w:r>
    </w:p>
    <w:p w14:paraId="599C3712" w14:textId="15503FCB" w:rsidR="003A75AB" w:rsidRDefault="000C621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881E4D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>. Расчет сроков исполнения контрактов по Закону № 44-ФЗ</w:t>
      </w:r>
    </w:p>
    <w:p w14:paraId="58F9A26D" w14:textId="5A90A561" w:rsidR="003A75AB" w:rsidRDefault="000C6216">
      <w:pPr>
        <w:pStyle w:val="a5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2.</w:t>
      </w:r>
      <w:r w:rsidR="00881E4D">
        <w:rPr>
          <w:color w:val="000000"/>
          <w:sz w:val="20"/>
          <w:szCs w:val="20"/>
          <w:shd w:val="clear" w:color="auto" w:fill="FFFFFF"/>
        </w:rPr>
        <w:t>3</w:t>
      </w:r>
      <w:r>
        <w:rPr>
          <w:color w:val="000000"/>
          <w:sz w:val="20"/>
          <w:szCs w:val="20"/>
          <w:shd w:val="clear" w:color="auto" w:fill="FFFFFF"/>
        </w:rPr>
        <w:t>. Расторжение контракта в связи с односторонним отказом заказчика от его исполнения (для электронных процедур по 44-ФЗ)</w:t>
      </w:r>
    </w:p>
    <w:p w14:paraId="7BD91738" w14:textId="07AC7732" w:rsidR="003A75AB" w:rsidRDefault="000C621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</w:t>
      </w:r>
      <w:r w:rsidR="00881E4D">
        <w:rPr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. Возможность печати полученного расчета (или) сохранения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>.</w:t>
      </w:r>
    </w:p>
    <w:p w14:paraId="525CC790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4C60C1D8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3. Калькулятор расчета НМЦК по методу сопоставимых рыночных цен (анализ рынка), согласно методическим рекомендациям Минэкономразвития РФ (Приказ от 2 октября 2013 г. N 567) со следующими возможностями:</w:t>
      </w:r>
    </w:p>
    <w:p w14:paraId="36F94FD7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</w:t>
      </w:r>
      <w:proofErr w:type="gramStart"/>
      <w:r>
        <w:rPr>
          <w:color w:val="000000"/>
          <w:sz w:val="20"/>
          <w:szCs w:val="20"/>
        </w:rPr>
        <w:t>повышающие  коэффициенты</w:t>
      </w:r>
      <w:proofErr w:type="gramEnd"/>
      <w:r>
        <w:rPr>
          <w:color w:val="000000"/>
          <w:sz w:val="20"/>
          <w:szCs w:val="20"/>
        </w:rPr>
        <w:t xml:space="preserve"> к ценам (по способу и по периоду). Возможность уточнить характеристики товаров в исполненных контрактах;</w:t>
      </w:r>
    </w:p>
    <w:p w14:paraId="1578B2D1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Автоматический расчет и контроль </w:t>
      </w:r>
      <w:proofErr w:type="spellStart"/>
      <w:r>
        <w:rPr>
          <w:color w:val="000000"/>
          <w:sz w:val="20"/>
          <w:szCs w:val="20"/>
        </w:rPr>
        <w:t>непревышения</w:t>
      </w:r>
      <w:proofErr w:type="spellEnd"/>
      <w:r>
        <w:rPr>
          <w:color w:val="000000"/>
          <w:sz w:val="20"/>
          <w:szCs w:val="20"/>
        </w:rPr>
        <w:t xml:space="preserve"> коэффициента вариации;</w:t>
      </w:r>
    </w:p>
    <w:p w14:paraId="5270A8E2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добавления цен вручную;</w:t>
      </w:r>
    </w:p>
    <w:p w14:paraId="470BBF57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Формирование отчета 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docx</w:t>
      </w:r>
      <w:proofErr w:type="spellEnd"/>
      <w:r>
        <w:rPr>
          <w:color w:val="000000"/>
          <w:sz w:val="20"/>
          <w:szCs w:val="20"/>
        </w:rPr>
        <w:t>;</w:t>
      </w:r>
    </w:p>
    <w:p w14:paraId="28B85342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Проверка ТРУ на совместимость (</w:t>
      </w:r>
      <w:proofErr w:type="spellStart"/>
      <w:r>
        <w:rPr>
          <w:color w:val="000000"/>
          <w:sz w:val="20"/>
          <w:szCs w:val="20"/>
        </w:rPr>
        <w:t>лотирование</w:t>
      </w:r>
      <w:proofErr w:type="spellEnd"/>
      <w:proofErr w:type="gramStart"/>
      <w:r>
        <w:rPr>
          <w:color w:val="000000"/>
          <w:sz w:val="20"/>
          <w:szCs w:val="20"/>
        </w:rPr>
        <w:t>),  с</w:t>
      </w:r>
      <w:proofErr w:type="gramEnd"/>
      <w:r>
        <w:rPr>
          <w:color w:val="000000"/>
          <w:sz w:val="20"/>
          <w:szCs w:val="20"/>
        </w:rPr>
        <w:t xml:space="preserve"> автоматическим разделением списка на лоты. Выбор закона, по правилам </w:t>
      </w:r>
      <w:proofErr w:type="gramStart"/>
      <w:r>
        <w:rPr>
          <w:color w:val="000000"/>
          <w:sz w:val="20"/>
          <w:szCs w:val="20"/>
        </w:rPr>
        <w:t>которого  проводится</w:t>
      </w:r>
      <w:proofErr w:type="gramEnd"/>
      <w:r>
        <w:rPr>
          <w:color w:val="000000"/>
          <w:sz w:val="20"/>
          <w:szCs w:val="20"/>
        </w:rPr>
        <w:t xml:space="preserve"> разделение (№ 44-ФЗ/223-ФЗ);</w:t>
      </w:r>
    </w:p>
    <w:p w14:paraId="425EDEF9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Автоматическая загрузка позиций из файла (</w:t>
      </w:r>
      <w:proofErr w:type="spellStart"/>
      <w:r>
        <w:rPr>
          <w:color w:val="000000"/>
          <w:sz w:val="20"/>
          <w:szCs w:val="20"/>
        </w:rPr>
        <w:t>excel</w:t>
      </w:r>
      <w:proofErr w:type="spellEnd"/>
      <w:r>
        <w:rPr>
          <w:color w:val="000000"/>
          <w:sz w:val="20"/>
          <w:szCs w:val="20"/>
        </w:rPr>
        <w:t>);</w:t>
      </w:r>
    </w:p>
    <w:p w14:paraId="4C9CC1AF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НМЦЕ для закупок с неопределенным объемом (ч. 24 ст. 22 Закона № 44-ФЗ);</w:t>
      </w:r>
    </w:p>
    <w:p w14:paraId="34BF3E80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Выбор способа расчета (по минимальной или средней цене);</w:t>
      </w:r>
    </w:p>
    <w:p w14:paraId="27CD8BDE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14:paraId="137B958C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расчета, ответственное лицо и его должность.</w:t>
      </w:r>
    </w:p>
    <w:p w14:paraId="0724E3CB" w14:textId="77777777" w:rsidR="003A75AB" w:rsidRDefault="003A75AB">
      <w:pPr>
        <w:pStyle w:val="a5"/>
        <w:spacing w:before="0" w:beforeAutospacing="0" w:after="0" w:afterAutospacing="0" w:line="273" w:lineRule="auto"/>
        <w:jc w:val="both"/>
      </w:pPr>
    </w:p>
    <w:p w14:paraId="2D43A49C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lastRenderedPageBreak/>
        <w:t>Калькулятор расчета НМЦК согласно 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услуг, утвержденного приказом Федеральной службы войск национальной гвардии РФ от 15 февраля 2021 г. N 45 (далее – Порядок) для осуществления закупок охранных услуг частных охранных организаций со следующими возможностями:</w:t>
      </w:r>
    </w:p>
    <w:p w14:paraId="170EC18D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НМЦК по формуле, указанной в п. 2 Порядка;</w:t>
      </w:r>
    </w:p>
    <w:p w14:paraId="2C23FFA3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выбора следующих вариантов работы поста охраны: </w:t>
      </w:r>
    </w:p>
    <w:p w14:paraId="7C12D9A4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календарные дни (ежедневно);</w:t>
      </w:r>
    </w:p>
    <w:p w14:paraId="7A346914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рабочие дни (</w:t>
      </w:r>
      <w:proofErr w:type="spellStart"/>
      <w:r>
        <w:rPr>
          <w:bCs/>
          <w:color w:val="000000"/>
          <w:sz w:val="20"/>
          <w:szCs w:val="20"/>
        </w:rPr>
        <w:t>пн</w:t>
      </w:r>
      <w:proofErr w:type="spellEnd"/>
      <w:r>
        <w:rPr>
          <w:bCs/>
          <w:color w:val="000000"/>
          <w:sz w:val="20"/>
          <w:szCs w:val="20"/>
        </w:rPr>
        <w:t xml:space="preserve"> по </w:t>
      </w:r>
      <w:proofErr w:type="spellStart"/>
      <w:r>
        <w:rPr>
          <w:bCs/>
          <w:color w:val="000000"/>
          <w:sz w:val="20"/>
          <w:szCs w:val="20"/>
        </w:rPr>
        <w:t>пт</w:t>
      </w:r>
      <w:proofErr w:type="spellEnd"/>
      <w:r>
        <w:rPr>
          <w:bCs/>
          <w:color w:val="000000"/>
          <w:sz w:val="20"/>
          <w:szCs w:val="20"/>
        </w:rPr>
        <w:t>);</w:t>
      </w:r>
    </w:p>
    <w:p w14:paraId="47B011E3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только в выходные и праздничные дни;</w:t>
      </w:r>
    </w:p>
    <w:p w14:paraId="48AB016A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рабочие дни (</w:t>
      </w:r>
      <w:proofErr w:type="spellStart"/>
      <w:r>
        <w:rPr>
          <w:bCs/>
          <w:color w:val="000000"/>
          <w:sz w:val="20"/>
          <w:szCs w:val="20"/>
        </w:rPr>
        <w:t>пн</w:t>
      </w:r>
      <w:proofErr w:type="spellEnd"/>
      <w:r>
        <w:rPr>
          <w:bCs/>
          <w:color w:val="000000"/>
          <w:sz w:val="20"/>
          <w:szCs w:val="20"/>
        </w:rPr>
        <w:t xml:space="preserve"> по </w:t>
      </w:r>
      <w:proofErr w:type="spellStart"/>
      <w:r>
        <w:rPr>
          <w:bCs/>
          <w:color w:val="000000"/>
          <w:sz w:val="20"/>
          <w:szCs w:val="20"/>
        </w:rPr>
        <w:t>сб</w:t>
      </w:r>
      <w:proofErr w:type="spellEnd"/>
      <w:r>
        <w:rPr>
          <w:bCs/>
          <w:color w:val="000000"/>
          <w:sz w:val="20"/>
          <w:szCs w:val="20"/>
        </w:rPr>
        <w:t>);</w:t>
      </w:r>
    </w:p>
    <w:p w14:paraId="63621214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 w:line="273" w:lineRule="auto"/>
        <w:jc w:val="both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Другой график работы поста </w:t>
      </w:r>
      <w:proofErr w:type="gramStart"/>
      <w:r>
        <w:rPr>
          <w:bCs/>
          <w:color w:val="000000"/>
          <w:sz w:val="20"/>
          <w:szCs w:val="20"/>
        </w:rPr>
        <w:t>(</w:t>
      </w:r>
      <w:r>
        <w:rPr>
          <w:color w:val="000000"/>
          <w:sz w:val="20"/>
          <w:szCs w:val="20"/>
        </w:rPr>
        <w:t xml:space="preserve"> пост</w:t>
      </w:r>
      <w:proofErr w:type="gramEnd"/>
      <w:r>
        <w:rPr>
          <w:color w:val="000000"/>
          <w:sz w:val="20"/>
          <w:szCs w:val="20"/>
        </w:rPr>
        <w:t xml:space="preserve"> работает в дни недели, выбранные пользователем).</w:t>
      </w:r>
    </w:p>
    <w:p w14:paraId="445C698C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изменения часов работы поста (в т.ч. ночных) и количества постов.</w:t>
      </w:r>
    </w:p>
    <w:p w14:paraId="284A095C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Автоматический расчет количества дней и часов оказания услуг на основании информации из производственного календаря;</w:t>
      </w:r>
    </w:p>
    <w:p w14:paraId="3B55DEAC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составления единого расчета для нескольких постов, как с одинаковым, так и с разным режимом работы;</w:t>
      </w:r>
    </w:p>
    <w:p w14:paraId="684C3490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выбора и применения дополнительных коэффициентов;</w:t>
      </w:r>
    </w:p>
    <w:p w14:paraId="4E896E79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включения в расчет дополнительных услуг (СТСО, СЗЖ)</w:t>
      </w:r>
    </w:p>
    <w:p w14:paraId="096002F5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Формирование отчета 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>;</w:t>
      </w:r>
    </w:p>
    <w:p w14:paraId="435E332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14:paraId="0FDDBB03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расчета.</w:t>
      </w:r>
    </w:p>
    <w:p w14:paraId="485C1305" w14:textId="77777777" w:rsidR="003A75AB" w:rsidRDefault="003A75AB">
      <w:pPr>
        <w:pStyle w:val="a5"/>
        <w:tabs>
          <w:tab w:val="left" w:pos="426"/>
        </w:tabs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</w:p>
    <w:p w14:paraId="0F5271BF" w14:textId="77777777" w:rsidR="003A75AB" w:rsidRDefault="000C6216">
      <w:pPr>
        <w:pStyle w:val="a5"/>
        <w:numPr>
          <w:ilvl w:val="0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Калькулятор расчета НМЦК согласно п. 6 – 11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работы услуги при осуществлении закупок топлива моторного, включая автомобильный и авиационный бензин, утвержденного приказом ФАС России от 22 ноября 2024 г. № 894/24 со следующими возможностями:</w:t>
      </w:r>
    </w:p>
    <w:p w14:paraId="68E27870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выбора вида топлива (бензин автомобильный, бензин автомобильный АИ-92, бензин автомобильный АИ-95, бензин автомобильный АИ-98 и выше, дизельное топливо);</w:t>
      </w:r>
    </w:p>
    <w:p w14:paraId="5333488A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выбора региона поставки товара; </w:t>
      </w:r>
    </w:p>
    <w:p w14:paraId="7172A687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Автоматическая загрузка цен на нефтепродукты, опубликованных на сайте </w:t>
      </w:r>
      <w:hyperlink r:id="rId7" w:history="1">
        <w:r>
          <w:rPr>
            <w:rStyle w:val="a4"/>
            <w:i/>
            <w:iCs/>
            <w:color w:val="1155CC"/>
            <w:sz w:val="20"/>
            <w:szCs w:val="20"/>
          </w:rPr>
          <w:t>https://rosstat.gov.ru</w:t>
        </w:r>
      </w:hyperlink>
      <w:r>
        <w:rPr>
          <w:sz w:val="20"/>
          <w:szCs w:val="20"/>
        </w:rPr>
        <w:t xml:space="preserve">  за последний из имеющихся периодов по видам топлива и региону поставки;</w:t>
      </w:r>
    </w:p>
    <w:p w14:paraId="566B856C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Возможность самостоятельного выбора пользователем коэффициентов, которые будут применяться в </w:t>
      </w:r>
      <w:proofErr w:type="gramStart"/>
      <w:r>
        <w:rPr>
          <w:sz w:val="20"/>
          <w:szCs w:val="20"/>
        </w:rPr>
        <w:t>расчете:  индекса</w:t>
      </w:r>
      <w:proofErr w:type="gramEnd"/>
      <w:r>
        <w:rPr>
          <w:sz w:val="20"/>
          <w:szCs w:val="20"/>
        </w:rPr>
        <w:t xml:space="preserve"> потребительских цен (ИПЦ), коэффициента стоимости отвлечения  денежных средств (</w:t>
      </w:r>
      <w:proofErr w:type="spellStart"/>
      <w:r>
        <w:rPr>
          <w:sz w:val="20"/>
          <w:szCs w:val="20"/>
        </w:rPr>
        <w:t>Кодс</w:t>
      </w:r>
      <w:proofErr w:type="spellEnd"/>
      <w:r>
        <w:rPr>
          <w:sz w:val="20"/>
          <w:szCs w:val="20"/>
        </w:rPr>
        <w:t>) и коэффициента перехода на сезонный вид продукции (</w:t>
      </w:r>
      <w:proofErr w:type="spellStart"/>
      <w:r>
        <w:rPr>
          <w:sz w:val="20"/>
          <w:szCs w:val="20"/>
        </w:rPr>
        <w:t>Ксез</w:t>
      </w:r>
      <w:proofErr w:type="spellEnd"/>
      <w:r>
        <w:rPr>
          <w:sz w:val="20"/>
          <w:szCs w:val="20"/>
        </w:rPr>
        <w:t xml:space="preserve">). </w:t>
      </w:r>
    </w:p>
    <w:p w14:paraId="75EA6E27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>Автоматический расчет коэффициента ИПЦ (</w:t>
      </w:r>
      <w:proofErr w:type="spellStart"/>
      <w:r>
        <w:rPr>
          <w:sz w:val="20"/>
          <w:szCs w:val="20"/>
        </w:rPr>
        <w:t>Кипц</w:t>
      </w:r>
      <w:proofErr w:type="spellEnd"/>
      <w:r>
        <w:rPr>
          <w:sz w:val="20"/>
          <w:szCs w:val="20"/>
        </w:rPr>
        <w:t xml:space="preserve">), позволяющего проиндексировать цену, полученную из источника статистических данных (рыночный индикатор), с применением ИПЦ на период поставки товара.   </w:t>
      </w:r>
    </w:p>
    <w:p w14:paraId="3D90B9EA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</w:t>
      </w:r>
      <w:proofErr w:type="spellStart"/>
      <w:r>
        <w:rPr>
          <w:sz w:val="20"/>
          <w:szCs w:val="20"/>
        </w:rPr>
        <w:t>Кодс</w:t>
      </w:r>
      <w:proofErr w:type="spellEnd"/>
      <w:r>
        <w:rPr>
          <w:sz w:val="20"/>
          <w:szCs w:val="20"/>
        </w:rPr>
        <w:t xml:space="preserve"> в зависимости от количества дней отсрочки платежа, указанных пользователем. </w:t>
      </w:r>
    </w:p>
    <w:p w14:paraId="743927A3" w14:textId="77777777" w:rsidR="003A75AB" w:rsidRDefault="000C621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НМЦК, цены единицы топлива с учетом </w:t>
      </w:r>
      <w:proofErr w:type="spellStart"/>
      <w:r>
        <w:rPr>
          <w:sz w:val="20"/>
          <w:szCs w:val="20"/>
        </w:rPr>
        <w:t>Кипц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Кодс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Ксез</w:t>
      </w:r>
      <w:proofErr w:type="spellEnd"/>
      <w:r>
        <w:rPr>
          <w:sz w:val="20"/>
          <w:szCs w:val="20"/>
        </w:rPr>
        <w:t xml:space="preserve">. </w:t>
      </w:r>
    </w:p>
    <w:p w14:paraId="4FB28C0E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НМЦЕ для закупок с неопределенным объемом (ч. 24 ст. 22 Закона № 44-ФЗ);</w:t>
      </w:r>
    </w:p>
    <w:p w14:paraId="0FB3C809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14:paraId="7F0DB7A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расчета, ответственное лицо и его должность.</w:t>
      </w:r>
    </w:p>
    <w:p w14:paraId="4C4BF004" w14:textId="77777777" w:rsidR="003A75AB" w:rsidRDefault="003A75AB">
      <w:pPr>
        <w:pStyle w:val="a5"/>
        <w:spacing w:before="0" w:beforeAutospacing="0" w:after="0" w:afterAutospacing="0" w:line="273" w:lineRule="auto"/>
        <w:ind w:left="360"/>
        <w:jc w:val="both"/>
      </w:pPr>
    </w:p>
    <w:p w14:paraId="18439BA7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Инструмент «Поиск документации»</w:t>
      </w:r>
    </w:p>
    <w:p w14:paraId="74B7131B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поиска документации среди размещенных закупок в ЕИС по коду КТРУ/ОКПД2 и (или) наименованию товара, работы, услуги;</w:t>
      </w:r>
    </w:p>
    <w:p w14:paraId="2E64F0E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учитывать регион и дату публикации;</w:t>
      </w:r>
    </w:p>
    <w:p w14:paraId="717B0F74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искать документацию выбранного заказчика;</w:t>
      </w:r>
    </w:p>
    <w:p w14:paraId="190CDC2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найти документацию для закупок с неопределенным объемом (ч. 24 ст. 22 Закона № 44-ФЗ)</w:t>
      </w:r>
    </w:p>
    <w:p w14:paraId="1D66F706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Информация о наличии / отсутствии жалоб в ФАС по выбранной документации; </w:t>
      </w:r>
    </w:p>
    <w:p w14:paraId="121F6AC3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lastRenderedPageBreak/>
        <w:t>Вывод характеристик ТРУ, даты публикации, цены за единицу, способа закупки, наименования заказчика;</w:t>
      </w:r>
    </w:p>
    <w:p w14:paraId="5A4F7C8D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Вывод установленных в закупке запретов/ограничений/преимуществ по Постановлению Правительства РФ № 1875 от 23 декабря 2024 г., преимуществ по распоряжению Правительства РФ № 3500-р от 8 декабря 2021 г. и преимуществ по ч. 3 ст. 30 Закона № 44-ФЗ. </w:t>
      </w:r>
    </w:p>
    <w:p w14:paraId="366A1287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скачать документацию, перейти из результатов поиска на карточку закупки в ЕИС.</w:t>
      </w:r>
    </w:p>
    <w:p w14:paraId="1E558EB3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</w:pPr>
      <w:r>
        <w:t> </w:t>
      </w:r>
    </w:p>
    <w:p w14:paraId="535031B5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Инструмент «Проверка контрагента» для проверки информации об участниках закупки и поставщиках (подрядчиках, исполнителях)</w:t>
      </w:r>
    </w:p>
    <w:p w14:paraId="468FCDF0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Автоматическая проверка на </w:t>
      </w:r>
      <w:proofErr w:type="gramStart"/>
      <w:r>
        <w:rPr>
          <w:color w:val="000000"/>
          <w:sz w:val="20"/>
          <w:szCs w:val="20"/>
        </w:rPr>
        <w:t>наличие  информации</w:t>
      </w:r>
      <w:proofErr w:type="gramEnd"/>
      <w:r>
        <w:rPr>
          <w:color w:val="000000"/>
          <w:sz w:val="20"/>
          <w:szCs w:val="20"/>
        </w:rPr>
        <w:t xml:space="preserve"> в РНП по 44-ФЗ и по 223-ФЗ;</w:t>
      </w:r>
    </w:p>
    <w:p w14:paraId="15DC3A38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Наличие сведений о лицензиях;</w:t>
      </w:r>
    </w:p>
    <w:p w14:paraId="3CB23B81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Наличие сведений о членстве в СРО;</w:t>
      </w:r>
    </w:p>
    <w:p w14:paraId="1CA19071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Наличие сведений об обязательной аккредитации;</w:t>
      </w:r>
    </w:p>
    <w:p w14:paraId="7D2F0AF3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Автоматическая поверка на привлечение к административной ответственности по ст.19.28 КоАП РФ;</w:t>
      </w:r>
    </w:p>
    <w:p w14:paraId="10C40C8F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сведений в перечне иностранных агентов;</w:t>
      </w:r>
    </w:p>
    <w:p w14:paraId="4C227C3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Проверка на наличие информации в </w:t>
      </w:r>
      <w:proofErr w:type="spellStart"/>
      <w:r>
        <w:rPr>
          <w:color w:val="000000"/>
          <w:sz w:val="20"/>
          <w:szCs w:val="20"/>
        </w:rPr>
        <w:t>подсанкционном</w:t>
      </w:r>
      <w:proofErr w:type="spellEnd"/>
      <w:r>
        <w:rPr>
          <w:color w:val="000000"/>
          <w:sz w:val="20"/>
          <w:szCs w:val="20"/>
        </w:rPr>
        <w:t xml:space="preserve"> списке по Указу Президента РФ от 03.05.2022 №252;</w:t>
      </w:r>
    </w:p>
    <w:p w14:paraId="62049256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информации о банкротстве;</w:t>
      </w:r>
    </w:p>
    <w:p w14:paraId="646EE234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 наличии конкурсного производства;</w:t>
      </w:r>
    </w:p>
    <w:p w14:paraId="0CE8D37D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об имеющихся исполнительных производствах;</w:t>
      </w:r>
    </w:p>
    <w:p w14:paraId="5B0619C8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недоимок, задолженности по уплате налогов и сборов;</w:t>
      </w:r>
    </w:p>
    <w:p w14:paraId="1417F06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 наличии судимости за преступления в сфере экономики (ст.158-204 УК РФ), преступления по статьям 289, 290, 291, 291.1 УК РФ;</w:t>
      </w:r>
    </w:p>
    <w:p w14:paraId="756ED56A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информации о дисквалификации;</w:t>
      </w:r>
    </w:p>
    <w:p w14:paraId="37FE4B94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сведений об организации в списке офшорных компаний</w:t>
      </w:r>
    </w:p>
    <w:p w14:paraId="31A64136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 статусе СМП и СОНО у организации;</w:t>
      </w:r>
    </w:p>
    <w:p w14:paraId="5220834B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физического лица на наличие статуса плательщика налога на профессиональный доход;</w:t>
      </w:r>
    </w:p>
    <w:p w14:paraId="4459A372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индивидуальной настройки необходимых критериев проверки;</w:t>
      </w:r>
    </w:p>
    <w:p w14:paraId="3DE02607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Вывод подсказки для пользователей об обязательности отдельных критериев проверки (право или обязанность) с указанием нормы закона;</w:t>
      </w:r>
    </w:p>
    <w:p w14:paraId="5B1FBDAC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Сохранение в файл формата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результатов проверки.</w:t>
      </w:r>
    </w:p>
    <w:p w14:paraId="6BBC553C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331ED243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Инструмент «ИИ эксперт по закону» </w:t>
      </w:r>
    </w:p>
    <w:p w14:paraId="40752ABC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О</w:t>
      </w:r>
      <w:r>
        <w:rPr>
          <w:sz w:val="20"/>
          <w:szCs w:val="20"/>
        </w:rPr>
        <w:t>перативные консультации пользователей по применению 44-ФЗ и иных нормативных правовых актов, регулирующих закупочную деятельность, на основе искусственного интеллекта. Пользователь задаёт вопрос о закупках, а ИИ анализирует законодательство, разъяснения контролирующих органов и формирует понятный и структурированный ответ.</w:t>
      </w:r>
    </w:p>
    <w:p w14:paraId="69F53254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Сохранение истории запросов.</w:t>
      </w:r>
    </w:p>
    <w:p w14:paraId="7E98BE04" w14:textId="77777777" w:rsidR="003A75AB" w:rsidRDefault="003A75AB">
      <w:pPr>
        <w:pStyle w:val="a5"/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</w:p>
    <w:p w14:paraId="44BEA92C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Сервис «Текущие закупки» для отслеживания событий по закупкам:</w:t>
      </w:r>
    </w:p>
    <w:p w14:paraId="616CD16D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Блок «Запланированы на текущий год» - данные из Плана-графика, с </w:t>
      </w:r>
      <w:proofErr w:type="gramStart"/>
      <w:r>
        <w:rPr>
          <w:color w:val="000000"/>
          <w:sz w:val="20"/>
          <w:szCs w:val="20"/>
        </w:rPr>
        <w:t>указанием  наименование</w:t>
      </w:r>
      <w:proofErr w:type="gramEnd"/>
      <w:r>
        <w:rPr>
          <w:color w:val="000000"/>
          <w:sz w:val="20"/>
          <w:szCs w:val="20"/>
        </w:rPr>
        <w:t xml:space="preserve"> объекта закупки, ИКЗ, объема фин. обеспечения на текущий год, и остатка средств по позициям плана-графика;</w:t>
      </w:r>
    </w:p>
    <w:p w14:paraId="26AB37A3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возможность просмотра связанных с позицией плана графика закупок и контрактов; </w:t>
      </w:r>
    </w:p>
    <w:p w14:paraId="1182376B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карточки закупки, контракта или плана-графика на ЕИС при нажатии на номер закупки, контракта или ИКЗ;</w:t>
      </w:r>
    </w:p>
    <w:p w14:paraId="4B94B71F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поиска закупок по наименованию;</w:t>
      </w:r>
    </w:p>
    <w:p w14:paraId="23420365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Блок  «</w:t>
      </w:r>
      <w:proofErr w:type="gramEnd"/>
      <w:r>
        <w:rPr>
          <w:color w:val="000000"/>
          <w:sz w:val="20"/>
          <w:szCs w:val="20"/>
        </w:rPr>
        <w:t>Проводятся» - закупки, находящиеся в процессе проведения с указанием приближающихся этапов проведения и сроков по ним;</w:t>
      </w:r>
    </w:p>
    <w:p w14:paraId="3688F915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карточку закупки на ЕИС при нажатии на название закупки;</w:t>
      </w:r>
    </w:p>
    <w:p w14:paraId="3FC867BB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Блок «Контракты на исполнении» - список находящихся на стадии исполнения контрактов (отдельных этапов контрактов) с информацией о произведенных оплатах;</w:t>
      </w:r>
    </w:p>
    <w:p w14:paraId="06404741" w14:textId="77777777" w:rsidR="003A75AB" w:rsidRDefault="000C621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карточку контракта на ЕИС при нажатии на название закупки.</w:t>
      </w:r>
    </w:p>
    <w:p w14:paraId="6AFA45AD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1E4FFF7A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Сервис «Реестр закупок»:</w:t>
      </w:r>
    </w:p>
    <w:p w14:paraId="7E08A815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Подгружаются все контакты по 44-ФЗ из ЕИС, с возможностью фильтрации по дате, способу закупки, цене контракта, статусу на ЕИС;</w:t>
      </w:r>
    </w:p>
    <w:p w14:paraId="2D2539BF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формирования отчета об объеме закупок у СМП за </w:t>
      </w:r>
      <w:proofErr w:type="gramStart"/>
      <w:r>
        <w:rPr>
          <w:color w:val="000000"/>
          <w:sz w:val="20"/>
          <w:szCs w:val="20"/>
        </w:rPr>
        <w:t>выбранный  год</w:t>
      </w:r>
      <w:proofErr w:type="gramEnd"/>
      <w:r>
        <w:rPr>
          <w:color w:val="000000"/>
          <w:sz w:val="20"/>
          <w:szCs w:val="20"/>
        </w:rPr>
        <w:t>;</w:t>
      </w:r>
    </w:p>
    <w:p w14:paraId="082521A4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Возможность загрузки прямых договоров по п.4, п.5 ч.1 ст. 93 44-ФЗ (из файла </w:t>
      </w:r>
      <w:proofErr w:type="spellStart"/>
      <w:r>
        <w:rPr>
          <w:color w:val="000000"/>
          <w:sz w:val="20"/>
          <w:szCs w:val="20"/>
        </w:rPr>
        <w:t>excel</w:t>
      </w:r>
      <w:proofErr w:type="spellEnd"/>
      <w:r>
        <w:rPr>
          <w:color w:val="000000"/>
          <w:sz w:val="20"/>
          <w:szCs w:val="20"/>
        </w:rPr>
        <w:t>) и возможность ручного внесения прямых договоров;</w:t>
      </w:r>
    </w:p>
    <w:p w14:paraId="13884E79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выгрузки данных в </w:t>
      </w:r>
      <w:proofErr w:type="spellStart"/>
      <w:r>
        <w:rPr>
          <w:color w:val="000000"/>
          <w:sz w:val="20"/>
          <w:szCs w:val="20"/>
        </w:rPr>
        <w:t>excel</w:t>
      </w:r>
      <w:proofErr w:type="spellEnd"/>
      <w:r>
        <w:rPr>
          <w:color w:val="000000"/>
          <w:sz w:val="20"/>
          <w:szCs w:val="20"/>
        </w:rPr>
        <w:t xml:space="preserve"> - таблицу;</w:t>
      </w:r>
    </w:p>
    <w:p w14:paraId="6F372CC7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Расчет пеней, начисляемых поставщику.</w:t>
      </w:r>
    </w:p>
    <w:p w14:paraId="32BDD0AB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36FB0C0F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Сервис «Планирование закупки»</w:t>
      </w:r>
    </w:p>
    <w:p w14:paraId="580A706B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Создание заявки на закупку с возможностью заполнения следующих данных и их редактирования в дальнейшем: номер заявки, статус заявки, дата заявки, источник финансирования, наименование подразделения и наименование ТРУ, ответственное лицо, сумма по заявке, срок поставки, а так же возможность добавления и редактирования дополнительных полей с индивидуальной доп. информацией по заявке;</w:t>
      </w:r>
    </w:p>
    <w:p w14:paraId="238791F7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Подготовка описания объекта закупки: </w:t>
      </w:r>
    </w:p>
    <w:p w14:paraId="22F76316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подбор кода ОКПД2/КТРУ, </w:t>
      </w:r>
    </w:p>
    <w:p w14:paraId="07A0F8DF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выбора характеристик, предусмотренных позицией КТРУ, </w:t>
      </w:r>
    </w:p>
    <w:p w14:paraId="45782721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указания дополнительных характеристик, не предусмотренных позицией КТРУ, в разрешенных законом случаях и обоснования их применения;</w:t>
      </w:r>
    </w:p>
    <w:p w14:paraId="2D81E598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указаниях характеристик, если в </w:t>
      </w:r>
      <w:proofErr w:type="gramStart"/>
      <w:r>
        <w:rPr>
          <w:sz w:val="20"/>
          <w:szCs w:val="20"/>
        </w:rPr>
        <w:t>закупке  используется</w:t>
      </w:r>
      <w:proofErr w:type="gramEnd"/>
      <w:r>
        <w:rPr>
          <w:sz w:val="20"/>
          <w:szCs w:val="20"/>
        </w:rPr>
        <w:t xml:space="preserve"> не позиция КТРУ, а код ОКПД2;</w:t>
      </w:r>
    </w:p>
    <w:p w14:paraId="6B51D26E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выбор инструкций по заполнению структурированной заявки участником закупки; </w:t>
      </w:r>
    </w:p>
    <w:p w14:paraId="3D02BA7A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загрузить позиции из файла формата </w:t>
      </w:r>
      <w:r>
        <w:rPr>
          <w:sz w:val="20"/>
          <w:szCs w:val="20"/>
          <w:lang w:val="en-US"/>
        </w:rPr>
        <w:t>xlsx</w:t>
      </w:r>
      <w:r>
        <w:rPr>
          <w:sz w:val="20"/>
          <w:szCs w:val="20"/>
        </w:rPr>
        <w:t>;</w:t>
      </w:r>
    </w:p>
    <w:p w14:paraId="2CB89F2E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скопировать в новую закупку выбранные позиции;</w:t>
      </w:r>
    </w:p>
    <w:p w14:paraId="41BF7EC7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- </w:t>
      </w:r>
      <w:r>
        <w:rPr>
          <w:sz w:val="20"/>
          <w:szCs w:val="20"/>
        </w:rPr>
        <w:t xml:space="preserve"> формирование файла «Описание объекта закупки» в формате </w:t>
      </w:r>
      <w:r>
        <w:rPr>
          <w:sz w:val="20"/>
          <w:szCs w:val="20"/>
          <w:lang w:val="en-US"/>
        </w:rPr>
        <w:t>Word</w:t>
      </w:r>
      <w:r>
        <w:rPr>
          <w:sz w:val="20"/>
          <w:szCs w:val="20"/>
        </w:rPr>
        <w:t xml:space="preserve"> или </w:t>
      </w:r>
      <w:r>
        <w:rPr>
          <w:sz w:val="20"/>
          <w:szCs w:val="20"/>
          <w:lang w:val="en-US"/>
        </w:rPr>
        <w:t>Excel</w:t>
      </w:r>
      <w:r>
        <w:rPr>
          <w:sz w:val="20"/>
          <w:szCs w:val="20"/>
        </w:rPr>
        <w:t>;</w:t>
      </w:r>
    </w:p>
    <w:p w14:paraId="6A6F74AD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>Проверка ТРУ, включенных в описание объекта закупки, на совместимость (</w:t>
      </w:r>
      <w:proofErr w:type="spellStart"/>
      <w:r>
        <w:rPr>
          <w:sz w:val="20"/>
          <w:szCs w:val="20"/>
        </w:rPr>
        <w:t>лотирование</w:t>
      </w:r>
      <w:proofErr w:type="spellEnd"/>
      <w:r>
        <w:rPr>
          <w:sz w:val="20"/>
          <w:szCs w:val="20"/>
        </w:rPr>
        <w:t xml:space="preserve">), с автоматическим разделением списка на лоты. Выбор закона, по правилам </w:t>
      </w:r>
      <w:proofErr w:type="gramStart"/>
      <w:r>
        <w:rPr>
          <w:sz w:val="20"/>
          <w:szCs w:val="20"/>
        </w:rPr>
        <w:t>которого  проводится</w:t>
      </w:r>
      <w:proofErr w:type="gramEnd"/>
      <w:r>
        <w:rPr>
          <w:sz w:val="20"/>
          <w:szCs w:val="20"/>
        </w:rPr>
        <w:t xml:space="preserve"> разделение (№ 44-ФЗ/223-ФЗ);</w:t>
      </w:r>
    </w:p>
    <w:p w14:paraId="50DC0FA0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Поиск в реестре </w:t>
      </w:r>
      <w:proofErr w:type="gramStart"/>
      <w:r>
        <w:rPr>
          <w:sz w:val="20"/>
          <w:szCs w:val="20"/>
        </w:rPr>
        <w:t>контрактов поставщиков</w:t>
      </w:r>
      <w:proofErr w:type="gramEnd"/>
      <w:r>
        <w:rPr>
          <w:sz w:val="20"/>
          <w:szCs w:val="20"/>
        </w:rPr>
        <w:t xml:space="preserve"> не включенных в РНП, для ТРУ, включенных в описание объекта закупки, с фильтрами по региону поставщика, дате заключения, принадлежности к СМП, наличию исполненных без неустоек контрактов. Вывод контактных данных поставщиков (телефон, </w:t>
      </w:r>
      <w:proofErr w:type="spellStart"/>
      <w:r>
        <w:rPr>
          <w:sz w:val="20"/>
          <w:szCs w:val="20"/>
        </w:rPr>
        <w:t>email</w:t>
      </w:r>
      <w:proofErr w:type="spellEnd"/>
      <w:r>
        <w:rPr>
          <w:sz w:val="20"/>
          <w:szCs w:val="20"/>
        </w:rPr>
        <w:t xml:space="preserve">). Возможность просмотреть количество исполненных контрактов у поставщика. Возможность запросить коммерческие </w:t>
      </w:r>
      <w:proofErr w:type="gramStart"/>
      <w:r>
        <w:rPr>
          <w:sz w:val="20"/>
          <w:szCs w:val="20"/>
        </w:rPr>
        <w:t>предложения  по</w:t>
      </w:r>
      <w:proofErr w:type="gramEnd"/>
      <w:r>
        <w:rPr>
          <w:sz w:val="20"/>
          <w:szCs w:val="20"/>
        </w:rPr>
        <w:t xml:space="preserve"> списку выбранных поставщиков и скопировать отмеченные электронные адреса;</w:t>
      </w:r>
    </w:p>
    <w:p w14:paraId="255053DB" w14:textId="77777777" w:rsidR="003A75AB" w:rsidRDefault="000C621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Расчет НМЦК для ТРУ, включенных в описание объекта закупки, по методу сопоставимых рыночных цен (анализ рынка) согласно методическим рекомендациям Минэкономразвития РФ (Приказ от 2 октября 2013 г. N 567):</w:t>
      </w:r>
    </w:p>
    <w:p w14:paraId="15ADAD29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- 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</w:t>
      </w:r>
      <w:proofErr w:type="gramStart"/>
      <w:r>
        <w:rPr>
          <w:color w:val="000000"/>
          <w:sz w:val="20"/>
          <w:szCs w:val="20"/>
        </w:rPr>
        <w:t>повышающие  коэффициенты</w:t>
      </w:r>
      <w:proofErr w:type="gramEnd"/>
      <w:r>
        <w:rPr>
          <w:color w:val="000000"/>
          <w:sz w:val="20"/>
          <w:szCs w:val="20"/>
        </w:rPr>
        <w:t xml:space="preserve"> к ценам (по способу и по периоду). Возможность уточнить характеристики товаров в исполненных контрактах;</w:t>
      </w:r>
    </w:p>
    <w:p w14:paraId="42D8C500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- автоматический расчет и контроль </w:t>
      </w:r>
      <w:proofErr w:type="spellStart"/>
      <w:r>
        <w:rPr>
          <w:color w:val="000000"/>
          <w:sz w:val="20"/>
          <w:szCs w:val="20"/>
        </w:rPr>
        <w:t>непревышения</w:t>
      </w:r>
      <w:proofErr w:type="spellEnd"/>
      <w:r>
        <w:rPr>
          <w:color w:val="000000"/>
          <w:sz w:val="20"/>
          <w:szCs w:val="20"/>
        </w:rPr>
        <w:t xml:space="preserve"> коэффициента вариации;</w:t>
      </w:r>
    </w:p>
    <w:p w14:paraId="110A794E" w14:textId="77777777" w:rsidR="003A75AB" w:rsidRDefault="000C6216">
      <w:pPr>
        <w:pStyle w:val="a5"/>
        <w:spacing w:before="0" w:beforeAutospacing="0" w:after="0" w:afterAutospacing="0" w:line="273" w:lineRule="auto"/>
        <w:ind w:firstLine="360"/>
        <w:jc w:val="both"/>
        <w:rPr>
          <w:color w:val="000000"/>
          <w:sz w:val="20"/>
          <w:szCs w:val="20"/>
        </w:rPr>
      </w:pPr>
      <w:r>
        <w:t xml:space="preserve">- </w:t>
      </w:r>
      <w:r>
        <w:rPr>
          <w:color w:val="000000"/>
          <w:sz w:val="20"/>
          <w:szCs w:val="20"/>
        </w:rPr>
        <w:t>возможность добавления цен вручную;</w:t>
      </w:r>
    </w:p>
    <w:p w14:paraId="59DC52D1" w14:textId="77777777" w:rsidR="003A75AB" w:rsidRDefault="000C6216">
      <w:pPr>
        <w:pStyle w:val="a5"/>
        <w:spacing w:before="0" w:beforeAutospacing="0" w:after="0" w:afterAutospacing="0" w:line="273" w:lineRule="auto"/>
        <w:ind w:firstLine="360"/>
        <w:jc w:val="both"/>
      </w:pPr>
      <w:r>
        <w:t>- ф</w:t>
      </w:r>
      <w:r>
        <w:rPr>
          <w:color w:val="000000"/>
          <w:sz w:val="20"/>
          <w:szCs w:val="20"/>
        </w:rPr>
        <w:t xml:space="preserve">ормирование отчета 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docx</w:t>
      </w:r>
      <w:proofErr w:type="spellEnd"/>
      <w:r>
        <w:rPr>
          <w:color w:val="000000"/>
          <w:sz w:val="20"/>
          <w:szCs w:val="20"/>
        </w:rPr>
        <w:t>.</w:t>
      </w:r>
    </w:p>
    <w:p w14:paraId="7461FF94" w14:textId="77777777" w:rsidR="003A75AB" w:rsidRDefault="003A75AB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  <w:highlight w:val="yellow"/>
        </w:rPr>
      </w:pPr>
    </w:p>
    <w:p w14:paraId="6E96C0EE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Раздел «Новости»:</w:t>
      </w:r>
    </w:p>
    <w:p w14:paraId="28746785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Ежедневные новости по законодательству о </w:t>
      </w:r>
      <w:proofErr w:type="spellStart"/>
      <w:proofErr w:type="gramStart"/>
      <w:r>
        <w:rPr>
          <w:color w:val="000000"/>
          <w:sz w:val="20"/>
          <w:szCs w:val="20"/>
        </w:rPr>
        <w:t>гос.закупках</w:t>
      </w:r>
      <w:proofErr w:type="spellEnd"/>
      <w:proofErr w:type="gramEnd"/>
      <w:r>
        <w:rPr>
          <w:color w:val="000000"/>
          <w:sz w:val="20"/>
          <w:szCs w:val="20"/>
        </w:rPr>
        <w:t>.</w:t>
      </w:r>
    </w:p>
    <w:p w14:paraId="14B412F0" w14:textId="77777777" w:rsidR="003A75AB" w:rsidRDefault="003A75AB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</w:p>
    <w:p w14:paraId="5B474ED0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Раздел «Полезные материалы» </w:t>
      </w:r>
    </w:p>
    <w:p w14:paraId="59A7624B" w14:textId="77777777" w:rsidR="003A75AB" w:rsidRDefault="000C6216">
      <w:pPr>
        <w:pStyle w:val="a5"/>
        <w:spacing w:before="0" w:beforeAutospacing="0" w:after="0" w:afterAutospacing="0"/>
        <w:ind w:left="36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Статьи и памятки, вебинары, вопросы эксперту, шаблоны документов по госзакупкам.</w:t>
      </w:r>
    </w:p>
    <w:p w14:paraId="0572C432" w14:textId="77777777" w:rsidR="003A75AB" w:rsidRDefault="003A75AB">
      <w:pPr>
        <w:pStyle w:val="a5"/>
        <w:spacing w:before="0" w:beforeAutospacing="0" w:after="0" w:afterAutospacing="0" w:line="273" w:lineRule="auto"/>
        <w:jc w:val="both"/>
        <w:rPr>
          <w:sz w:val="20"/>
          <w:szCs w:val="20"/>
        </w:rPr>
      </w:pPr>
    </w:p>
    <w:p w14:paraId="1EDD69B0" w14:textId="77777777" w:rsidR="003A75AB" w:rsidRDefault="000C621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Технические требования: </w:t>
      </w:r>
    </w:p>
    <w:p w14:paraId="2F2C4F45" w14:textId="77777777" w:rsidR="003A75AB" w:rsidRDefault="000C6216">
      <w:pPr>
        <w:pStyle w:val="a5"/>
        <w:tabs>
          <w:tab w:val="left" w:pos="426"/>
        </w:tabs>
        <w:spacing w:before="0" w:beforeAutospacing="0" w:after="0" w:afterAutospacing="0" w:line="273" w:lineRule="auto"/>
        <w:ind w:left="426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Сервис должен поддерживать стабильную работу в следующих браузерах: </w:t>
      </w:r>
      <w:proofErr w:type="spellStart"/>
      <w:proofErr w:type="gramStart"/>
      <w:r>
        <w:rPr>
          <w:color w:val="000000"/>
          <w:sz w:val="20"/>
          <w:szCs w:val="20"/>
        </w:rPr>
        <w:t>Chrome</w:t>
      </w:r>
      <w:proofErr w:type="spellEnd"/>
      <w:r>
        <w:rPr>
          <w:color w:val="000000"/>
          <w:sz w:val="20"/>
          <w:szCs w:val="20"/>
        </w:rPr>
        <w:t>,  Яндекс</w:t>
      </w:r>
      <w:proofErr w:type="gramEnd"/>
      <w:r>
        <w:rPr>
          <w:color w:val="000000"/>
          <w:sz w:val="20"/>
          <w:szCs w:val="20"/>
        </w:rPr>
        <w:t>, Firefox, Opera.</w:t>
      </w:r>
    </w:p>
    <w:p w14:paraId="51E9C4BC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102D42C2" w14:textId="77777777" w:rsidR="003A75AB" w:rsidRDefault="000C6216">
      <w:pPr>
        <w:pStyle w:val="a5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Требования к оказываемым услугам сопровождения программного обеспечения</w:t>
      </w:r>
    </w:p>
    <w:p w14:paraId="3366B384" w14:textId="77777777" w:rsidR="003A75AB" w:rsidRDefault="000C621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Пользователям должна оказываться </w:t>
      </w:r>
      <w:r>
        <w:rPr>
          <w:b/>
          <w:bCs/>
          <w:color w:val="000000"/>
          <w:sz w:val="20"/>
          <w:szCs w:val="20"/>
        </w:rPr>
        <w:t>техническая и консультативная поддержка</w:t>
      </w:r>
      <w:r>
        <w:rPr>
          <w:color w:val="000000"/>
          <w:sz w:val="20"/>
          <w:szCs w:val="20"/>
        </w:rPr>
        <w:t xml:space="preserve"> по работе </w:t>
      </w:r>
      <w:proofErr w:type="gramStart"/>
      <w:r>
        <w:rPr>
          <w:color w:val="000000"/>
          <w:sz w:val="20"/>
          <w:szCs w:val="20"/>
        </w:rPr>
        <w:t>с  программным</w:t>
      </w:r>
      <w:proofErr w:type="gramEnd"/>
      <w:r>
        <w:rPr>
          <w:color w:val="000000"/>
          <w:sz w:val="20"/>
          <w:szCs w:val="20"/>
        </w:rPr>
        <w:t xml:space="preserve"> продуктом посредством телефонной связи и электронной почты.</w:t>
      </w:r>
    </w:p>
    <w:p w14:paraId="06019AC9" w14:textId="77777777" w:rsidR="003A75AB" w:rsidRDefault="000C621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069BBD9B" w14:textId="7E65776D" w:rsidR="003A75AB" w:rsidRDefault="003A75AB"/>
    <w:tbl>
      <w:tblPr>
        <w:tblW w:w="9381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4561"/>
        <w:gridCol w:w="4820"/>
      </w:tblGrid>
      <w:tr w:rsidR="00881E4D" w:rsidRPr="00881E4D" w14:paraId="1409C2F1" w14:textId="77777777" w:rsidTr="00881E4D">
        <w:trPr>
          <w:trHeight w:val="274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7772EF22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b/>
                <w:lang w:eastAsia="zh-CN"/>
              </w:rPr>
              <w:t>ЛИЦЕНЗИАР: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4CE56A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b/>
                <w:lang w:eastAsia="zh-CN"/>
              </w:rPr>
              <w:t>ЛИЦЕНЗИАТ:</w:t>
            </w:r>
          </w:p>
        </w:tc>
      </w:tr>
      <w:tr w:rsidR="00881E4D" w:rsidRPr="00881E4D" w14:paraId="7D6E1392" w14:textId="77777777" w:rsidTr="00881E4D">
        <w:trPr>
          <w:trHeight w:val="405"/>
        </w:trPr>
        <w:tc>
          <w:tcPr>
            <w:tcW w:w="4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5884A34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00"/>
          </w:tcPr>
          <w:p w14:paraId="68937EA3" w14:textId="77777777" w:rsidR="00881E4D" w:rsidRPr="00881E4D" w:rsidRDefault="00881E4D" w:rsidP="00881E4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bookmarkStart w:id="0" w:name="__DdeLink__720_2053551605"/>
            <w:r w:rsidRPr="00881E4D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МБУ "ВЫРИЦКИЙ ЦБ"</w:t>
            </w:r>
            <w:bookmarkEnd w:id="0"/>
          </w:p>
        </w:tc>
      </w:tr>
      <w:tr w:rsidR="00881E4D" w:rsidRPr="00881E4D" w14:paraId="4D028E63" w14:textId="77777777" w:rsidTr="00881E4D">
        <w:tc>
          <w:tcPr>
            <w:tcW w:w="4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2F1B883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00"/>
          </w:tcPr>
          <w:p w14:paraId="0E401F6F" w14:textId="77777777" w:rsidR="00881E4D" w:rsidRPr="00881E4D" w:rsidRDefault="00881E4D" w:rsidP="00881E4D">
            <w:pPr>
              <w:widowControl w:val="0"/>
              <w:tabs>
                <w:tab w:val="left" w:pos="1134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lang w:eastAsia="zh-CN"/>
              </w:rPr>
              <w:t>Директор</w:t>
            </w:r>
          </w:p>
        </w:tc>
      </w:tr>
      <w:tr w:rsidR="00881E4D" w:rsidRPr="00881E4D" w14:paraId="5F92CFED" w14:textId="77777777" w:rsidTr="00881E4D">
        <w:tc>
          <w:tcPr>
            <w:tcW w:w="4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761D4B1F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bCs/>
                <w:u w:val="single"/>
                <w:lang w:eastAsia="zh-CN"/>
              </w:rPr>
              <w:t>_______</w:t>
            </w:r>
            <w:r w:rsidRPr="00881E4D">
              <w:rPr>
                <w:rFonts w:ascii="Times New Roman" w:eastAsia="SimSun" w:hAnsi="Times New Roman" w:cs="Times New Roman"/>
                <w:bCs/>
                <w:u w:val="single"/>
                <w:lang w:eastAsia="zh-CN"/>
              </w:rPr>
              <w:softHyphen/>
            </w:r>
            <w:r w:rsidRPr="00881E4D">
              <w:rPr>
                <w:rFonts w:ascii="Times New Roman" w:eastAsia="SimSun" w:hAnsi="Times New Roman" w:cs="Times New Roman"/>
                <w:bCs/>
                <w:u w:val="single"/>
                <w:lang w:eastAsia="zh-CN"/>
              </w:rPr>
              <w:softHyphen/>
            </w:r>
            <w:r w:rsidRPr="00881E4D">
              <w:rPr>
                <w:rFonts w:ascii="Times New Roman" w:eastAsia="SimSun" w:hAnsi="Times New Roman" w:cs="Times New Roman"/>
                <w:bCs/>
                <w:u w:val="single"/>
                <w:lang w:eastAsia="zh-CN"/>
              </w:rPr>
              <w:softHyphen/>
              <w:t>_______________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00"/>
          </w:tcPr>
          <w:p w14:paraId="5CD7D853" w14:textId="77777777" w:rsidR="00881E4D" w:rsidRPr="00881E4D" w:rsidRDefault="00881E4D" w:rsidP="00881E4D">
            <w:pPr>
              <w:widowControl w:val="0"/>
              <w:tabs>
                <w:tab w:val="left" w:pos="1134"/>
              </w:tabs>
              <w:suppressAutoHyphens/>
              <w:spacing w:after="0" w:line="240" w:lineRule="auto"/>
              <w:ind w:left="33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lang w:eastAsia="zh-CN"/>
              </w:rPr>
              <w:t>___</w:t>
            </w:r>
            <w:r w:rsidRPr="00881E4D">
              <w:rPr>
                <w:rFonts w:ascii="Times New Roman" w:eastAsia="SimSun" w:hAnsi="Times New Roman" w:cs="Times New Roman"/>
                <w:lang w:eastAsia="zh-CN"/>
              </w:rPr>
              <w:softHyphen/>
            </w:r>
            <w:r w:rsidRPr="00881E4D">
              <w:rPr>
                <w:rFonts w:ascii="Times New Roman" w:eastAsia="SimSun" w:hAnsi="Times New Roman" w:cs="Times New Roman"/>
                <w:lang w:eastAsia="zh-CN"/>
              </w:rPr>
              <w:softHyphen/>
            </w:r>
            <w:r w:rsidRPr="00881E4D">
              <w:rPr>
                <w:rFonts w:ascii="Times New Roman" w:eastAsia="SimSun" w:hAnsi="Times New Roman" w:cs="Times New Roman"/>
                <w:lang w:eastAsia="zh-CN"/>
              </w:rPr>
              <w:softHyphen/>
              <w:t>_______________</w:t>
            </w:r>
            <w:proofErr w:type="spellStart"/>
            <w:r w:rsidRPr="00881E4D">
              <w:rPr>
                <w:rFonts w:ascii="Times New Roman" w:eastAsia="SimSun" w:hAnsi="Times New Roman" w:cs="Times New Roman"/>
                <w:lang w:eastAsia="zh-CN"/>
              </w:rPr>
              <w:t>А.А.Пыжов</w:t>
            </w:r>
            <w:proofErr w:type="spellEnd"/>
          </w:p>
        </w:tc>
      </w:tr>
      <w:tr w:rsidR="00881E4D" w:rsidRPr="00881E4D" w14:paraId="0D65BB47" w14:textId="77777777" w:rsidTr="00881E4D">
        <w:tc>
          <w:tcPr>
            <w:tcW w:w="4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E3FA6E5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lang w:eastAsia="zh-CN"/>
              </w:rPr>
              <w:t>«_____» _______________202_ г.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AF252F8" w14:textId="77777777" w:rsidR="00881E4D" w:rsidRPr="00881E4D" w:rsidRDefault="00881E4D" w:rsidP="00881E4D">
            <w:pPr>
              <w:widowControl w:val="0"/>
              <w:tabs>
                <w:tab w:val="left" w:pos="1134"/>
              </w:tabs>
              <w:suppressAutoHyphens/>
              <w:spacing w:after="0" w:line="240" w:lineRule="auto"/>
              <w:ind w:left="33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lang w:eastAsia="zh-CN"/>
              </w:rPr>
              <w:t>«_____» _______________202_ г.</w:t>
            </w:r>
          </w:p>
        </w:tc>
      </w:tr>
      <w:tr w:rsidR="00881E4D" w:rsidRPr="00881E4D" w14:paraId="5CCFF6C7" w14:textId="77777777" w:rsidTr="00881E4D">
        <w:tc>
          <w:tcPr>
            <w:tcW w:w="456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14:paraId="12CE5BB4" w14:textId="77777777" w:rsidR="00881E4D" w:rsidRPr="00881E4D" w:rsidRDefault="00881E4D" w:rsidP="00881E4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lang w:eastAsia="zh-CN"/>
              </w:rPr>
              <w:t>МП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1A0B1C1" w14:textId="77777777" w:rsidR="00881E4D" w:rsidRPr="00881E4D" w:rsidRDefault="00881E4D" w:rsidP="00881E4D">
            <w:pPr>
              <w:widowControl w:val="0"/>
              <w:tabs>
                <w:tab w:val="left" w:pos="1134"/>
              </w:tabs>
              <w:suppressAutoHyphens/>
              <w:spacing w:after="0" w:line="240" w:lineRule="auto"/>
              <w:ind w:left="33"/>
              <w:rPr>
                <w:rFonts w:ascii="Times New Roman" w:eastAsia="SimSun" w:hAnsi="Times New Roman" w:cs="Times New Roman"/>
                <w:lang w:eastAsia="zh-CN"/>
              </w:rPr>
            </w:pPr>
            <w:r w:rsidRPr="00881E4D">
              <w:rPr>
                <w:rFonts w:ascii="Times New Roman" w:eastAsia="SimSun" w:hAnsi="Times New Roman" w:cs="Times New Roman"/>
                <w:lang w:eastAsia="zh-CN"/>
              </w:rPr>
              <w:t>МП</w:t>
            </w:r>
          </w:p>
        </w:tc>
      </w:tr>
    </w:tbl>
    <w:p w14:paraId="15A38EA1" w14:textId="77777777" w:rsidR="00881E4D" w:rsidRDefault="00881E4D"/>
    <w:sectPr w:rsidR="00881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EC505" w14:textId="77777777" w:rsidR="002A15EB" w:rsidRDefault="002A15EB">
      <w:pPr>
        <w:spacing w:line="240" w:lineRule="auto"/>
      </w:pPr>
      <w:r>
        <w:separator/>
      </w:r>
    </w:p>
  </w:endnote>
  <w:endnote w:type="continuationSeparator" w:id="0">
    <w:p w14:paraId="73A7038C" w14:textId="77777777" w:rsidR="002A15EB" w:rsidRDefault="002A15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68141" w14:textId="77777777" w:rsidR="002A15EB" w:rsidRDefault="002A15EB">
      <w:pPr>
        <w:spacing w:after="0"/>
      </w:pPr>
      <w:r>
        <w:separator/>
      </w:r>
    </w:p>
  </w:footnote>
  <w:footnote w:type="continuationSeparator" w:id="0">
    <w:p w14:paraId="48D123EA" w14:textId="77777777" w:rsidR="002A15EB" w:rsidRDefault="002A15E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793"/>
    <w:multiLevelType w:val="multilevel"/>
    <w:tmpl w:val="062F679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78C"/>
    <w:rsid w:val="00000327"/>
    <w:rsid w:val="00012DCF"/>
    <w:rsid w:val="00014A95"/>
    <w:rsid w:val="000150B8"/>
    <w:rsid w:val="000273ED"/>
    <w:rsid w:val="00035550"/>
    <w:rsid w:val="00041DD8"/>
    <w:rsid w:val="000424D7"/>
    <w:rsid w:val="00042BA5"/>
    <w:rsid w:val="0004360B"/>
    <w:rsid w:val="00052A1C"/>
    <w:rsid w:val="00057D32"/>
    <w:rsid w:val="00061E53"/>
    <w:rsid w:val="000631C8"/>
    <w:rsid w:val="00063F6A"/>
    <w:rsid w:val="00067A5C"/>
    <w:rsid w:val="000727A7"/>
    <w:rsid w:val="00084F58"/>
    <w:rsid w:val="0009131B"/>
    <w:rsid w:val="000944AF"/>
    <w:rsid w:val="000971C7"/>
    <w:rsid w:val="000A0A8F"/>
    <w:rsid w:val="000A249E"/>
    <w:rsid w:val="000A343D"/>
    <w:rsid w:val="000A6E2B"/>
    <w:rsid w:val="000B186D"/>
    <w:rsid w:val="000B34D8"/>
    <w:rsid w:val="000B7526"/>
    <w:rsid w:val="000C1362"/>
    <w:rsid w:val="000C26A8"/>
    <w:rsid w:val="000C2817"/>
    <w:rsid w:val="000C5C1B"/>
    <w:rsid w:val="000C6216"/>
    <w:rsid w:val="000C784B"/>
    <w:rsid w:val="000C7908"/>
    <w:rsid w:val="000D24DE"/>
    <w:rsid w:val="000D54CA"/>
    <w:rsid w:val="000D563F"/>
    <w:rsid w:val="000E0845"/>
    <w:rsid w:val="000E08C1"/>
    <w:rsid w:val="000E196D"/>
    <w:rsid w:val="000E2B84"/>
    <w:rsid w:val="000E442F"/>
    <w:rsid w:val="000F054F"/>
    <w:rsid w:val="000F20D3"/>
    <w:rsid w:val="000F3525"/>
    <w:rsid w:val="000F5946"/>
    <w:rsid w:val="00100662"/>
    <w:rsid w:val="00101B32"/>
    <w:rsid w:val="00107654"/>
    <w:rsid w:val="001112F7"/>
    <w:rsid w:val="00115625"/>
    <w:rsid w:val="00117252"/>
    <w:rsid w:val="00117C3B"/>
    <w:rsid w:val="00121E83"/>
    <w:rsid w:val="00136025"/>
    <w:rsid w:val="00136D81"/>
    <w:rsid w:val="00136E5E"/>
    <w:rsid w:val="00137807"/>
    <w:rsid w:val="001427DE"/>
    <w:rsid w:val="00142AF2"/>
    <w:rsid w:val="0014425D"/>
    <w:rsid w:val="001448CB"/>
    <w:rsid w:val="001469E8"/>
    <w:rsid w:val="0014775F"/>
    <w:rsid w:val="00152CC7"/>
    <w:rsid w:val="00153671"/>
    <w:rsid w:val="00153AE8"/>
    <w:rsid w:val="00155118"/>
    <w:rsid w:val="00160987"/>
    <w:rsid w:val="00165D71"/>
    <w:rsid w:val="00170504"/>
    <w:rsid w:val="001719CB"/>
    <w:rsid w:val="00174B23"/>
    <w:rsid w:val="001843E3"/>
    <w:rsid w:val="00185EE6"/>
    <w:rsid w:val="001A11FF"/>
    <w:rsid w:val="001A1594"/>
    <w:rsid w:val="001A4C30"/>
    <w:rsid w:val="001A5C1C"/>
    <w:rsid w:val="001B0CEF"/>
    <w:rsid w:val="001B45A4"/>
    <w:rsid w:val="001B5855"/>
    <w:rsid w:val="001C5E33"/>
    <w:rsid w:val="001D05F4"/>
    <w:rsid w:val="001D40A1"/>
    <w:rsid w:val="001D4FD2"/>
    <w:rsid w:val="001D5865"/>
    <w:rsid w:val="001D630C"/>
    <w:rsid w:val="001D7341"/>
    <w:rsid w:val="001E1BC0"/>
    <w:rsid w:val="001F104D"/>
    <w:rsid w:val="001F250B"/>
    <w:rsid w:val="001F4930"/>
    <w:rsid w:val="00203713"/>
    <w:rsid w:val="002058CB"/>
    <w:rsid w:val="00214978"/>
    <w:rsid w:val="002166C3"/>
    <w:rsid w:val="00231831"/>
    <w:rsid w:val="002373C8"/>
    <w:rsid w:val="00245B30"/>
    <w:rsid w:val="00251444"/>
    <w:rsid w:val="0025178E"/>
    <w:rsid w:val="00251DD0"/>
    <w:rsid w:val="00257788"/>
    <w:rsid w:val="00257FA4"/>
    <w:rsid w:val="002619DC"/>
    <w:rsid w:val="00262C2F"/>
    <w:rsid w:val="00266290"/>
    <w:rsid w:val="00270AB5"/>
    <w:rsid w:val="002727C3"/>
    <w:rsid w:val="00281CF0"/>
    <w:rsid w:val="00282C18"/>
    <w:rsid w:val="002849AA"/>
    <w:rsid w:val="00285B84"/>
    <w:rsid w:val="00286608"/>
    <w:rsid w:val="00290773"/>
    <w:rsid w:val="0029683E"/>
    <w:rsid w:val="00296877"/>
    <w:rsid w:val="00296C5B"/>
    <w:rsid w:val="0029726B"/>
    <w:rsid w:val="002A15EB"/>
    <w:rsid w:val="002A23CF"/>
    <w:rsid w:val="002A30A2"/>
    <w:rsid w:val="002A3CBB"/>
    <w:rsid w:val="002B07B9"/>
    <w:rsid w:val="002B71D5"/>
    <w:rsid w:val="002C19DF"/>
    <w:rsid w:val="002D064A"/>
    <w:rsid w:val="002D2205"/>
    <w:rsid w:val="002D41A4"/>
    <w:rsid w:val="002D6FA8"/>
    <w:rsid w:val="002D7A38"/>
    <w:rsid w:val="002E0FC1"/>
    <w:rsid w:val="002E33D1"/>
    <w:rsid w:val="002E3830"/>
    <w:rsid w:val="002E6437"/>
    <w:rsid w:val="002E77BE"/>
    <w:rsid w:val="002F5626"/>
    <w:rsid w:val="00300169"/>
    <w:rsid w:val="00313CD2"/>
    <w:rsid w:val="00315809"/>
    <w:rsid w:val="00316EA1"/>
    <w:rsid w:val="00317149"/>
    <w:rsid w:val="0032105F"/>
    <w:rsid w:val="00327663"/>
    <w:rsid w:val="00331572"/>
    <w:rsid w:val="003333E9"/>
    <w:rsid w:val="00337DF2"/>
    <w:rsid w:val="00340575"/>
    <w:rsid w:val="003406B5"/>
    <w:rsid w:val="003460AA"/>
    <w:rsid w:val="00355021"/>
    <w:rsid w:val="00356175"/>
    <w:rsid w:val="00361710"/>
    <w:rsid w:val="0036366E"/>
    <w:rsid w:val="0036468F"/>
    <w:rsid w:val="003700F7"/>
    <w:rsid w:val="00382D7F"/>
    <w:rsid w:val="003837F7"/>
    <w:rsid w:val="00384530"/>
    <w:rsid w:val="00386F79"/>
    <w:rsid w:val="00397A13"/>
    <w:rsid w:val="003A6CDD"/>
    <w:rsid w:val="003A75AB"/>
    <w:rsid w:val="003B517A"/>
    <w:rsid w:val="003B5190"/>
    <w:rsid w:val="003B7622"/>
    <w:rsid w:val="003D2FEE"/>
    <w:rsid w:val="003D5889"/>
    <w:rsid w:val="003E58ED"/>
    <w:rsid w:val="003E7302"/>
    <w:rsid w:val="003F04D3"/>
    <w:rsid w:val="003F4AC1"/>
    <w:rsid w:val="003F4E58"/>
    <w:rsid w:val="004012C7"/>
    <w:rsid w:val="004030E9"/>
    <w:rsid w:val="0040537F"/>
    <w:rsid w:val="00415951"/>
    <w:rsid w:val="0041703A"/>
    <w:rsid w:val="004215C1"/>
    <w:rsid w:val="00426C4F"/>
    <w:rsid w:val="00427095"/>
    <w:rsid w:val="00427D8B"/>
    <w:rsid w:val="00447010"/>
    <w:rsid w:val="004474BD"/>
    <w:rsid w:val="004555B9"/>
    <w:rsid w:val="00471124"/>
    <w:rsid w:val="004776A8"/>
    <w:rsid w:val="00485F5A"/>
    <w:rsid w:val="00491676"/>
    <w:rsid w:val="0049227D"/>
    <w:rsid w:val="004A074E"/>
    <w:rsid w:val="004A3BFE"/>
    <w:rsid w:val="004A4505"/>
    <w:rsid w:val="004A58FB"/>
    <w:rsid w:val="004A606F"/>
    <w:rsid w:val="004A7501"/>
    <w:rsid w:val="004A7622"/>
    <w:rsid w:val="004B0D42"/>
    <w:rsid w:val="004B4FE9"/>
    <w:rsid w:val="004C24A4"/>
    <w:rsid w:val="004C26FA"/>
    <w:rsid w:val="004C57CC"/>
    <w:rsid w:val="004D25B6"/>
    <w:rsid w:val="004D6BAF"/>
    <w:rsid w:val="004E4038"/>
    <w:rsid w:val="004E41FC"/>
    <w:rsid w:val="004E777E"/>
    <w:rsid w:val="004E7C92"/>
    <w:rsid w:val="004F09C5"/>
    <w:rsid w:val="004F2C13"/>
    <w:rsid w:val="004F4813"/>
    <w:rsid w:val="004F50DE"/>
    <w:rsid w:val="004F7029"/>
    <w:rsid w:val="00502C9A"/>
    <w:rsid w:val="005068C3"/>
    <w:rsid w:val="00515B52"/>
    <w:rsid w:val="0051628E"/>
    <w:rsid w:val="00521A2A"/>
    <w:rsid w:val="0052307C"/>
    <w:rsid w:val="00533551"/>
    <w:rsid w:val="005473CD"/>
    <w:rsid w:val="005507C8"/>
    <w:rsid w:val="0055110F"/>
    <w:rsid w:val="00557A85"/>
    <w:rsid w:val="00561873"/>
    <w:rsid w:val="005628AC"/>
    <w:rsid w:val="00565FE8"/>
    <w:rsid w:val="00577897"/>
    <w:rsid w:val="0058030E"/>
    <w:rsid w:val="00591123"/>
    <w:rsid w:val="00596827"/>
    <w:rsid w:val="005A0CDA"/>
    <w:rsid w:val="005A779D"/>
    <w:rsid w:val="005B1902"/>
    <w:rsid w:val="005B345C"/>
    <w:rsid w:val="005C025E"/>
    <w:rsid w:val="005C18C0"/>
    <w:rsid w:val="005D0EE8"/>
    <w:rsid w:val="005D31E4"/>
    <w:rsid w:val="005D5377"/>
    <w:rsid w:val="005D6179"/>
    <w:rsid w:val="005E06CC"/>
    <w:rsid w:val="005E1AE0"/>
    <w:rsid w:val="005F1602"/>
    <w:rsid w:val="005F3974"/>
    <w:rsid w:val="005F703B"/>
    <w:rsid w:val="0060163E"/>
    <w:rsid w:val="006050D1"/>
    <w:rsid w:val="006062ED"/>
    <w:rsid w:val="00610D61"/>
    <w:rsid w:val="00615D26"/>
    <w:rsid w:val="00622B04"/>
    <w:rsid w:val="00622E64"/>
    <w:rsid w:val="00642445"/>
    <w:rsid w:val="00646713"/>
    <w:rsid w:val="00650263"/>
    <w:rsid w:val="006529CE"/>
    <w:rsid w:val="00661E7C"/>
    <w:rsid w:val="00662E2C"/>
    <w:rsid w:val="00663179"/>
    <w:rsid w:val="00664E50"/>
    <w:rsid w:val="0066644E"/>
    <w:rsid w:val="006779C3"/>
    <w:rsid w:val="006913B7"/>
    <w:rsid w:val="00693230"/>
    <w:rsid w:val="0069503F"/>
    <w:rsid w:val="00696202"/>
    <w:rsid w:val="00696C15"/>
    <w:rsid w:val="00697C06"/>
    <w:rsid w:val="006A1CE5"/>
    <w:rsid w:val="006A3F53"/>
    <w:rsid w:val="006A5187"/>
    <w:rsid w:val="006B2034"/>
    <w:rsid w:val="006B54D0"/>
    <w:rsid w:val="006B6EDF"/>
    <w:rsid w:val="006C13A4"/>
    <w:rsid w:val="006C58EE"/>
    <w:rsid w:val="006D047F"/>
    <w:rsid w:val="006D1D7A"/>
    <w:rsid w:val="006D341F"/>
    <w:rsid w:val="006E36F8"/>
    <w:rsid w:val="006E64C6"/>
    <w:rsid w:val="006E6AAF"/>
    <w:rsid w:val="006E7DE2"/>
    <w:rsid w:val="006F337A"/>
    <w:rsid w:val="006F4BD2"/>
    <w:rsid w:val="006F5DFA"/>
    <w:rsid w:val="00700C36"/>
    <w:rsid w:val="00701B24"/>
    <w:rsid w:val="00702357"/>
    <w:rsid w:val="00706F4C"/>
    <w:rsid w:val="00707D39"/>
    <w:rsid w:val="007166BB"/>
    <w:rsid w:val="00716ACC"/>
    <w:rsid w:val="00721707"/>
    <w:rsid w:val="00721A36"/>
    <w:rsid w:val="00727064"/>
    <w:rsid w:val="0073615F"/>
    <w:rsid w:val="00750F0D"/>
    <w:rsid w:val="00751863"/>
    <w:rsid w:val="0075286E"/>
    <w:rsid w:val="00752D04"/>
    <w:rsid w:val="00762D94"/>
    <w:rsid w:val="007658D5"/>
    <w:rsid w:val="007802D7"/>
    <w:rsid w:val="00784D5E"/>
    <w:rsid w:val="00786029"/>
    <w:rsid w:val="0079493E"/>
    <w:rsid w:val="007952BF"/>
    <w:rsid w:val="007A0D04"/>
    <w:rsid w:val="007A50F2"/>
    <w:rsid w:val="007A66F4"/>
    <w:rsid w:val="007B0008"/>
    <w:rsid w:val="007B0B48"/>
    <w:rsid w:val="007B2DC2"/>
    <w:rsid w:val="007C1A74"/>
    <w:rsid w:val="007C28F8"/>
    <w:rsid w:val="007C3584"/>
    <w:rsid w:val="007D0C38"/>
    <w:rsid w:val="007D0D1B"/>
    <w:rsid w:val="007D2B56"/>
    <w:rsid w:val="007D2FE8"/>
    <w:rsid w:val="007D761F"/>
    <w:rsid w:val="007E4C36"/>
    <w:rsid w:val="007E6653"/>
    <w:rsid w:val="007E7194"/>
    <w:rsid w:val="007F1161"/>
    <w:rsid w:val="007F37BD"/>
    <w:rsid w:val="007F3F3F"/>
    <w:rsid w:val="00805106"/>
    <w:rsid w:val="00805BE2"/>
    <w:rsid w:val="00806555"/>
    <w:rsid w:val="00810180"/>
    <w:rsid w:val="00822C09"/>
    <w:rsid w:val="00832FCE"/>
    <w:rsid w:val="00834E1D"/>
    <w:rsid w:val="008440CA"/>
    <w:rsid w:val="00847AE6"/>
    <w:rsid w:val="0085388E"/>
    <w:rsid w:val="008538BF"/>
    <w:rsid w:val="00856A3A"/>
    <w:rsid w:val="0085730E"/>
    <w:rsid w:val="00857B30"/>
    <w:rsid w:val="008600B3"/>
    <w:rsid w:val="00861B4B"/>
    <w:rsid w:val="00861B87"/>
    <w:rsid w:val="00870CFE"/>
    <w:rsid w:val="00876D02"/>
    <w:rsid w:val="008779D3"/>
    <w:rsid w:val="00880A7C"/>
    <w:rsid w:val="00880B49"/>
    <w:rsid w:val="00881E4D"/>
    <w:rsid w:val="00891841"/>
    <w:rsid w:val="00891C18"/>
    <w:rsid w:val="008921C0"/>
    <w:rsid w:val="00892BF2"/>
    <w:rsid w:val="0089518B"/>
    <w:rsid w:val="0089656F"/>
    <w:rsid w:val="008A01CB"/>
    <w:rsid w:val="008A71F6"/>
    <w:rsid w:val="008D09E6"/>
    <w:rsid w:val="008D0DE6"/>
    <w:rsid w:val="008D539D"/>
    <w:rsid w:val="008E4769"/>
    <w:rsid w:val="008F7239"/>
    <w:rsid w:val="0090158A"/>
    <w:rsid w:val="00906491"/>
    <w:rsid w:val="009103D7"/>
    <w:rsid w:val="00914A13"/>
    <w:rsid w:val="00915F97"/>
    <w:rsid w:val="00916F14"/>
    <w:rsid w:val="00917107"/>
    <w:rsid w:val="00933B30"/>
    <w:rsid w:val="0093505A"/>
    <w:rsid w:val="00935726"/>
    <w:rsid w:val="00942E2A"/>
    <w:rsid w:val="0094609B"/>
    <w:rsid w:val="0094761F"/>
    <w:rsid w:val="00952174"/>
    <w:rsid w:val="00957E27"/>
    <w:rsid w:val="00961695"/>
    <w:rsid w:val="00963F86"/>
    <w:rsid w:val="00966399"/>
    <w:rsid w:val="0096691F"/>
    <w:rsid w:val="00975B52"/>
    <w:rsid w:val="00976374"/>
    <w:rsid w:val="009848CA"/>
    <w:rsid w:val="00985C5B"/>
    <w:rsid w:val="00985CA7"/>
    <w:rsid w:val="00991032"/>
    <w:rsid w:val="00993AF7"/>
    <w:rsid w:val="00994018"/>
    <w:rsid w:val="009B0424"/>
    <w:rsid w:val="009B3D47"/>
    <w:rsid w:val="009C0B14"/>
    <w:rsid w:val="009C2C3C"/>
    <w:rsid w:val="009D17DC"/>
    <w:rsid w:val="009D1F94"/>
    <w:rsid w:val="009D3C54"/>
    <w:rsid w:val="009D6608"/>
    <w:rsid w:val="009E0CC6"/>
    <w:rsid w:val="009E1B10"/>
    <w:rsid w:val="009E4F7A"/>
    <w:rsid w:val="009E50E6"/>
    <w:rsid w:val="009E5C6D"/>
    <w:rsid w:val="00A0065C"/>
    <w:rsid w:val="00A022BD"/>
    <w:rsid w:val="00A11699"/>
    <w:rsid w:val="00A12BEC"/>
    <w:rsid w:val="00A148FC"/>
    <w:rsid w:val="00A226A6"/>
    <w:rsid w:val="00A31699"/>
    <w:rsid w:val="00A334B4"/>
    <w:rsid w:val="00A4353C"/>
    <w:rsid w:val="00A44677"/>
    <w:rsid w:val="00A44AF3"/>
    <w:rsid w:val="00A47C14"/>
    <w:rsid w:val="00A47F1F"/>
    <w:rsid w:val="00A51871"/>
    <w:rsid w:val="00A53ABE"/>
    <w:rsid w:val="00A64262"/>
    <w:rsid w:val="00A644D6"/>
    <w:rsid w:val="00A703E0"/>
    <w:rsid w:val="00A7338E"/>
    <w:rsid w:val="00A74556"/>
    <w:rsid w:val="00A80DA4"/>
    <w:rsid w:val="00A81CD6"/>
    <w:rsid w:val="00A83602"/>
    <w:rsid w:val="00A84D87"/>
    <w:rsid w:val="00A8555B"/>
    <w:rsid w:val="00A8756F"/>
    <w:rsid w:val="00A9345F"/>
    <w:rsid w:val="00AA6659"/>
    <w:rsid w:val="00AA6ED4"/>
    <w:rsid w:val="00AB75EE"/>
    <w:rsid w:val="00AC1E60"/>
    <w:rsid w:val="00AD028D"/>
    <w:rsid w:val="00AD04E6"/>
    <w:rsid w:val="00AD1296"/>
    <w:rsid w:val="00AD131D"/>
    <w:rsid w:val="00AD20F3"/>
    <w:rsid w:val="00AD7551"/>
    <w:rsid w:val="00AE08FB"/>
    <w:rsid w:val="00AE6CAA"/>
    <w:rsid w:val="00AF079D"/>
    <w:rsid w:val="00AF48A9"/>
    <w:rsid w:val="00AF507A"/>
    <w:rsid w:val="00AF6975"/>
    <w:rsid w:val="00AF6FCD"/>
    <w:rsid w:val="00AF73CD"/>
    <w:rsid w:val="00B00187"/>
    <w:rsid w:val="00B02CA2"/>
    <w:rsid w:val="00B0412D"/>
    <w:rsid w:val="00B122C2"/>
    <w:rsid w:val="00B16EB8"/>
    <w:rsid w:val="00B178C0"/>
    <w:rsid w:val="00B20F54"/>
    <w:rsid w:val="00B303D7"/>
    <w:rsid w:val="00B3156B"/>
    <w:rsid w:val="00B361A2"/>
    <w:rsid w:val="00B37A3A"/>
    <w:rsid w:val="00B40226"/>
    <w:rsid w:val="00B40DC0"/>
    <w:rsid w:val="00B469B5"/>
    <w:rsid w:val="00B57848"/>
    <w:rsid w:val="00B63C58"/>
    <w:rsid w:val="00B64166"/>
    <w:rsid w:val="00B64CA1"/>
    <w:rsid w:val="00B672A7"/>
    <w:rsid w:val="00B7469A"/>
    <w:rsid w:val="00B80725"/>
    <w:rsid w:val="00B83FB3"/>
    <w:rsid w:val="00B85874"/>
    <w:rsid w:val="00B861D6"/>
    <w:rsid w:val="00B867C8"/>
    <w:rsid w:val="00BA44DA"/>
    <w:rsid w:val="00BA5EC1"/>
    <w:rsid w:val="00BA6092"/>
    <w:rsid w:val="00BA6271"/>
    <w:rsid w:val="00BA7792"/>
    <w:rsid w:val="00BA7DA8"/>
    <w:rsid w:val="00BB52E9"/>
    <w:rsid w:val="00BB6819"/>
    <w:rsid w:val="00BB7B7B"/>
    <w:rsid w:val="00BC3DF5"/>
    <w:rsid w:val="00BC4C48"/>
    <w:rsid w:val="00BD667C"/>
    <w:rsid w:val="00BE1A5C"/>
    <w:rsid w:val="00BE2CA4"/>
    <w:rsid w:val="00BE56E5"/>
    <w:rsid w:val="00BE61DE"/>
    <w:rsid w:val="00BE79CA"/>
    <w:rsid w:val="00BF0F2E"/>
    <w:rsid w:val="00BF2518"/>
    <w:rsid w:val="00BF3F1C"/>
    <w:rsid w:val="00C11F10"/>
    <w:rsid w:val="00C138A1"/>
    <w:rsid w:val="00C14AC5"/>
    <w:rsid w:val="00C15C95"/>
    <w:rsid w:val="00C205BF"/>
    <w:rsid w:val="00C2537F"/>
    <w:rsid w:val="00C26B94"/>
    <w:rsid w:val="00C278D0"/>
    <w:rsid w:val="00C303A3"/>
    <w:rsid w:val="00C30A97"/>
    <w:rsid w:val="00C33535"/>
    <w:rsid w:val="00C35FA0"/>
    <w:rsid w:val="00C4295F"/>
    <w:rsid w:val="00C51DD7"/>
    <w:rsid w:val="00C521A5"/>
    <w:rsid w:val="00C55954"/>
    <w:rsid w:val="00C57CEC"/>
    <w:rsid w:val="00C71299"/>
    <w:rsid w:val="00C840A9"/>
    <w:rsid w:val="00C86743"/>
    <w:rsid w:val="00C920B2"/>
    <w:rsid w:val="00C92579"/>
    <w:rsid w:val="00C96229"/>
    <w:rsid w:val="00C97C69"/>
    <w:rsid w:val="00CA3333"/>
    <w:rsid w:val="00CA5AD4"/>
    <w:rsid w:val="00CB080F"/>
    <w:rsid w:val="00CB4253"/>
    <w:rsid w:val="00CB7231"/>
    <w:rsid w:val="00CC16A0"/>
    <w:rsid w:val="00CC2353"/>
    <w:rsid w:val="00CC612B"/>
    <w:rsid w:val="00CC6441"/>
    <w:rsid w:val="00CD2798"/>
    <w:rsid w:val="00CD67D8"/>
    <w:rsid w:val="00CE0AB8"/>
    <w:rsid w:val="00CE2B20"/>
    <w:rsid w:val="00CE3416"/>
    <w:rsid w:val="00CF0A90"/>
    <w:rsid w:val="00CF3755"/>
    <w:rsid w:val="00D00BE8"/>
    <w:rsid w:val="00D00FC7"/>
    <w:rsid w:val="00D034BA"/>
    <w:rsid w:val="00D121C3"/>
    <w:rsid w:val="00D1746B"/>
    <w:rsid w:val="00D2130A"/>
    <w:rsid w:val="00D24737"/>
    <w:rsid w:val="00D42089"/>
    <w:rsid w:val="00D546BA"/>
    <w:rsid w:val="00D55A88"/>
    <w:rsid w:val="00D561F0"/>
    <w:rsid w:val="00D62600"/>
    <w:rsid w:val="00D700D2"/>
    <w:rsid w:val="00D741D2"/>
    <w:rsid w:val="00D8230F"/>
    <w:rsid w:val="00D86F7A"/>
    <w:rsid w:val="00D930EA"/>
    <w:rsid w:val="00D9398E"/>
    <w:rsid w:val="00D93FE1"/>
    <w:rsid w:val="00D9746F"/>
    <w:rsid w:val="00DA0EA0"/>
    <w:rsid w:val="00DA5FA4"/>
    <w:rsid w:val="00DB33B4"/>
    <w:rsid w:val="00DB4E28"/>
    <w:rsid w:val="00DB7989"/>
    <w:rsid w:val="00DB7D80"/>
    <w:rsid w:val="00DC0214"/>
    <w:rsid w:val="00DC39F9"/>
    <w:rsid w:val="00DC62CE"/>
    <w:rsid w:val="00DC768D"/>
    <w:rsid w:val="00DD0C8D"/>
    <w:rsid w:val="00DE2252"/>
    <w:rsid w:val="00DE5538"/>
    <w:rsid w:val="00DF1037"/>
    <w:rsid w:val="00DF18CE"/>
    <w:rsid w:val="00DF5904"/>
    <w:rsid w:val="00E04189"/>
    <w:rsid w:val="00E11754"/>
    <w:rsid w:val="00E12634"/>
    <w:rsid w:val="00E15BD1"/>
    <w:rsid w:val="00E309F2"/>
    <w:rsid w:val="00E40E9D"/>
    <w:rsid w:val="00E418DF"/>
    <w:rsid w:val="00E439D8"/>
    <w:rsid w:val="00E452C3"/>
    <w:rsid w:val="00E55901"/>
    <w:rsid w:val="00E57B14"/>
    <w:rsid w:val="00E62BB3"/>
    <w:rsid w:val="00E63B64"/>
    <w:rsid w:val="00E73D5E"/>
    <w:rsid w:val="00E74A0D"/>
    <w:rsid w:val="00E838E7"/>
    <w:rsid w:val="00E866D5"/>
    <w:rsid w:val="00E901EC"/>
    <w:rsid w:val="00E91FA2"/>
    <w:rsid w:val="00E938AA"/>
    <w:rsid w:val="00E94224"/>
    <w:rsid w:val="00E9534D"/>
    <w:rsid w:val="00E962E5"/>
    <w:rsid w:val="00EA26AC"/>
    <w:rsid w:val="00EA2883"/>
    <w:rsid w:val="00EC13AC"/>
    <w:rsid w:val="00EC3447"/>
    <w:rsid w:val="00EC4B81"/>
    <w:rsid w:val="00EC6F2A"/>
    <w:rsid w:val="00ED0212"/>
    <w:rsid w:val="00ED06A4"/>
    <w:rsid w:val="00ED2BF3"/>
    <w:rsid w:val="00ED3B76"/>
    <w:rsid w:val="00ED621A"/>
    <w:rsid w:val="00EE1213"/>
    <w:rsid w:val="00EE201D"/>
    <w:rsid w:val="00EF6205"/>
    <w:rsid w:val="00EF64D7"/>
    <w:rsid w:val="00EF6CAB"/>
    <w:rsid w:val="00F03FC7"/>
    <w:rsid w:val="00F0727C"/>
    <w:rsid w:val="00F107A7"/>
    <w:rsid w:val="00F14538"/>
    <w:rsid w:val="00F25014"/>
    <w:rsid w:val="00F26A06"/>
    <w:rsid w:val="00F3067F"/>
    <w:rsid w:val="00F33224"/>
    <w:rsid w:val="00F35FF5"/>
    <w:rsid w:val="00F365D0"/>
    <w:rsid w:val="00F37E3F"/>
    <w:rsid w:val="00F4491C"/>
    <w:rsid w:val="00F45585"/>
    <w:rsid w:val="00F508C8"/>
    <w:rsid w:val="00F51D0A"/>
    <w:rsid w:val="00F5278C"/>
    <w:rsid w:val="00F54F5C"/>
    <w:rsid w:val="00F60522"/>
    <w:rsid w:val="00F6228D"/>
    <w:rsid w:val="00F62446"/>
    <w:rsid w:val="00F66049"/>
    <w:rsid w:val="00F66CE9"/>
    <w:rsid w:val="00F763BB"/>
    <w:rsid w:val="00F8251A"/>
    <w:rsid w:val="00F82A8A"/>
    <w:rsid w:val="00F94F8E"/>
    <w:rsid w:val="00FA7A2A"/>
    <w:rsid w:val="00FB1D3D"/>
    <w:rsid w:val="00FB299D"/>
    <w:rsid w:val="00FB335B"/>
    <w:rsid w:val="00FB7EFD"/>
    <w:rsid w:val="00FB7F31"/>
    <w:rsid w:val="00FC3103"/>
    <w:rsid w:val="00FC7ABA"/>
    <w:rsid w:val="00FD5E05"/>
    <w:rsid w:val="00FE2840"/>
    <w:rsid w:val="00FE505E"/>
    <w:rsid w:val="00FE72F5"/>
    <w:rsid w:val="00FE758D"/>
    <w:rsid w:val="00FF21E9"/>
    <w:rsid w:val="00FF6668"/>
    <w:rsid w:val="1B76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F3D43"/>
  <w15:docId w15:val="{92987166-C03A-4080-A737-FFBCC0528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stat.gov.ru/storage/mediabank/139_10-09-202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2768</Words>
  <Characters>15784</Characters>
  <Application>Microsoft Office Word</Application>
  <DocSecurity>0</DocSecurity>
  <Lines>131</Lines>
  <Paragraphs>37</Paragraphs>
  <ScaleCrop>false</ScaleCrop>
  <Company/>
  <LinksUpToDate>false</LinksUpToDate>
  <CharactersWithSpaces>18515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3</cp:revision>
  <dcterms:created xsi:type="dcterms:W3CDTF">2026-09-01T09:08:00Z</dcterms:created>
  <dcterms:modified xsi:type="dcterms:W3CDTF">2026-09-01T10:02:00Z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eyJoZGlkIjoiYjk1NmZhY2U3ZDkyODhkZjA2YTIwNjNhMjgyM2MwYzIiLCJ1c2VySWQiOiI4MjQ2MzUwMjI1MDgifQ==</vt:lpwstr>
  </property>
  <property fmtid="{D5CDD505-2E9C-101B-9397-08002B2CF9AE}" pid="3" name="KSOProductBuildVer">
    <vt:lpwstr>1049-12.1.0.25862</vt:lpwstr>
  </property>
  <property fmtid="{D5CDD505-2E9C-101B-9397-08002B2CF9AE}" pid="4" name="ICV">
    <vt:lpwstr>87AB2EFBFB9641038C960370643F3EC9_13</vt:lpwstr>
  </property>
</Properties>
</file>