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г. Выборг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«___» 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2026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rPr>
          <w:rFonts w:ascii="Times New Roman" w:hAnsi="Times New Roman" w:cs="Times New Roman"/>
          <w:sz w:val="6"/>
          <w:szCs w:val="24"/>
          <w:lang w:val="ru-RU"/>
        </w:rPr>
      </w:pPr>
      <w:r>
        <w:rPr>
          <w:rFonts w:ascii="Times New Roman" w:hAnsi="Times New Roman" w:cs="Times New Roman"/>
          <w:sz w:val="6"/>
          <w:szCs w:val="24"/>
          <w:lang w:val="ru-RU"/>
        </w:rPr>
      </w:r>
      <w:r>
        <w:rPr>
          <w:rFonts w:ascii="Times New Roman" w:hAnsi="Times New Roman" w:cs="Times New Roman"/>
          <w:sz w:val="6"/>
          <w:szCs w:val="24"/>
          <w:lang w:val="ru-RU"/>
        </w:rPr>
      </w:r>
      <w:r>
        <w:rPr>
          <w:rFonts w:ascii="Times New Roman" w:hAnsi="Times New Roman" w:cs="Times New Roman"/>
          <w:sz w:val="6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Администрация Выборгского муниципального района Ленинградской области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именуемая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 w:eastAsia="ru-RU"/>
        </w:rPr>
        <w:t xml:space="preserve">«Муниципальный заказчик»</w:t>
      </w:r>
      <w:r>
        <w:rPr>
          <w:rFonts w:ascii="Times New Roman" w:hAnsi="Times New Roman" w:eastAsia="TimesDL" w:cs="Times New Roman"/>
          <w:b/>
          <w:sz w:val="24"/>
          <w:szCs w:val="24"/>
          <w:lang w:val="ru-RU" w:eastAsia="ru-RU" w:bidi="ru-RU"/>
        </w:rPr>
        <w:t xml:space="preserve"> 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 (далее – </w:t>
      </w:r>
      <w:r>
        <w:rPr>
          <w:rFonts w:ascii="Times New Roman" w:hAnsi="Times New Roman" w:eastAsia="TimesDL" w:cs="Times New Roman"/>
          <w:b/>
          <w:sz w:val="24"/>
          <w:szCs w:val="24"/>
          <w:lang w:val="ru-RU" w:eastAsia="ru-RU" w:bidi="ru-RU"/>
        </w:rPr>
        <w:t xml:space="preserve">Заказчик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в лице  главы администрации Савинова Валерия Геннадьевича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действующей на основании Устава, 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одной стороны, и ___________________________________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именуемое в дальнейшем «Исполнитель»,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лице ________________________________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действующего на основании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 другой стороны, именуемые при совместном упоминании «Стороны»,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соблюдением требований п. 4 ч. 1 ст. 93 Федерального закона от 5 апреля 2013 г. № 44-ФЗ «О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контрактной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системе в сфере закупок товаров, работ,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услуг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обеспечения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государственных и муниципальных нужд»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далее «Федеральный закон №44-ФЗ»)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заключили настоящий договор (далее — Договор) о нижеследующем: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ПРЕДМЕТ ДОГОВОРА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Согласно настоящему Договору И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  <w:lang w:val="ru-RU"/>
        </w:rPr>
        <w:t xml:space="preserve">сполнитель обязуется по заданию Заказчика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связанные с осуществлением перевозок пассажиров автобусами по заказам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для нужд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дминистраци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Выборгского муниципального района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), в соответствии 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Описанием объекта закупки (Приложением №1 к Договору), а Заказчик обязуется принять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оплатить эти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порядке и на условиях, предусмотренных настоящим Договором.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1.2.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 настоящему Договору, должны соответствовать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требованиям действующего законодательства Российской Федерации.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1.3. Идентификационный код закупки: </w:t>
      </w:r>
      <w:r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2634704063710470401001 0039 000 0000 244</w:t>
      </w:r>
      <w:r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86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ЦЕНА ДОГОВОРА И ПОРЯДОК РАСЧЕТОВ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2.1. Максимальное значение цены Договора составляет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6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00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шестьсот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тысяч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 рубл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копеек,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том числе НДС (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определяется в зависимости от применяемого режима налогообложения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соответствии с налоговым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), расчетная стоимость работ Исполнителя за 1 (один)час составляет 3500,00 (три тысячи пятьсот) рублей, в том числе НДС 5%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-166,67 рублей.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2.2. Цена Договора является твердой и определяется на весь срок исполнения Договора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 может изменяться в ходе исполнения Договора, за исключением случаев, установленных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Договором и (или) предусмотренных законодательством Российской Федерации. В цену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 включены все расходы Исполнителя, необходимые для осуществления им своих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обязательств по Договору в полном объеме и надлежащего качества, в том числе все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подлежащие к уплате налоги, сборы и другие обязательные платежи и иные расходы,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связанные с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2.3.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Порядок расчетов: Заказчик осуществляет оплату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ных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не более чем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течение 10 (десяти) рабочих дней с даты подписания сторонами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универсального передаточного документа (далее -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УПД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счета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акта по форме 0510452, утвержденной приказом Минфина России от 15.04.2021 №61н «Об утверждении унифицированных форм электронных докуме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тов бух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галтерского учета, применяемых при ведении бюджетного учета,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-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акт по форме 0510452)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.4. Оплата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ных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 настоящему Договору производится Заказчиком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безналичным расчетом путем перечисления денежных средств на расчетный счет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Исполнителя. Заказчик уменьшает сумму, подлежащую уплате им юридическому лицу или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физическо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му лицу, в том числе зарегистрированному в качестве индивидуального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предпринимат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еля, на размер налогов, сборов и иных обязательных платежей в бюджеты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бюджетной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системы Российской Федерации, связанных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оплатой договора, если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сборы и иные обязательные платежи подлежат уплате в бюджеты бюджетной системы Российск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ой Федерации Заказчиком.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5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Обязательства Заказчика по оплате считаются надлежащим образом исполненными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 момента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списания денежных средств с расчетного счета Заказчика.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2.6. Источник финансирования: бюджет 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Выборгского муниципального района Ленинградской области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 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на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 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2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0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2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6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 г.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2.7. Оплата по Договору производится в рублях Российской Федерации.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2.8. Авансирование не предусмотрено.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2.9. При наступлении ответственности Исполнителя в соответствии с разделом 8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настоящего Договора, Заказчик вправе удерживать сумму неустойки (штрафа, пени) из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суммы подлежащей оплате за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ные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 МЕСТО И ПЕРИОД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3.1. Место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г. Выборг,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Санкт-Петербург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Ленинградская область.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3.2. Срок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 с даты заключения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31.12.2026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г. по заявкам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Заказчика.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 ПРАВА И ОБЯЗАННОСТИ ЗАКАЗЧИКА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 Заказчик имеет право: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4.1.1. Осуществлять контроль за соблюдением сроков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их ходом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качеством, а также целевым использованием денежных средств, в том числе с выездом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уполномоченных представителей Заказчика по месту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не вмешиваясь при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этом в оперативно-хозяйственную деятельность Исполнителя.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4.1.2. Требовать от Исполнителя надлежащего выполнения обязательств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соответствии с условиями настоящего Договора, а также требовать своевременного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устранения выявленных недостатков.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4.1.3. Требовать от Исполнителя предоставления надлежащим образом оформленной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отчетной документации и материалов, подтверждающих исполнение обязательств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соответствии с условиями настоящего Договора и приложениями к нему.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4.1.4. Определять лиц, непосредственно участвующих в контроле за ходом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Исполнителем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(или) участвующих в сдаче-приемке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 настоящему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Договору.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4.1.5. Принять решение об одностороннем отказе от исполнения Договора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соответствии с п. 11.5. Договора.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4.1.6. Осуществлять иные права,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предусмотренные настоящим Договором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 Заказчик обязан: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4.2.1. Сообщать Исполнителю необходимую информацию по вопросам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4.2.2. Произвести приемку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Исполнителем,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порядке,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предусмотренном настоящим Договором.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4.2.3. Оплатить фактически (надлежащим образом)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принятые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порядке, на условиях и в сроки, установленные разделом 2 настоящего Договора.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4.2.4. В случае обнаружения в течение срока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отступлений от условий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настоящего Договора и иных недостатков немедленно в письменной форме сообщить об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обнаруженных отступлениях Исполнителю.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4.2.5. В случае если Исполнитель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просрочил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исполнение обязательств,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предусмотренных настоящим Договором, в том числе нарушил срок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Заказчик в течение 5 рабочих дней после наступления срока исполнения обязательства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направляет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Исполнителю уведомление о нарушении условий настоящего Договора, об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ости Исполнителя в соответствии с разделом 8 настоящего Договора,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 последующем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удержании суммы неустойки (штрафа, пени) при осуществлении расчета по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Договору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4.2.6 Провести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экспертизу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соответствие требованиям настоящего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 и 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ействующего законодательства своими силами либо с привлечением экспертов,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экспертных организаций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4.2.7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Выполнять иные обязательства, предусмотренные настоящим Договором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 ПРАВА И ОБЯЗАННОСТИ ИСПОЛНИТЕЛЯ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5.1. Исполнитель имеет право: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5.1.1. Запрашивать и получать от Заказчика всю информацию, необходимую для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полного,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своевременного и качественного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5.1.2. Требовать своевременного подписания Заказчиком документа о приемке по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настоящему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Договору.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5.1.3. Требовать своевременной оплаты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соответствии с условиями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5.1.4. Принять решение об одностороннем отказе от исполнения Договора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соответствии с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Федеральным законом № 44-ФЗ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5.1.5. Осуществлять иные права, предусмотренные настоящим Договором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 Исполнитель обязан: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5.2.1.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порядке, объеме и в сроки, предусмотренные настоящим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5.2.2. Обеспечить на месте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выполнение необходимых мероприятий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 технике безопасности, пожарной и промышленной безопасности, промышленной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санитарии, охране окружающей среды, соблюдения техники безопасности по эксплуатации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электрооборудования, техники и механизмов.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5.2.3. Обеспечить качество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полном соответствии с условиями настоящего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5.2.4. Немедленно извещать Заказчика о возникновении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независящих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Исполнителя обстоятельств, создающих невозможность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сроки,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установленные Договором.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5.2.5. Предоставлять Заказчику и уполномоченным Заказчиком третьим лицам всю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необходимую информацию и документацию, для проверки хода и качества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5.2.6. Исполнять в ходе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указания Заказчика, если они не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противоречат условиям настоящего Договора.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5.2.7. В случае изменения реквизитов в 3-дневный срок письменно известить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Заказчика.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5.2.8. Отменить не вступившее в силу решение об одностороннем отказе 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исполнения Договора, принятое в соответствии с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Федеральным законом № 44-ФЗ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5.2.9. Компенсировать Заказчику затраты на проведение экспертизы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 привлечением экспертов, экспертных организаций в случае отмены не вступившего в силу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решения об одностороннем отказе от исполнения Договора в соответствии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пунктом 4.2.6.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5.2.10. Вы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полнять иные обязательства, предусмотренные настоящим Договором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действующим зако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 ПОРЯДОК СДАЧИ-ПРИЕМКИ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6.1.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 настоящему Договору считаются принятыми с даты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подписания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счета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акта по форме 0510452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Заказчиком.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счет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акт по форме 0510452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рассматривается, проверяется и подписывается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Заказчиком в течение 20 (двадцати) рабочих дней со дня их предоставления Исполнителем,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при условии, что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лнены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надлежащим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качеством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в соответствии с условиями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настоящего Договора, и при наличии положительного заключения об экспертизе,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проведённой в соответствии с требованиями ч. 3 ст.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94 Федерального закона № 44-ФЗ.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6.3. При обнаружении Заказчиком в ходе приемки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недостатков в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Сторонами составляется акт, в котором фиксируется перечень недостатков и сроки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их устранения Исполнителем. При отказе (уклонении) Исполнителя от подписания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указанного акта, в нем делается отметка об этом и подписывается только Заказчиком.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6.4. Исполнитель обязан устранить все обнаруженные недостатки своими силами и за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свой счет в сроки, указанные в акте.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6.5.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счет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акт по форме 0510452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подписывается Заказчиком после устранения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Исполнителем всех выявленных при приемке несоответствий или недостатков.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6.6. При наступлении ответственности Исполнителя, Заказчик при подписании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счета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акта по форме 0510452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указывает в нем дополнительно следующую информацию: о сумме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начисленной неустойки (штрафа, пени) в соответствии с разделом 8 настоящего Договора; об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итоговой сумме, подлежащей оплате, с учетом произведенного вычета (удержания) суммы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начисленной неустойки (штрафа, пени).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счету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акту по форме 0510452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Заказчик прикладывает расчет суммы начисленной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неустойки (штрафа, пени), с указанием оснований применения неустойки (штрафа, пени).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6.7. Заказчик вправе отказаться от принятия результата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незамедлительно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уведомив об этом Исполнителя в случае, если: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несоответствия или недостатки являются существенными и неустранимыми;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выполнения Исполнителем объемов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превышающих сумму выделенных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лимитов бюджетных обязательств, установленных п. 2.1 настоящего Договора.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6.8. Во всем, что не предусмотрено настоящим разделом Договора, Стороны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руководствуются действующим законодательством.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7. ГАРАНТИИ И КАЧЕСТВО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7.1 Исполнитель гарантирует, что результат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полностью соответствует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стандартам и требованиям, установленным действующим законодательством РФ.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 ОТВЕТСТВЕННОСТЬ СТОРОН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8.1. Стороны несут ответственность друг перед другом за неисполнение или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ненадлежащее исполнение принятых по настоящему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себя обязательств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соответствии с действующим законодательством Российской Федерации и постановлением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Правительства Российской Федерации от 30.08.2017 г. № 1042.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8.2. Уплата неустойки и возмещение убытков, связанных с ненадлежащим исполнением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Сторонами своих обязательств по настоящему Договору, не освобождают нарушившую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условия договора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Сторону от исполнения взятых на себя обязательств.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8.3. Сторона освобождается от уплаты неустойки (штрафа, пени), если докажет, что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неисполнение или ненадлежащее исполнение обязательства, предусмотренного договором,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произошло вследствие непреодолимой силы или по вине другой стороны.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8.4. Обязательство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сполнителя по оплате неустойки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(штрафа, п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ени) прекращается полностью зачетом встречного однородного требования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Заказчика об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уплате неустойки на основании статьи 410 Гражданского кодекса РФ.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9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ПОРЯДОК РАЗРЕШЕНИЯ СПОРОВ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9.1. Вс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 споры и разногласия, которые могут возникнуть из настоящего Договора,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будут разреш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аться Сторонами путем переговоров с соблюдением претензионного порядка,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если иное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 предусмотрено настоящим Договором.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9.2. В претензии перечисляются допущенные при исполнении Договора нарушения со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ссылкой на соответствующие положения Договора, отражаются стоимостная оценка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ответственности (неустойки), а также действия, которые должны быть произведены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Стороной для устранения нарушений. Претензии предъявляются в письменной форме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подписываются уполномоченным Стороной лицом. К претензии прилагаются документы,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подтверждающие предъявляемые требования. Ответ на претензию дается в письменной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форме.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9.3. Претензия подлежит рассмотрению и разрешению в течение 10 (десяти) рабочих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дней с момента ее получения, если иные сроки рассмотрения не предусмотрены настоящим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Договором.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9.4. При не достижении согласия спор рассматривается в Арбитражном суде города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Санкт-Петербурга и Ленинградской области в соответствии 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действующим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 ОБСТОЯТЕЛЬСТВА НЕПРЕОДОЛИМОЙ СИЛЫ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10.1. Стороны освобождаются от ответственности за частичное или полное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неисполнение обязательств по настоящему Договору, если это неисполнение явилось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следствием обстоятельств непреодолимой силы, возникших после заключения настоящего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Договора, а именно: пожара, стихийных бедствий, войны, военных операций различного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рода, блокад, запрета на экспорт/импорт, принятия органами государственной власти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управления и Центральным Банком России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законодательных и нормативных актов,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распоряжений, приказов, препятствующих исполнению обязательств по настоящему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Договору.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10.2. При наступлении указанных в п. 10.1. обстоятельств Договора, Сторона, для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которой создалась невозможность исполнения ее обязательств по Договору, должна в 5-ти дневный срок известить о них в письменной форме другую сторону с приложением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соответствующих подтверждающих документов.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10.3. Если эти обстоятельства будут длиться более 2 (двух) месяцев, каждая из Сторон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имеет право на досрочное расторжение Договора. При этом Стороны не освобождаются 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обязательств по возмещению задолженностей, образовавшихся до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наступления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обстоятельств непреодолимой силы.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10.4. При отсутствии своевременного извещения, предусмотренного п.10.2.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виновная сторона обязана возместить другой стороне убытки, причиненные не извещением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или несвоевременным извещением.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 ПОРЯДОК ИЗМЕНЕНИЯ И РАСТОРЖЕНИЕ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ДОГОВОРА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11.1. Настоящий Договор вступает в силу с момента его заключения</w:t>
      </w:r>
      <w:r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действует по 31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декабря 2026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 в части исполнения, принятых по настоящему Договору обязательств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полного их выполнения Сторонами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</w:r>
      <w:r>
        <w:rPr>
          <w:rFonts w:ascii="Times New Roman" w:hAnsi="Times New Roman" w:cs="Times New Roman"/>
          <w:sz w:val="24"/>
          <w:szCs w:val="24"/>
          <w:highlight w:val="yellow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11.2. Все изменения и дополнения к Договору действительны лишь в том случае, если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они осуществлены в письменной форме, подписаны уполномоченными на то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представителями обеих Сторон и не противоречат нормам действующего законодательства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11.3. Изменение существенных условий Договора при его исполнении не допускается,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 исключением случаев, предусмотренных Федеральным законом № 44-ФЗ.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11.4.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Договор может быть расторгнут по основаниям в соответствии с гражданским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законодатель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pPr>
      <w:r>
        <w:rPr>
          <w:rFonts w:ascii="Times New Roman" w:hAnsi="Times New Roman" w:eastAsia="Times New Roman" w:cs="Times New Roman"/>
          <w:lang w:val="ru-RU"/>
        </w:rPr>
        <w:t xml:space="preserve">11.5</w:t>
      </w:r>
      <w:r>
        <w:rPr>
          <w:rFonts w:ascii="Times New Roman" w:hAnsi="Times New Roman" w:eastAsia="Times New Roman" w:cs="Times New Roman"/>
          <w:lang w:val="ru-RU"/>
        </w:rPr>
        <w:t xml:space="preserve">. </w:t>
      </w:r>
      <w:r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  <w:t xml:space="preserve"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  <w:r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r>
      <w:r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pPr>
      <w:r>
        <w:rPr>
          <w:rFonts w:ascii="Times New Roman" w:hAnsi="Times New Roman" w:eastAsia="Times New Roman" w:cs="Times New Roman"/>
          <w:lang w:val="ru-RU"/>
        </w:rPr>
        <w:t xml:space="preserve">11.6</w:t>
      </w:r>
      <w:r>
        <w:rPr>
          <w:rFonts w:ascii="Times New Roman" w:hAnsi="Times New Roman" w:eastAsia="Times New Roman" w:cs="Times New Roman"/>
          <w:lang w:val="ru-RU"/>
        </w:rPr>
        <w:t xml:space="preserve">. Сторон</w:t>
      </w:r>
      <w:r>
        <w:rPr>
          <w:rFonts w:ascii="Times New Roman" w:hAnsi="Times New Roman" w:eastAsia="Times New Roman" w:cs="Times New Roman"/>
          <w:lang w:val="ru-RU"/>
        </w:rPr>
        <w:t xml:space="preserve">ы </w:t>
      </w:r>
      <w:r>
        <w:rPr>
          <w:rFonts w:ascii="Times New Roman" w:hAnsi="Times New Roman" w:eastAsia="Times New Roman" w:cs="Times New Roman"/>
          <w:lang w:val="ru-RU"/>
        </w:rPr>
        <w:t xml:space="preserve">вправе принять решение об одностороннем отказе от исполнения Договора в связи с существенным нарушением другой Стороной условий Договора, иным основаниям, предусмотренным Гражданским </w:t>
      </w:r>
      <w:hyperlink r:id="rId9" w:tooltip="consultantplus://offline/ref=5ED3874F1A8D317060EF2C015E8B016E10341697A20BF1433BF2F1E37Dt859J" w:history="1">
        <w:r>
          <w:rPr>
            <w:rFonts w:ascii="Times New Roman" w:hAnsi="Times New Roman" w:eastAsia="Times New Roman" w:cs="Times New Roman"/>
            <w:lang w:val="ru-RU"/>
          </w:rPr>
          <w:t xml:space="preserve">кодексом</w:t>
        </w:r>
      </w:hyperlink>
      <w:r>
        <w:rPr>
          <w:rFonts w:ascii="Times New Roman" w:hAnsi="Times New Roman" w:eastAsia="Times New Roman" w:cs="Times New Roman"/>
          <w:lang w:val="ru-RU"/>
        </w:rPr>
        <w:t xml:space="preserve"> Российской Федерации, в порядке и сроки, определенные </w:t>
      </w:r>
      <w:hyperlink r:id="rId10" w:tooltip="consultantplus://offline/ref=5ED3874F1A8D317060EF2C015E8B016E103E1396AC01F1433BF2F1E37D8945679D90C90C3DA0D3B3t858J" w:history="1">
        <w:r>
          <w:rPr>
            <w:rFonts w:ascii="Times New Roman" w:hAnsi="Times New Roman" w:eastAsia="Times New Roman" w:cs="Times New Roman"/>
            <w:lang w:val="ru-RU"/>
          </w:rPr>
          <w:t xml:space="preserve">статьей 95</w:t>
        </w:r>
      </w:hyperlink>
      <w:r>
        <w:rPr>
          <w:rFonts w:ascii="Times New Roman" w:hAnsi="Times New Roman" w:eastAsia="Times New Roman" w:cs="Times New Roman"/>
          <w:lang w:val="ru-RU"/>
        </w:rPr>
        <w:t xml:space="preserve"> </w:t>
      </w:r>
      <w:bookmarkStart w:id="1" w:name="_Hlk97281215"/>
      <w:r>
        <w:rPr>
          <w:rFonts w:ascii="Times New Roman" w:hAnsi="Times New Roman" w:eastAsia="Times New Roman" w:cs="Times New Roman"/>
          <w:lang w:val="ru-RU"/>
        </w:rPr>
        <w:t xml:space="preserve">Закона о контрактной системе</w:t>
      </w:r>
      <w:bookmarkEnd w:id="1"/>
      <w:r>
        <w:rPr>
          <w:rFonts w:ascii="Times New Roman" w:hAnsi="Times New Roman" w:eastAsia="Times New Roman" w:cs="Times New Roman"/>
          <w:lang w:val="ru-RU"/>
        </w:rPr>
        <w:t xml:space="preserve">.</w:t>
      </w:r>
      <w:r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r>
      <w:r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hd w:val="clear" w:color="auto" w:fill="ffffff"/>
          <w:lang w:val="ru-RU" w:eastAsia="ja-JP" w:bidi="ar-SA"/>
        </w:rPr>
      </w:r>
    </w:p>
    <w:p>
      <w:pPr>
        <w:pStyle w:val="863"/>
        <w:ind w:firstLine="709"/>
        <w:jc w:val="center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 ПРОЧИЕ УСЛОВИЯ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В случае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изменения реквизитов, Стороны обязаны уведомлять друг друга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письменной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форме, в срок, не превышающий 3 рабочих дней, со дня фактических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изменений.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2. Ни одна из Сторон Договора не имеет права передавать свои права и обязанности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 настоящему Договору третьей стороне без письменного согласия на то другой стороны.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12.3. Письма, уведомления, которое одна Сторона направляет другой Стороне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соответствии с настоящим Договором, направляются в письменной форме почтой или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факсимильной связью с последующим предоставлением оригинала.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12.4. По всем иным вопросам, не урегулированным в настоящем Договоре, Стороны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будут руководствоваться нормами действующего законодательства РФ.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12.5. Договор составлен в двух подлинных экземплярах, имеющих равную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юридическую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силу, по экземпляру для каждой Стороны.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12.6. Все приложения к Договору являются его неотъемлемой частью: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Приложение № 1. Описание объекта закупки.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13. АДРЕСА И БАНКОВСКИЕ РЕКВИЗИТЫ СТОРОН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tbl>
      <w:tblPr>
        <w:tblStyle w:val="864"/>
        <w:tblW w:w="0" w:type="auto"/>
        <w:tblLayout w:type="fixed"/>
        <w:tblLook w:val="04A0" w:firstRow="1" w:lastRow="0" w:firstColumn="1" w:lastColumn="0" w:noHBand="0" w:noVBand="1"/>
      </w:tblPr>
      <w:tblGrid>
        <w:gridCol w:w="3118"/>
        <w:gridCol w:w="1863"/>
        <w:gridCol w:w="3094"/>
        <w:gridCol w:w="1887"/>
      </w:tblGrid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заказчик: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Исполнитель: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187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DL" w:cs="Times New Roman"/>
                <w:sz w:val="24"/>
                <w:szCs w:val="24"/>
                <w:lang w:val="ru-RU" w:eastAsia="ru-RU" w:bidi="ru-RU"/>
              </w:rPr>
              <w:t xml:space="preserve">Администрация Выборгского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Ленинградской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188800, Ленинградская область, г. Выборг,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ул. Советская, д. 12, тел.: 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(81378) 233-64; 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(81378) 202-56.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электронной почты: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transport@vbgregion.ru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ИНН/КПП 4704063710/470401001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плательщика: Наименование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плательщика: КФ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ВМР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ЛО (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администрация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л/сч.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02453001100)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Банк: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ОКЦ № 1 СЕВЕРО-ЗАПАДНОГО ГУ БАНКА РОССИИ//УФК по Ленинградской области г.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р/сч. 032 316 434 161 500 045 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БИК 044030098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к/счет: 401 028 107 453 700 000 98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л/сч. 019019010000 в Комитете финансов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администрации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района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ОКПО 43493964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ОКТМО 41615000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ОКВЭД 84.11.3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ОКОГУ 3300100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ОКФС 14                ОКОПФ 75404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ОГРН 1054700191391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8" w:type="dxa"/>
            <w:vAlign w:val="bottom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63" w:type="dxa"/>
            <w:vAlign w:val="bottom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В.Г. Савинов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094" w:type="dxa"/>
            <w:vAlign w:val="bottom"/>
            <w:textDirection w:val="lrTb"/>
            <w:noWrap w:val="false"/>
          </w:tcPr>
          <w:p>
            <w:pPr>
              <w:pStyle w:val="863"/>
              <w:ind w:left="14" w:hanging="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87" w:type="dxa"/>
            <w:vAlign w:val="bottom"/>
            <w:textDirection w:val="lrTb"/>
            <w:noWrap w:val="false"/>
          </w:tcPr>
          <w:p>
            <w:r/>
            <w:r/>
          </w:p>
        </w:tc>
      </w:tr>
    </w:tbl>
    <w:p>
      <w:pPr>
        <w:widowControl/>
        <w:rPr>
          <w:rFonts w:ascii="Times New Roman" w:hAnsi="Times New Roman" w:eastAsia="Liberation Mono" w:cs="Times New Roman"/>
          <w:lang w:val="ru-RU"/>
        </w:rPr>
      </w:pPr>
      <w:r>
        <w:rPr>
          <w:rFonts w:ascii="Times New Roman" w:hAnsi="Times New Roman" w:eastAsia="Liberation Mono" w:cs="Times New Roman"/>
          <w:lang w:val="ru-RU"/>
        </w:rPr>
      </w:r>
      <w:r>
        <w:rPr>
          <w:rFonts w:ascii="Times New Roman" w:hAnsi="Times New Roman" w:eastAsia="Liberation Mono" w:cs="Times New Roman"/>
          <w:lang w:val="ru-RU"/>
        </w:rPr>
      </w:r>
      <w:r>
        <w:rPr>
          <w:rFonts w:ascii="Times New Roman" w:hAnsi="Times New Roman" w:eastAsia="Liberation Mono" w:cs="Times New Roman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Приложение № 1 к Договору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20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ОПИСАНИЕ ОБЪЕКТА ЗАКУПКИ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Коды по Общероссийскому классификатору продукции по видам экономической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деятельности (ОКПД 2)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/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код позиции Каталога товаров, работ,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обеспечения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государственных и муниципальных нужд (далее - КТРУ):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49.39.33.000 / 49.39.33.000-00000005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 Требования к качеству, условиям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требования к безопасности,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требования к результатам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иные показатели, связанные с определением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соответствия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потребностям заказчика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tbl>
      <w:tblPr>
        <w:tblStyle w:val="864"/>
        <w:tblW w:w="0" w:type="auto"/>
        <w:tblLook w:val="04A0" w:firstRow="1" w:lastRow="0" w:firstColumn="1" w:lastColumn="0" w:noHBand="0" w:noVBand="1"/>
      </w:tblPr>
      <w:tblGrid>
        <w:gridCol w:w="9962"/>
      </w:tblGrid>
      <w:tr>
        <w:tblPrEx/>
        <w:trPr/>
        <w:tc>
          <w:tcPr>
            <w:tcW w:w="9962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Требования к потребительским, функциональным и качественным характеристикам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поставляемого товара —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Работ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по перевозке пассажиров автобусом по заказам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tcW w:w="9962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Вид сообщения: Междугородний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посадочных мест в автобусе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:&gt;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&gt; 40 чел.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Круг лиц, перевозка которых осуществляется: Неопределенный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Периодичность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выполнения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работ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По заявкам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Оснащенность аппаратурой спутниковой навигации: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Наличие в салоне системы кондиционирования воздуха: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Обеспечение перево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багажа: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Наличие подменного фонда: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Наличие диспетчерской службы: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Год выпуска: не ранее 2016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Наличие фирменной одежды: нет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Дополнительные характеристики в приложении 1 к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описанию объекта закупки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</w:tr>
    </w:tbl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1.1. Исполнитель обязан: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7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 использов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анием автобусов вместимостью не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менее 40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посадочных мест, год выпуска не ранее 2016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года. Автобусы должны быть оборудованы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системой кондиционирования.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8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иметь возможность замены транспортного средства на аналогичное в случае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поломки;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8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связанные с осуществлением заказных перевозок, в соответствии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заявками заказчика;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numPr>
          <w:ilvl w:val="0"/>
          <w:numId w:val="9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по согласованию с заказчиком использовать платные парковки и проезд по платным дорогам.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numPr>
          <w:ilvl w:val="0"/>
          <w:numId w:val="9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ри выставлении счета на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связанных с осуществлением заказных перевозок, - в соответствии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заявкой заказчика,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добавить дополнительные расходы 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использования платных парковок и проезда по платным дорогам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numPr>
          <w:ilvl w:val="0"/>
          <w:numId w:val="6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в случае необходимости использования платных дорог , информировать заказчика о ответствующих расходах, необходимых для исполнения заявки (в случае отсутствия согласования 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с заказчиком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 о использование платных дорог для исполнения заявки, оплата таких расходов заказчиком не осуществляется).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собственными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силами;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обеспечить качественное, безопасное обслуживание в соответствии с федеральными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законами, государственными стандартами, областными законами Ленинградской области,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нормативными правовыми актами 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Выборгского муниципального района Ленинградской области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обеспечить страхование гражданской ответственности в соответствии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Федеральным законом от 14.06.2012 № 67-ФЗ «Об обязательном страховании гражданской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ности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перевозчика за причинение вреда жизни, здоровью, имуществу пассажиров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о поряд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ке возмещения такого вреда, причинённого при перевозках пассажиров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метрополите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ном» и при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нен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иметь действующий договор обязательного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страхования в 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аждом транспортном средстве;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обеспе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чить перевозки пассажиров в соответствии с требованиями Федерального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закона 10.12.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1995 № 196-ФЗ «О безопасности дорожного движения»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запросу Заказчика предоставлять информацию, связанную с выполнением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перевозок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 заказу согласно настоящего описания;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транспортные средства должны соответствовать обязательным требованиям,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установленным Техническим регламентом Таможенного союза ТР ОТС 018/201 «О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безопасности колесных транспортных средств», утвержденному решением Комиссии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Таможенного союза от 9.12.2011 № 877;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0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обеспечить соблюдение режима труда и отдыха водителей, установленного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ind w:left="0" w:firstLine="0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Транспортные средства, предоставляемые Исполнителем, должны: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1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соответствовать требованиям безопасности, техническому состоянию, методам проверки,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установленным действующими нормативными правовыми актами РФ;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1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отвечать требованиям санитарно-технических норм;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1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должны быть зарегистрированы в ГИБДД;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1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находиться в технически исправном состоянии;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1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иметь установленное устройство глобальной навигационной спутниковой системы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(ГЛОНАСС или ГЛОНАСС/СР</w:t>
      </w:r>
      <w:r>
        <w:rPr>
          <w:rFonts w:ascii="Times New Roman" w:hAnsi="Times New Roman" w:cs="Times New Roman"/>
          <w:sz w:val="24"/>
          <w:szCs w:val="24"/>
        </w:rPr>
        <w:t xml:space="preserve">S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);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1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соответствовать обязательным требованиям, установленным Техническим регламентом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Таможенного союза ТР ТС 018/2011 «О безопасности колесных транспортных средств»,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утвержденному решением Комиссии Таможенного союза от 9.12.2011 № 877;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Заказчик обязан направлять заявки на заказную перевозку Исполнителю не позднее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 (двух) рабочих дней до планируемой даты осуществления перевозки;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1.3. Заявка на заказную перевозку должна содержать: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— дату, время и место подачи транспортного средства;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— пункт назначения;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— количество посадочных мест;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—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список пассажиров;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—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ФИО и телефон контактного лица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—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предполагаемый маршрут (при необходимости)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 Перечень документов, требованиям которых должны соответствовать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выполненным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работам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от 08.11.2007 № 259-ФЗ «Устав автомобильного транспорта 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городского наземного электрического транспорта»;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от 10.12.1995 № 196-ФЗ «О безопасности дорожного движения»;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от 14.06.2012 № 67-ФЗ «Об обязательном страховании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гражданской ответственности перевозчика за причинение вреда жизни, здоровью, имуществу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пассажиров и о порядке возмещения такого вреда, причиненного при перевозках пассажиров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метрополитеном»;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от 14.02.2009 № 22-ФЗ «О навигационной деятельности»;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от 09.02.2007 № 16-ФЗ «О транспортной безопасности»;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3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Приказ Минтранса России от 14.04.2026 № 161 "Об утверждении Правил перевозок пассажиров и багажа автомобильным транспортом и городским наземным электрическим транспортом"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Правила дорожного движения Российской Федерации, утвержденные постановлением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Совета Министров - Правительством Российской Федерации;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Постановление Правительства РФ от 08.10.2020 № 1640 «Об утверждении требований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 обеспечению транспортной безопасности, учитывающих уровни безопасности для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транспортных средств автомобильного транспорта и городского наземного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электрического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транспорта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»;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ГОСТ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 52051-2003 «Механические транспортные средства и прицепы.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Классификация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определения» (принят и введен в действие постановлением Госстандарта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РФ от 7 мая 2003 г. №139-ст);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ГОСТ Р 51090-2017 «Средства общественного пассажирского транспорта. Общие технические требования доступности и безопасности инвалидов»;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numPr>
          <w:ilvl w:val="0"/>
          <w:numId w:val="12"/>
        </w:numPr>
        <w:jc w:val="both"/>
        <w:spacing w:line="26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другие нормативно правовые акты Ленинградской области и </w:t>
      </w:r>
      <w:r>
        <w:rPr>
          <w:rFonts w:ascii="Times New Roman" w:hAnsi="Times New Roman" w:eastAsia="TimesDL" w:cs="Times New Roman"/>
          <w:sz w:val="24"/>
          <w:szCs w:val="24"/>
          <w:lang w:val="ru-RU" w:eastAsia="ru-RU" w:bidi="ru-RU"/>
        </w:rPr>
        <w:t xml:space="preserve">Выборгского муниципального района Ленинградской области</w:t>
      </w:r>
      <w:r>
        <w:rPr>
          <w:rFonts w:ascii="Times New Roman" w:hAnsi="Times New Roman" w:cs="Times New Roman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pStyle w:val="863"/>
        <w:jc w:val="both"/>
        <w:spacing w:line="260" w:lineRule="exac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highlight w:val="none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tbl>
      <w:tblPr>
        <w:tblStyle w:val="864"/>
        <w:tblW w:w="0" w:type="auto"/>
        <w:tblLayout w:type="fixed"/>
        <w:tblLook w:val="04A0" w:firstRow="1" w:lastRow="0" w:firstColumn="1" w:lastColumn="0" w:noHBand="0" w:noVBand="1"/>
      </w:tblPr>
      <w:tblGrid>
        <w:gridCol w:w="2976"/>
        <w:gridCol w:w="2005"/>
        <w:gridCol w:w="3094"/>
        <w:gridCol w:w="1887"/>
      </w:tblGrid>
      <w:tr>
        <w:tblPrEx/>
        <w:trPr>
          <w:trHeight w:val="196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81" w:type="dxa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392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976" w:type="dxa"/>
            <w:vAlign w:val="bottom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05" w:type="dxa"/>
            <w:vAlign w:val="bottom"/>
            <w:textDirection w:val="lrTb"/>
            <w:noWrap w:val="false"/>
          </w:tcPr>
          <w:p>
            <w:pPr>
              <w:pStyle w:val="8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В.Г. Савинов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094" w:type="dxa"/>
            <w:vAlign w:val="bottom"/>
            <w:textDirection w:val="lrTb"/>
            <w:noWrap w:val="false"/>
          </w:tcPr>
          <w:p>
            <w:pPr>
              <w:pStyle w:val="863"/>
              <w:ind w:left="14" w:hanging="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87" w:type="dxa"/>
            <w:vAlign w:val="bottom"/>
            <w:textDirection w:val="lrTb"/>
            <w:noWrap w:val="false"/>
          </w:tcPr>
          <w:p>
            <w:r/>
            <w:r/>
          </w:p>
        </w:tc>
      </w:tr>
    </w:tbl>
    <w:p>
      <w:pPr>
        <w:pStyle w:val="8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2240" w:h="15840" w:orient="portrait"/>
      <w:pgMar w:top="907" w:right="1134" w:bottom="1077" w:left="1134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DL">
    <w:panose1 w:val="02000603000000000000"/>
  </w:font>
  <w:font w:name="Times New Roman">
    <w:panose1 w:val="02020603050405020304"/>
  </w:font>
  <w:font w:name="Symbol">
    <w:panose1 w:val="05050102010706020507"/>
  </w:font>
  <w:font w:name="Courier New">
    <w:panose1 w:val="02070309020205020404"/>
  </w:font>
  <w:font w:name="Mangal">
    <w:panose1 w:val="02040503050406030204"/>
  </w:font>
  <w:font w:name="Segoe UI">
    <w:panose1 w:val="020B0502040204020203"/>
  </w:font>
  <w:font w:name="Liberation Mono">
    <w:panose1 w:val="02070409020205020404"/>
  </w:font>
  <w:font w:name="Wingdings">
    <w:panose1 w:val="05000000000000000000"/>
  </w:font>
  <w:font w:name="Liberation Sans">
    <w:panose1 w:val="020B0604020202020204"/>
  </w:font>
  <w:font w:name="Source Han Sans CN">
    <w:panose1 w:val="02000603000000000000"/>
  </w:font>
  <w:font w:name="Arial">
    <w:panose1 w:val="020B0604020202020204"/>
  </w:font>
  <w:font w:name="Source Han Serif CN">
    <w:panose1 w:val="02000603000000000000"/>
  </w:font>
  <w:font w:name="Noto Sans Devanagari">
    <w:panose1 w:val="020B0502040504020204"/>
  </w:font>
  <w:font w:name="Liberation Serif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Source Han Serif CN" w:cs="Noto Sans Devanagari"/>
        <w:sz w:val="24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basedOn w:val="854"/>
    <w:next w:val="854"/>
    <w:link w:val="68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1">
    <w:name w:val="Heading 1 Char"/>
    <w:basedOn w:val="855"/>
    <w:link w:val="680"/>
    <w:uiPriority w:val="9"/>
    <w:rPr>
      <w:rFonts w:ascii="Arial" w:hAnsi="Arial" w:eastAsia="Arial" w:cs="Arial"/>
      <w:sz w:val="40"/>
      <w:szCs w:val="40"/>
    </w:rPr>
  </w:style>
  <w:style w:type="paragraph" w:styleId="682">
    <w:name w:val="Heading 2"/>
    <w:basedOn w:val="854"/>
    <w:next w:val="854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3">
    <w:name w:val="Heading 2 Char"/>
    <w:basedOn w:val="855"/>
    <w:link w:val="682"/>
    <w:uiPriority w:val="9"/>
    <w:rPr>
      <w:rFonts w:ascii="Arial" w:hAnsi="Arial" w:eastAsia="Arial" w:cs="Arial"/>
      <w:sz w:val="34"/>
    </w:rPr>
  </w:style>
  <w:style w:type="paragraph" w:styleId="684">
    <w:name w:val="Heading 3"/>
    <w:basedOn w:val="854"/>
    <w:next w:val="854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5">
    <w:name w:val="Heading 3 Char"/>
    <w:basedOn w:val="855"/>
    <w:link w:val="684"/>
    <w:uiPriority w:val="9"/>
    <w:rPr>
      <w:rFonts w:ascii="Arial" w:hAnsi="Arial" w:eastAsia="Arial" w:cs="Arial"/>
      <w:sz w:val="30"/>
      <w:szCs w:val="30"/>
    </w:rPr>
  </w:style>
  <w:style w:type="paragraph" w:styleId="686">
    <w:name w:val="Heading 4"/>
    <w:basedOn w:val="854"/>
    <w:next w:val="854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7">
    <w:name w:val="Heading 4 Char"/>
    <w:basedOn w:val="855"/>
    <w:link w:val="686"/>
    <w:uiPriority w:val="9"/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854"/>
    <w:next w:val="854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5 Char"/>
    <w:basedOn w:val="855"/>
    <w:link w:val="688"/>
    <w:uiPriority w:val="9"/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854"/>
    <w:next w:val="854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1">
    <w:name w:val="Heading 6 Char"/>
    <w:basedOn w:val="855"/>
    <w:link w:val="690"/>
    <w:uiPriority w:val="9"/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854"/>
    <w:next w:val="85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3">
    <w:name w:val="Heading 7 Char"/>
    <w:basedOn w:val="855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4">
    <w:name w:val="Heading 8"/>
    <w:basedOn w:val="854"/>
    <w:next w:val="854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5">
    <w:name w:val="Heading 8 Char"/>
    <w:basedOn w:val="855"/>
    <w:link w:val="694"/>
    <w:uiPriority w:val="9"/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854"/>
    <w:next w:val="854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>
    <w:name w:val="Heading 9 Char"/>
    <w:basedOn w:val="855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List Paragraph"/>
    <w:basedOn w:val="854"/>
    <w:uiPriority w:val="34"/>
    <w:qFormat/>
    <w:pPr>
      <w:contextualSpacing/>
      <w:ind w:left="720"/>
    </w:pPr>
  </w:style>
  <w:style w:type="paragraph" w:styleId="699">
    <w:name w:val="No Spacing"/>
    <w:uiPriority w:val="1"/>
    <w:qFormat/>
    <w:pPr>
      <w:spacing w:before="0" w:after="0" w:line="240" w:lineRule="auto"/>
    </w:pPr>
  </w:style>
  <w:style w:type="paragraph" w:styleId="700">
    <w:name w:val="Title"/>
    <w:basedOn w:val="854"/>
    <w:next w:val="854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>
    <w:name w:val="Title Char"/>
    <w:basedOn w:val="855"/>
    <w:link w:val="700"/>
    <w:uiPriority w:val="10"/>
    <w:rPr>
      <w:sz w:val="48"/>
      <w:szCs w:val="48"/>
    </w:rPr>
  </w:style>
  <w:style w:type="paragraph" w:styleId="702">
    <w:name w:val="Subtitle"/>
    <w:basedOn w:val="854"/>
    <w:next w:val="854"/>
    <w:link w:val="703"/>
    <w:uiPriority w:val="11"/>
    <w:qFormat/>
    <w:pPr>
      <w:spacing w:before="200" w:after="200"/>
    </w:pPr>
    <w:rPr>
      <w:sz w:val="24"/>
      <w:szCs w:val="24"/>
    </w:rPr>
  </w:style>
  <w:style w:type="character" w:styleId="703">
    <w:name w:val="Subtitle Char"/>
    <w:basedOn w:val="855"/>
    <w:link w:val="702"/>
    <w:uiPriority w:val="11"/>
    <w:rPr>
      <w:sz w:val="24"/>
      <w:szCs w:val="24"/>
    </w:rPr>
  </w:style>
  <w:style w:type="paragraph" w:styleId="704">
    <w:name w:val="Quote"/>
    <w:basedOn w:val="854"/>
    <w:next w:val="854"/>
    <w:link w:val="705"/>
    <w:uiPriority w:val="29"/>
    <w:qFormat/>
    <w:pPr>
      <w:ind w:left="720" w:right="720"/>
    </w:pPr>
    <w:rPr>
      <w:i/>
    </w:rPr>
  </w:style>
  <w:style w:type="character" w:styleId="705">
    <w:name w:val="Quote Char"/>
    <w:link w:val="704"/>
    <w:uiPriority w:val="29"/>
    <w:rPr>
      <w:i/>
    </w:rPr>
  </w:style>
  <w:style w:type="paragraph" w:styleId="706">
    <w:name w:val="Intense Quote"/>
    <w:basedOn w:val="854"/>
    <w:next w:val="854"/>
    <w:link w:val="7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>
    <w:name w:val="Intense Quote Char"/>
    <w:link w:val="706"/>
    <w:uiPriority w:val="30"/>
    <w:rPr>
      <w:i/>
    </w:rPr>
  </w:style>
  <w:style w:type="character" w:styleId="708">
    <w:name w:val="Header Char"/>
    <w:basedOn w:val="855"/>
    <w:link w:val="867"/>
    <w:uiPriority w:val="99"/>
  </w:style>
  <w:style w:type="character" w:styleId="709">
    <w:name w:val="Footer Char"/>
    <w:basedOn w:val="855"/>
    <w:link w:val="869"/>
    <w:uiPriority w:val="99"/>
  </w:style>
  <w:style w:type="character" w:styleId="710">
    <w:name w:val="Caption Char"/>
    <w:basedOn w:val="855"/>
    <w:link w:val="861"/>
    <w:uiPriority w:val="35"/>
    <w:rPr>
      <w:b/>
      <w:bCs/>
      <w:color w:val="4f81bd" w:themeColor="accent1"/>
      <w:sz w:val="18"/>
      <w:szCs w:val="18"/>
    </w:rPr>
  </w:style>
  <w:style w:type="table" w:styleId="711">
    <w:name w:val="Table Grid Light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Plain Table 1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4 - Accent 1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0">
    <w:name w:val="Grid Table 4 - Accent 2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1">
    <w:name w:val="Grid Table 4 - Accent 3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2">
    <w:name w:val="Grid Table 4 - Accent 4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3">
    <w:name w:val="Grid Table 4 - Accent 5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4">
    <w:name w:val="Grid Table 4 - Accent 6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5">
    <w:name w:val="Grid Table 5 Dark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9">
    <w:name w:val="Grid Table 5 Dark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6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4">
    <w:name w:val="Grid Table 6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5">
    <w:name w:val="Grid Table 6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6">
    <w:name w:val="Grid Table 6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7">
    <w:name w:val="Grid Table 6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6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9">
    <w:name w:val="Grid Table 7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4">
    <w:name w:val="List Table 2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5">
    <w:name w:val="List Table 2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6">
    <w:name w:val="List Table 2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7">
    <w:name w:val="List Table 2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8">
    <w:name w:val="List Table 2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9">
    <w:name w:val="List Table 2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6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2">
    <w:name w:val="List Table 6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3">
    <w:name w:val="List Table 6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4">
    <w:name w:val="List Table 6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5">
    <w:name w:val="List Table 6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6">
    <w:name w:val="List Table 6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7">
    <w:name w:val="List Table 6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8">
    <w:name w:val="List Table 7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9">
    <w:name w:val="List Table 7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10">
    <w:name w:val="List Table 7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1">
    <w:name w:val="List Table 7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2">
    <w:name w:val="List Table 7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3">
    <w:name w:val="List Table 7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14">
    <w:name w:val="List Table 7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15">
    <w:name w:val="Lined - Accent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Lined - Accent 1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7">
    <w:name w:val="Lined - Accent 2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8">
    <w:name w:val="Lined - Accent 3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9">
    <w:name w:val="Lined - Accent 4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0">
    <w:name w:val="Lined - Accent 5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1">
    <w:name w:val="Lined - Accent 6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2">
    <w:name w:val="Bordered &amp; Lined - Accent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Bordered &amp; Lined - Accent 1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4">
    <w:name w:val="Bordered &amp; Lined - Accent 2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5">
    <w:name w:val="Bordered &amp; Lined - Accent 3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6">
    <w:name w:val="Bordered &amp; Lined - Accent 4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7">
    <w:name w:val="Bordered &amp; Lined - Accent 5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8">
    <w:name w:val="Bordered &amp; Lined - Accent 6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9">
    <w:name w:val="Bordered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0">
    <w:name w:val="Bordered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1">
    <w:name w:val="Bordered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2">
    <w:name w:val="Bordered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3">
    <w:name w:val="Bordered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4">
    <w:name w:val="Bordered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5">
    <w:name w:val="Bordered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6">
    <w:name w:val="Hyperlink"/>
    <w:uiPriority w:val="99"/>
    <w:unhideWhenUsed/>
    <w:rPr>
      <w:color w:val="0000ff" w:themeColor="hyperlink"/>
      <w:u w:val="single"/>
    </w:rPr>
  </w:style>
  <w:style w:type="paragraph" w:styleId="837">
    <w:name w:val="footnote text"/>
    <w:basedOn w:val="85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>
    <w:name w:val="Footnote Text Char"/>
    <w:link w:val="837"/>
    <w:uiPriority w:val="99"/>
    <w:rPr>
      <w:sz w:val="18"/>
    </w:rPr>
  </w:style>
  <w:style w:type="character" w:styleId="839">
    <w:name w:val="footnote reference"/>
    <w:basedOn w:val="855"/>
    <w:uiPriority w:val="99"/>
    <w:unhideWhenUsed/>
    <w:rPr>
      <w:vertAlign w:val="superscript"/>
    </w:rPr>
  </w:style>
  <w:style w:type="paragraph" w:styleId="840">
    <w:name w:val="endnote text"/>
    <w:basedOn w:val="85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>
    <w:name w:val="Endnote Text Char"/>
    <w:link w:val="840"/>
    <w:uiPriority w:val="99"/>
    <w:rPr>
      <w:sz w:val="20"/>
    </w:rPr>
  </w:style>
  <w:style w:type="character" w:styleId="842">
    <w:name w:val="endnote reference"/>
    <w:basedOn w:val="855"/>
    <w:uiPriority w:val="99"/>
    <w:semiHidden/>
    <w:unhideWhenUsed/>
    <w:rPr>
      <w:vertAlign w:val="superscript"/>
    </w:rPr>
  </w:style>
  <w:style w:type="paragraph" w:styleId="843">
    <w:name w:val="toc 1"/>
    <w:basedOn w:val="854"/>
    <w:next w:val="854"/>
    <w:uiPriority w:val="39"/>
    <w:unhideWhenUsed/>
    <w:pPr>
      <w:ind w:left="0" w:right="0" w:firstLine="0"/>
      <w:spacing w:after="57"/>
    </w:pPr>
  </w:style>
  <w:style w:type="paragraph" w:styleId="844">
    <w:name w:val="toc 2"/>
    <w:basedOn w:val="854"/>
    <w:next w:val="854"/>
    <w:uiPriority w:val="39"/>
    <w:unhideWhenUsed/>
    <w:pPr>
      <w:ind w:left="283" w:right="0" w:firstLine="0"/>
      <w:spacing w:after="57"/>
    </w:pPr>
  </w:style>
  <w:style w:type="paragraph" w:styleId="845">
    <w:name w:val="toc 3"/>
    <w:basedOn w:val="854"/>
    <w:next w:val="854"/>
    <w:uiPriority w:val="39"/>
    <w:unhideWhenUsed/>
    <w:pPr>
      <w:ind w:left="567" w:right="0" w:firstLine="0"/>
      <w:spacing w:after="57"/>
    </w:pPr>
  </w:style>
  <w:style w:type="paragraph" w:styleId="846">
    <w:name w:val="toc 4"/>
    <w:basedOn w:val="854"/>
    <w:next w:val="854"/>
    <w:uiPriority w:val="39"/>
    <w:unhideWhenUsed/>
    <w:pPr>
      <w:ind w:left="850" w:right="0" w:firstLine="0"/>
      <w:spacing w:after="57"/>
    </w:pPr>
  </w:style>
  <w:style w:type="paragraph" w:styleId="847">
    <w:name w:val="toc 5"/>
    <w:basedOn w:val="854"/>
    <w:next w:val="854"/>
    <w:uiPriority w:val="39"/>
    <w:unhideWhenUsed/>
    <w:pPr>
      <w:ind w:left="1134" w:right="0" w:firstLine="0"/>
      <w:spacing w:after="57"/>
    </w:pPr>
  </w:style>
  <w:style w:type="paragraph" w:styleId="848">
    <w:name w:val="toc 6"/>
    <w:basedOn w:val="854"/>
    <w:next w:val="854"/>
    <w:uiPriority w:val="39"/>
    <w:unhideWhenUsed/>
    <w:pPr>
      <w:ind w:left="1417" w:right="0" w:firstLine="0"/>
      <w:spacing w:after="57"/>
    </w:pPr>
  </w:style>
  <w:style w:type="paragraph" w:styleId="849">
    <w:name w:val="toc 7"/>
    <w:basedOn w:val="854"/>
    <w:next w:val="854"/>
    <w:uiPriority w:val="39"/>
    <w:unhideWhenUsed/>
    <w:pPr>
      <w:ind w:left="1701" w:right="0" w:firstLine="0"/>
      <w:spacing w:after="57"/>
    </w:pPr>
  </w:style>
  <w:style w:type="paragraph" w:styleId="850">
    <w:name w:val="toc 8"/>
    <w:basedOn w:val="854"/>
    <w:next w:val="854"/>
    <w:uiPriority w:val="39"/>
    <w:unhideWhenUsed/>
    <w:pPr>
      <w:ind w:left="1984" w:right="0" w:firstLine="0"/>
      <w:spacing w:after="57"/>
    </w:pPr>
  </w:style>
  <w:style w:type="paragraph" w:styleId="851">
    <w:name w:val="toc 9"/>
    <w:basedOn w:val="854"/>
    <w:next w:val="854"/>
    <w:uiPriority w:val="39"/>
    <w:unhideWhenUsed/>
    <w:pPr>
      <w:ind w:left="2268" w:right="0" w:firstLine="0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qFormat/>
    <w:pPr>
      <w:widowControl w:val="off"/>
    </w:pPr>
  </w:style>
  <w:style w:type="character" w:styleId="855" w:default="1">
    <w:name w:val="Default Paragraph Font"/>
    <w:uiPriority w:val="1"/>
    <w:semiHidden/>
    <w:unhideWhenUsed/>
  </w:style>
  <w:style w:type="table" w:styleId="8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7" w:default="1">
    <w:name w:val="No List"/>
    <w:uiPriority w:val="99"/>
    <w:semiHidden/>
    <w:unhideWhenUsed/>
  </w:style>
  <w:style w:type="paragraph" w:styleId="858" w:customStyle="1">
    <w:name w:val="Heading"/>
    <w:basedOn w:val="854"/>
    <w:next w:val="859"/>
    <w:qFormat/>
    <w:pPr>
      <w:keepNext/>
      <w:spacing w:before="240" w:after="120"/>
    </w:pPr>
    <w:rPr>
      <w:rFonts w:ascii="Liberation Sans" w:hAnsi="Liberation Sans" w:eastAsia="Source Han Sans CN"/>
      <w:sz w:val="28"/>
      <w:szCs w:val="28"/>
    </w:rPr>
  </w:style>
  <w:style w:type="paragraph" w:styleId="859">
    <w:name w:val="Body Text"/>
    <w:basedOn w:val="854"/>
    <w:pPr>
      <w:spacing w:after="140" w:line="276" w:lineRule="auto"/>
    </w:pPr>
  </w:style>
  <w:style w:type="paragraph" w:styleId="860">
    <w:name w:val="List"/>
    <w:basedOn w:val="859"/>
  </w:style>
  <w:style w:type="paragraph" w:styleId="861">
    <w:name w:val="Caption"/>
    <w:basedOn w:val="854"/>
    <w:link w:val="710"/>
    <w:qFormat/>
    <w:pPr>
      <w:spacing w:before="120" w:after="120"/>
      <w:suppressLineNumbers/>
    </w:pPr>
    <w:rPr>
      <w:i/>
      <w:iCs/>
    </w:rPr>
  </w:style>
  <w:style w:type="paragraph" w:styleId="862" w:customStyle="1">
    <w:name w:val="Index"/>
    <w:basedOn w:val="854"/>
    <w:qFormat/>
    <w:pPr>
      <w:suppressLineNumbers/>
    </w:pPr>
  </w:style>
  <w:style w:type="paragraph" w:styleId="863" w:customStyle="1">
    <w:name w:val="Preformatted Text"/>
    <w:basedOn w:val="854"/>
    <w:qFormat/>
    <w:rPr>
      <w:rFonts w:ascii="Liberation Mono" w:hAnsi="Liberation Mono" w:eastAsia="Liberation Mono" w:cs="Liberation Mono"/>
      <w:sz w:val="20"/>
      <w:szCs w:val="20"/>
    </w:rPr>
  </w:style>
  <w:style w:type="table" w:styleId="864">
    <w:name w:val="Table Grid"/>
    <w:basedOn w:val="856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Balloon Text"/>
    <w:basedOn w:val="854"/>
    <w:link w:val="866"/>
    <w:uiPriority w:val="99"/>
    <w:semiHidden/>
    <w:unhideWhenUsed/>
    <w:rPr>
      <w:rFonts w:ascii="Segoe UI" w:hAnsi="Segoe UI" w:cs="Mangal"/>
      <w:sz w:val="18"/>
      <w:szCs w:val="16"/>
    </w:rPr>
  </w:style>
  <w:style w:type="character" w:styleId="866" w:customStyle="1">
    <w:name w:val="Текст выноски Знак"/>
    <w:basedOn w:val="855"/>
    <w:link w:val="865"/>
    <w:uiPriority w:val="99"/>
    <w:semiHidden/>
    <w:rPr>
      <w:rFonts w:ascii="Segoe UI" w:hAnsi="Segoe UI" w:cs="Mangal"/>
      <w:sz w:val="18"/>
      <w:szCs w:val="16"/>
    </w:rPr>
  </w:style>
  <w:style w:type="paragraph" w:styleId="867">
    <w:name w:val="Header"/>
    <w:basedOn w:val="854"/>
    <w:link w:val="868"/>
    <w:uiPriority w:val="99"/>
    <w:unhideWhenUsed/>
    <w:pPr>
      <w:tabs>
        <w:tab w:val="center" w:pos="4677" w:leader="none"/>
        <w:tab w:val="right" w:pos="9355" w:leader="none"/>
      </w:tabs>
    </w:pPr>
    <w:rPr>
      <w:rFonts w:cs="Mangal"/>
      <w:szCs w:val="21"/>
    </w:rPr>
  </w:style>
  <w:style w:type="character" w:styleId="868" w:customStyle="1">
    <w:name w:val="Верхний колонтитул Знак"/>
    <w:basedOn w:val="855"/>
    <w:link w:val="867"/>
    <w:uiPriority w:val="99"/>
    <w:rPr>
      <w:rFonts w:cs="Mangal"/>
      <w:szCs w:val="21"/>
    </w:rPr>
  </w:style>
  <w:style w:type="paragraph" w:styleId="869">
    <w:name w:val="Footer"/>
    <w:basedOn w:val="854"/>
    <w:link w:val="870"/>
    <w:uiPriority w:val="99"/>
    <w:unhideWhenUsed/>
    <w:pPr>
      <w:tabs>
        <w:tab w:val="center" w:pos="4677" w:leader="none"/>
        <w:tab w:val="right" w:pos="9355" w:leader="none"/>
      </w:tabs>
    </w:pPr>
    <w:rPr>
      <w:rFonts w:cs="Mangal"/>
      <w:szCs w:val="21"/>
    </w:rPr>
  </w:style>
  <w:style w:type="character" w:styleId="870" w:customStyle="1">
    <w:name w:val="Нижний колонтитул Знак"/>
    <w:basedOn w:val="855"/>
    <w:link w:val="869"/>
    <w:uiPriority w:val="99"/>
    <w:rPr>
      <w:rFonts w:cs="Mangal"/>
      <w:szCs w:val="2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consultantplus://offline/ref=5ED3874F1A8D317060EF2C015E8B016E10341697A20BF1433BF2F1E37Dt859J" TargetMode="External"/><Relationship Id="rId10" Type="http://schemas.openxmlformats.org/officeDocument/2006/relationships/hyperlink" Target="consultantplus://offline/ref=5ED3874F1A8D317060EF2C015E8B016E103E1396AC01F1433BF2F1E37D8945679D90C90C3DA0D3B3t858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Ю. Никонова</dc:creator>
  <dc:description/>
  <dc:language>en-US</dc:language>
  <cp:lastModifiedBy>ivanova_oa</cp:lastModifiedBy>
  <cp:revision>32</cp:revision>
  <dcterms:created xsi:type="dcterms:W3CDTF">2025-10-07T14:28:00Z</dcterms:created>
  <dcterms:modified xsi:type="dcterms:W3CDTF">2026-09-11T07:20:09Z</dcterms:modified>
</cp:coreProperties>
</file>