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end"/>
        <w:rPr>
          <w:sz w:val="24"/>
          <w:szCs w:val="24"/>
        </w:rPr>
      </w:pPr>
      <w:r>
        <w:rPr>
          <w:color w:val="000000"/>
          <w:sz w:val="24"/>
          <w:szCs w:val="24"/>
          <w:lang w:val="ru-RU"/>
        </w:rPr>
        <w:t>«УТВЕРЖДАЮ»</w:t>
      </w:r>
    </w:p>
    <w:p>
      <w:pPr>
        <w:pStyle w:val="Normal"/>
        <w:jc w:val="end"/>
        <w:rPr>
          <w:sz w:val="24"/>
          <w:szCs w:val="24"/>
        </w:rPr>
      </w:pPr>
      <w:r>
        <w:rPr>
          <w:color w:val="000000"/>
          <w:sz w:val="24"/>
          <w:szCs w:val="24"/>
          <w:lang w:val="ru-RU"/>
        </w:rPr>
        <w:t>Глава Сяськелевского</w:t>
      </w:r>
    </w:p>
    <w:p>
      <w:pPr>
        <w:pStyle w:val="Normal"/>
        <w:jc w:val="end"/>
        <w:rPr>
          <w:sz w:val="24"/>
          <w:szCs w:val="24"/>
        </w:rPr>
      </w:pPr>
      <w:r>
        <w:rPr>
          <w:color w:val="000000"/>
          <w:sz w:val="24"/>
          <w:szCs w:val="24"/>
          <w:lang w:val="ru-RU"/>
        </w:rPr>
        <w:t>территориального управления</w:t>
      </w:r>
    </w:p>
    <w:p>
      <w:pPr>
        <w:pStyle w:val="Normal"/>
        <w:jc w:val="end"/>
        <w:rPr>
          <w:sz w:val="24"/>
          <w:szCs w:val="24"/>
        </w:rPr>
      </w:pPr>
      <w:r>
        <w:rPr>
          <w:color w:val="000000"/>
          <w:sz w:val="24"/>
          <w:szCs w:val="24"/>
          <w:lang w:val="ru-RU"/>
        </w:rPr>
        <w:t>_______________ Е.Е. Федорова</w:t>
      </w:r>
    </w:p>
    <w:p>
      <w:pPr>
        <w:pStyle w:val="Normal"/>
        <w:jc w:val="end"/>
        <w:rPr>
          <w:sz w:val="24"/>
          <w:szCs w:val="24"/>
        </w:rPr>
      </w:pPr>
      <w:r>
        <w:rPr>
          <w:color w:val="000000"/>
          <w:sz w:val="24"/>
          <w:szCs w:val="24"/>
          <w:lang w:val="ru-RU"/>
        </w:rPr>
        <w:t>«___» __________ 2026 г.</w:t>
      </w:r>
    </w:p>
    <w:p>
      <w:pPr>
        <w:pStyle w:val="Normal"/>
        <w:jc w:val="center"/>
        <w:rPr>
          <w:b/>
          <w:bCs/>
          <w:color w:val="000000"/>
          <w:sz w:val="24"/>
          <w:szCs w:val="24"/>
          <w:u w:val="single"/>
          <w:lang w:val="ru-RU"/>
        </w:rPr>
      </w:pPr>
      <w:r>
        <w:rPr>
          <w:b/>
          <w:bCs/>
          <w:color w:val="000000"/>
          <w:sz w:val="24"/>
          <w:szCs w:val="24"/>
          <w:u w:val="single"/>
          <w:lang w:val="ru-RU"/>
        </w:rPr>
      </w:r>
    </w:p>
    <w:p>
      <w:pPr>
        <w:pStyle w:val="Normal"/>
        <w:jc w:val="center"/>
        <w:rPr>
          <w:sz w:val="24"/>
          <w:szCs w:val="24"/>
        </w:rPr>
      </w:pPr>
      <w:r>
        <w:rPr>
          <w:b/>
          <w:bCs/>
          <w:color w:val="000000"/>
          <w:sz w:val="24"/>
          <w:szCs w:val="24"/>
          <w:u w:val="single"/>
          <w:lang w:val="ru-RU"/>
        </w:rPr>
        <w:t>ПРОЕКТ ДОГОВОРА</w:t>
      </w:r>
    </w:p>
    <w:p>
      <w:pPr>
        <w:pStyle w:val="BodyTextIndent3"/>
        <w:ind w:hanging="0" w:start="0"/>
        <w:jc w:val="center"/>
        <w:rPr>
          <w:sz w:val="24"/>
          <w:szCs w:val="24"/>
        </w:rPr>
      </w:pPr>
      <w:r>
        <w:rPr>
          <w:sz w:val="24"/>
          <w:szCs w:val="24"/>
        </w:rPr>
        <w:t xml:space="preserve">ДОГОВОР № </w:t>
      </w:r>
    </w:p>
    <w:p>
      <w:pPr>
        <w:pStyle w:val="BodyTextIndent3"/>
        <w:jc w:val="center"/>
        <w:rPr>
          <w:sz w:val="24"/>
          <w:szCs w:val="24"/>
        </w:rPr>
      </w:pPr>
      <w:r>
        <w:rPr>
          <w:sz w:val="24"/>
          <w:szCs w:val="24"/>
        </w:rPr>
        <w:t>НА РЕМОНТ И  ТЕХНИЧЕСКОЕ ОБСЛУЖИВАНИЕ АВТОМОБИЛЬНОГО СРЕДСТВА</w:t>
      </w:r>
    </w:p>
    <w:p>
      <w:pPr>
        <w:pStyle w:val="BodyTextIndent3"/>
        <w:ind w:hanging="0" w:start="0"/>
        <w:jc w:val="center"/>
        <w:rPr>
          <w:sz w:val="24"/>
          <w:szCs w:val="24"/>
        </w:rPr>
      </w:pPr>
      <w:r>
        <w:rPr>
          <w:b w:val="false"/>
          <w:bCs w:val="false"/>
          <w:color w:themeColor="text1" w:val="000000"/>
          <w:sz w:val="24"/>
          <w:szCs w:val="24"/>
        </w:rPr>
        <w:t>ИКЗ:263470512183747050100100020000000244</w:t>
      </w:r>
    </w:p>
    <w:p>
      <w:pPr>
        <w:pStyle w:val="BodyTextIndent3"/>
        <w:ind w:hanging="0" w:start="0"/>
        <w:jc w:val="center"/>
        <w:rPr>
          <w:b w:val="false"/>
          <w:bCs w:val="false"/>
          <w:sz w:val="24"/>
          <w:szCs w:val="24"/>
        </w:rPr>
      </w:pPr>
      <w:r>
        <w:rPr>
          <w:b w:val="false"/>
          <w:bCs w:val="false"/>
          <w:sz w:val="24"/>
          <w:szCs w:val="24"/>
        </w:rPr>
      </w:r>
    </w:p>
    <w:p>
      <w:pPr>
        <w:pStyle w:val="BodyTextIndent3"/>
        <w:ind w:hanging="0" w:start="0"/>
        <w:rPr>
          <w:sz w:val="24"/>
          <w:szCs w:val="24"/>
        </w:rPr>
      </w:pPr>
      <w:r>
        <w:rPr>
          <w:sz w:val="24"/>
          <w:szCs w:val="24"/>
        </w:rPr>
        <w:t>д. Сяськелево</w:t>
        <w:tab/>
        <w:tab/>
        <w:tab/>
        <w:tab/>
        <w:tab/>
        <w:t xml:space="preserve"> </w:t>
        <w:tab/>
        <w:t xml:space="preserve">                                        «__»  ______ 2026г. </w:t>
      </w:r>
    </w:p>
    <w:p>
      <w:pPr>
        <w:pStyle w:val="Normal"/>
        <w:jc w:val="both"/>
        <w:rPr>
          <w:sz w:val="24"/>
          <w:szCs w:val="24"/>
        </w:rPr>
      </w:pPr>
      <w:r>
        <w:rPr>
          <w:b/>
          <w:sz w:val="24"/>
          <w:szCs w:val="24"/>
          <w:lang w:val="ru-RU" w:eastAsia="ar-SA"/>
        </w:rPr>
        <w:t>Сяськелевское территориальное управление администрации муниципального образования Гатчинский муниципальный округ Ленинградской области</w:t>
      </w:r>
      <w:r>
        <w:rPr>
          <w:sz w:val="24"/>
          <w:szCs w:val="24"/>
          <w:lang w:val="ru-RU" w:eastAsia="ar-SA"/>
        </w:rPr>
        <w:t xml:space="preserve">, именуемая в дальнейшем </w:t>
      </w:r>
      <w:r>
        <w:rPr>
          <w:b/>
          <w:sz w:val="24"/>
          <w:szCs w:val="24"/>
          <w:lang w:val="ru-RU" w:eastAsia="ar-SA"/>
        </w:rPr>
        <w:t>«Заказчик»,</w:t>
      </w:r>
      <w:r>
        <w:rPr>
          <w:sz w:val="24"/>
          <w:szCs w:val="24"/>
          <w:lang w:val="ru-RU" w:eastAsia="ar-SA"/>
        </w:rPr>
        <w:t xml:space="preserve"> в лице главы Сяськелевского территориального управления: Федоровой Елены Евгеньевны действующей на основании Положения о Сяськелевском территориальном управлении администрации муниципального образования Гатчинский муниципальный округ Ленинградской области, утвержденного решением совета депутатов Гатчинского муниципального округа Ленинградской области от 22.11.2024 № 66),  с одной стороны, и </w:t>
      </w:r>
      <w:r>
        <w:rPr>
          <w:b/>
          <w:sz w:val="24"/>
          <w:szCs w:val="24"/>
          <w:lang w:val="ru-RU" w:eastAsia="ar-SA"/>
        </w:rPr>
        <w:t xml:space="preserve">______________________________, </w:t>
      </w:r>
      <w:r>
        <w:rPr>
          <w:sz w:val="24"/>
          <w:szCs w:val="24"/>
          <w:lang w:val="ru-RU" w:eastAsia="ar-SA"/>
        </w:rPr>
        <w:t xml:space="preserve">именуемое в дальнейшем </w:t>
      </w:r>
      <w:r>
        <w:rPr>
          <w:b/>
          <w:sz w:val="24"/>
          <w:szCs w:val="24"/>
          <w:lang w:val="ru-RU" w:eastAsia="ar-SA"/>
        </w:rPr>
        <w:t xml:space="preserve">«Исполнитель», </w:t>
      </w:r>
      <w:r>
        <w:rPr>
          <w:sz w:val="24"/>
          <w:szCs w:val="24"/>
          <w:lang w:val="ru-RU" w:eastAsia="ar-SA"/>
        </w:rPr>
        <w:t>в лице</w:t>
      </w:r>
      <w:r>
        <w:rPr>
          <w:b/>
          <w:sz w:val="24"/>
          <w:szCs w:val="24"/>
          <w:lang w:val="ru-RU" w:eastAsia="ar-SA"/>
        </w:rPr>
        <w:t xml:space="preserve"> </w:t>
      </w:r>
      <w:r>
        <w:rPr>
          <w:sz w:val="24"/>
          <w:szCs w:val="24"/>
          <w:lang w:val="ru-RU" w:eastAsia="ar-SA"/>
        </w:rPr>
        <w:t>__________________________________</w:t>
      </w:r>
      <w:r>
        <w:rPr>
          <w:b/>
          <w:sz w:val="24"/>
          <w:szCs w:val="24"/>
          <w:lang w:val="ru-RU" w:eastAsia="ar-SA"/>
        </w:rPr>
        <w:t xml:space="preserve">, </w:t>
      </w:r>
      <w:r>
        <w:rPr>
          <w:sz w:val="24"/>
          <w:szCs w:val="24"/>
          <w:lang w:val="ru-RU" w:eastAsia="ar-SA"/>
        </w:rPr>
        <w:t>действующего на основании __________________, с другой стороны, именуемые вместе «Стороны», с соблюдением требований п.4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Федеральный закон № 44 - ФЗ) заключили настоящий  Договор (далее по тексту «Договор») о нижеследующем:</w:t>
      </w:r>
    </w:p>
    <w:p>
      <w:pPr>
        <w:pStyle w:val="Normal"/>
        <w:ind w:firstLine="851"/>
        <w:jc w:val="both"/>
        <w:rPr>
          <w:sz w:val="24"/>
          <w:szCs w:val="24"/>
          <w:lang w:val="ru-RU"/>
        </w:rPr>
      </w:pPr>
      <w:r>
        <w:rPr>
          <w:sz w:val="24"/>
          <w:szCs w:val="24"/>
          <w:lang w:val="ru-RU"/>
        </w:rPr>
      </w:r>
    </w:p>
    <w:p>
      <w:pPr>
        <w:pStyle w:val="Normal"/>
        <w:tabs>
          <w:tab w:val="clear" w:pos="708"/>
          <w:tab w:val="left" w:pos="0" w:leader="none"/>
        </w:tabs>
        <w:jc w:val="center"/>
        <w:rPr>
          <w:sz w:val="24"/>
          <w:szCs w:val="24"/>
        </w:rPr>
      </w:pPr>
      <w:r>
        <w:rPr>
          <w:b/>
          <w:sz w:val="24"/>
          <w:szCs w:val="24"/>
          <w:lang w:val="ru-RU"/>
        </w:rPr>
        <w:t>1. ПРЕДМЕТ ДОГОВОРА</w:t>
      </w:r>
    </w:p>
    <w:p>
      <w:pPr>
        <w:pStyle w:val="Normal"/>
        <w:tabs>
          <w:tab w:val="clear" w:pos="708"/>
          <w:tab w:val="left" w:pos="993" w:leader="none"/>
        </w:tabs>
        <w:jc w:val="both"/>
        <w:rPr>
          <w:sz w:val="24"/>
          <w:szCs w:val="24"/>
        </w:rPr>
      </w:pPr>
      <w:r>
        <w:rPr>
          <w:color w:val="000000"/>
          <w:sz w:val="24"/>
          <w:szCs w:val="24"/>
          <w:lang w:val="ru-RU"/>
        </w:rPr>
        <w:t>1.1. Исполнитель обязуется по заданию Заказчика осуществлять ремонт и техническое обслуживание автомобиля, принадлежащ</w:t>
      </w:r>
      <w:r>
        <w:rPr>
          <w:color w:val="000000"/>
          <w:sz w:val="24"/>
          <w:szCs w:val="24"/>
          <w:lang w:val="ru-RU"/>
        </w:rPr>
        <w:t>его</w:t>
      </w:r>
      <w:r>
        <w:rPr>
          <w:color w:val="000000"/>
          <w:sz w:val="24"/>
          <w:szCs w:val="24"/>
          <w:lang w:val="ru-RU"/>
        </w:rPr>
        <w:t xml:space="preserve"> Заказчику, на условиях, предусмотренных настоящим Договором, а Заказчик обязуется принять и оплатить выполненные работы. </w:t>
      </w:r>
    </w:p>
    <w:p>
      <w:pPr>
        <w:pStyle w:val="Normal"/>
        <w:jc w:val="both"/>
        <w:rPr>
          <w:sz w:val="24"/>
          <w:szCs w:val="24"/>
        </w:rPr>
      </w:pPr>
      <w:r>
        <w:rPr>
          <w:color w:val="000000"/>
          <w:sz w:val="24"/>
          <w:szCs w:val="24"/>
          <w:lang w:val="ru-RU"/>
        </w:rPr>
        <w:t>1.2. Автомобиль с указанием идентификационного и государственного регистрационного номера, принимаемого на обслуживание Исполнителем, содержится в Приложении № 1. Виды, объем, характер работ и другая необходимая информация согласовываются Сторонами и указаны в Приложении №2. Приложение №1, № 2 являются неотъемлемой частью Договора.</w:t>
      </w:r>
    </w:p>
    <w:p>
      <w:pPr>
        <w:pStyle w:val="Normal"/>
        <w:tabs>
          <w:tab w:val="clear" w:pos="708"/>
          <w:tab w:val="left" w:pos="426" w:leader="none"/>
        </w:tabs>
        <w:jc w:val="both"/>
        <w:rPr>
          <w:sz w:val="24"/>
          <w:szCs w:val="24"/>
        </w:rPr>
      </w:pPr>
      <w:r>
        <w:rPr>
          <w:color w:val="000000"/>
          <w:sz w:val="24"/>
          <w:szCs w:val="24"/>
          <w:lang w:val="ru-RU"/>
        </w:rPr>
        <w:t>1.3. Исполнитель, по заданию Заказчика и на основании его письменной Заявки выполняет работы ,связанные с техническим обслуживанием и ремонтом автомобилей.</w:t>
      </w:r>
    </w:p>
    <w:p>
      <w:pPr>
        <w:pStyle w:val="Normal"/>
        <w:tabs>
          <w:tab w:val="clear" w:pos="708"/>
          <w:tab w:val="left" w:pos="1418" w:leader="none"/>
        </w:tabs>
        <w:jc w:val="both"/>
        <w:rPr>
          <w:sz w:val="24"/>
          <w:szCs w:val="24"/>
        </w:rPr>
      </w:pPr>
      <w:r>
        <w:rPr>
          <w:color w:val="000000"/>
          <w:sz w:val="24"/>
          <w:szCs w:val="24"/>
          <w:lang w:val="ru-RU"/>
        </w:rPr>
        <w:t>1.4. В случае возникновения необходимости буксировки (эвакуации) принятого на обслуживание автотранспортного средства, в том числе для буксировки автомобиля в место нахождения Исполнителя для осуществления ремонтных работ, Заказчик имеет право воспользоваться предоставляемыми Исполнителем услугами по буксировке в соответствии условиями настоящего Договора.</w:t>
      </w:r>
    </w:p>
    <w:p>
      <w:pPr>
        <w:pStyle w:val="Normal"/>
        <w:tabs>
          <w:tab w:val="clear" w:pos="708"/>
          <w:tab w:val="left" w:pos="1276" w:leader="none"/>
        </w:tabs>
        <w:ind w:firstLine="851"/>
        <w:jc w:val="both"/>
        <w:rPr>
          <w:color w:val="000000"/>
          <w:sz w:val="24"/>
          <w:szCs w:val="24"/>
          <w:lang w:val="ru-RU"/>
        </w:rPr>
      </w:pPr>
      <w:r>
        <w:rPr>
          <w:color w:val="000000"/>
          <w:sz w:val="24"/>
          <w:szCs w:val="24"/>
          <w:lang w:val="ru-RU"/>
        </w:rPr>
      </w:r>
    </w:p>
    <w:p>
      <w:pPr>
        <w:pStyle w:val="Normal"/>
        <w:jc w:val="center"/>
        <w:rPr>
          <w:sz w:val="24"/>
          <w:szCs w:val="24"/>
        </w:rPr>
      </w:pPr>
      <w:r>
        <w:rPr>
          <w:b/>
          <w:color w:val="000000"/>
          <w:sz w:val="24"/>
          <w:szCs w:val="24"/>
          <w:lang w:val="ru-RU"/>
        </w:rPr>
        <w:t>2. ОБЯЗАННОСТИ СТОРОН</w:t>
      </w:r>
    </w:p>
    <w:p>
      <w:pPr>
        <w:pStyle w:val="Normal"/>
        <w:rPr>
          <w:sz w:val="24"/>
          <w:szCs w:val="24"/>
        </w:rPr>
      </w:pPr>
      <w:r>
        <w:rPr>
          <w:color w:val="000000"/>
          <w:sz w:val="24"/>
          <w:szCs w:val="24"/>
          <w:lang w:val="ru-RU"/>
        </w:rPr>
        <w:t>2.1. Исполнитель обязан:</w:t>
      </w:r>
    </w:p>
    <w:p>
      <w:pPr>
        <w:pStyle w:val="Normal"/>
        <w:tabs>
          <w:tab w:val="clear" w:pos="708"/>
          <w:tab w:val="left" w:pos="1418" w:leader="none"/>
          <w:tab w:val="left" w:pos="1985" w:leader="none"/>
        </w:tabs>
        <w:jc w:val="both"/>
        <w:rPr>
          <w:sz w:val="24"/>
          <w:szCs w:val="24"/>
        </w:rPr>
      </w:pPr>
      <w:r>
        <w:rPr>
          <w:bCs/>
          <w:color w:val="000000"/>
          <w:sz w:val="24"/>
          <w:szCs w:val="24"/>
          <w:lang w:val="ru-RU"/>
        </w:rPr>
        <w:t xml:space="preserve">2.1.1 принять транспортные средства Заказчика для осуществления ремонта и технического обслуживания;  </w:t>
      </w:r>
    </w:p>
    <w:p>
      <w:pPr>
        <w:pStyle w:val="BodyText2"/>
        <w:tabs>
          <w:tab w:val="clear" w:pos="708"/>
          <w:tab w:val="left" w:pos="1418" w:leader="none"/>
        </w:tabs>
        <w:spacing w:before="0" w:after="0"/>
        <w:rPr>
          <w:sz w:val="24"/>
          <w:szCs w:val="24"/>
        </w:rPr>
      </w:pPr>
      <w:r>
        <w:rPr>
          <w:bCs/>
          <w:color w:val="000000"/>
          <w:sz w:val="24"/>
          <w:szCs w:val="24"/>
        </w:rPr>
        <w:t>2.1.2. производить техническое обслуживание и ремонт автомобилей Заказчика в объеме, указанном в Заказ-наряде и в Приложении №2 Договора и в согласованные с Заказчиком сроки;</w:t>
      </w:r>
    </w:p>
    <w:p>
      <w:pPr>
        <w:pStyle w:val="BodyText2"/>
        <w:tabs>
          <w:tab w:val="clear" w:pos="708"/>
          <w:tab w:val="left" w:pos="1418" w:leader="none"/>
        </w:tabs>
        <w:spacing w:before="0" w:after="0"/>
        <w:rPr>
          <w:sz w:val="24"/>
          <w:szCs w:val="24"/>
        </w:rPr>
      </w:pPr>
      <w:r>
        <w:rPr>
          <w:bCs/>
          <w:color w:val="000000"/>
          <w:sz w:val="24"/>
          <w:szCs w:val="24"/>
        </w:rPr>
        <w:t>2.1.3. обеспечить сохранность автомобилей и комплектующих во время ремонта;</w:t>
      </w:r>
    </w:p>
    <w:p>
      <w:pPr>
        <w:pStyle w:val="BodyText2"/>
        <w:tabs>
          <w:tab w:val="clear" w:pos="708"/>
          <w:tab w:val="left" w:pos="1418" w:leader="none"/>
        </w:tabs>
        <w:spacing w:before="0" w:after="0"/>
        <w:rPr>
          <w:sz w:val="24"/>
          <w:szCs w:val="24"/>
        </w:rPr>
      </w:pPr>
      <w:r>
        <w:rPr>
          <w:bCs/>
          <w:color w:val="000000"/>
          <w:sz w:val="24"/>
          <w:szCs w:val="24"/>
        </w:rPr>
        <w:t>2.1.4. по письменным Заявкам Заказчика, в случае необходимости, производить ремонт автомобилей на производственных мощностях Заказчика путем выезда к ним (если это в возможностях Исполнителя);</w:t>
      </w:r>
    </w:p>
    <w:p>
      <w:pPr>
        <w:pStyle w:val="BodyText2"/>
        <w:tabs>
          <w:tab w:val="clear" w:pos="708"/>
          <w:tab w:val="left" w:pos="1418" w:leader="none"/>
        </w:tabs>
        <w:spacing w:before="0" w:after="0"/>
        <w:rPr>
          <w:sz w:val="24"/>
          <w:szCs w:val="24"/>
        </w:rPr>
      </w:pPr>
      <w:r>
        <w:rPr>
          <w:bCs/>
          <w:color w:val="000000"/>
          <w:sz w:val="24"/>
          <w:szCs w:val="24"/>
        </w:rPr>
        <w:t>2.1.5. осуществлять по предварительным письменным Заявкам Заказчика поставки запасных частей, эксплуатационных жидкостей и материалов, в соответствии с п. 3.11. настоящего Договора (если это в возможностях Исполнителя);</w:t>
      </w:r>
    </w:p>
    <w:p>
      <w:pPr>
        <w:pStyle w:val="BodyText2"/>
        <w:tabs>
          <w:tab w:val="clear" w:pos="708"/>
          <w:tab w:val="left" w:pos="1418" w:leader="none"/>
        </w:tabs>
        <w:spacing w:before="20" w:after="0"/>
        <w:rPr>
          <w:sz w:val="24"/>
          <w:szCs w:val="24"/>
        </w:rPr>
      </w:pPr>
      <w:r>
        <w:rPr>
          <w:bCs/>
          <w:color w:val="000000"/>
          <w:sz w:val="24"/>
          <w:szCs w:val="24"/>
        </w:rPr>
        <w:t>2.1.6. передавать Заказчику автотранспортные средства по выполнении работ, согласно настоящему Договору;</w:t>
      </w:r>
    </w:p>
    <w:p>
      <w:pPr>
        <w:pStyle w:val="Normal"/>
        <w:tabs>
          <w:tab w:val="clear" w:pos="708"/>
          <w:tab w:val="left" w:pos="709" w:leader="none"/>
          <w:tab w:val="left" w:pos="1134" w:leader="none"/>
          <w:tab w:val="left" w:pos="1418" w:leader="none"/>
        </w:tabs>
        <w:jc w:val="both"/>
        <w:rPr>
          <w:sz w:val="24"/>
          <w:szCs w:val="24"/>
        </w:rPr>
      </w:pPr>
      <w:r>
        <w:rPr>
          <w:color w:val="000000"/>
          <w:sz w:val="24"/>
          <w:szCs w:val="24"/>
          <w:lang w:val="ru-RU"/>
        </w:rPr>
        <w:t xml:space="preserve">2.2. </w:t>
      </w:r>
      <w:r>
        <w:rPr>
          <w:bCs/>
          <w:color w:val="000000"/>
          <w:sz w:val="24"/>
          <w:szCs w:val="24"/>
          <w:lang w:val="ru-RU"/>
        </w:rPr>
        <w:t>Заказчик обязан:</w:t>
      </w:r>
    </w:p>
    <w:p>
      <w:pPr>
        <w:pStyle w:val="Normal"/>
        <w:tabs>
          <w:tab w:val="clear" w:pos="708"/>
          <w:tab w:val="left" w:pos="1418" w:leader="none"/>
        </w:tabs>
        <w:jc w:val="both"/>
        <w:rPr>
          <w:sz w:val="24"/>
          <w:szCs w:val="24"/>
        </w:rPr>
      </w:pPr>
      <w:r>
        <w:rPr>
          <w:bCs/>
          <w:color w:val="000000"/>
          <w:sz w:val="24"/>
          <w:szCs w:val="24"/>
          <w:lang w:val="ru-RU"/>
        </w:rPr>
        <w:t>2.2.1. предоставить принадлежащие ему автотранспортные средства в распоряжение Исполнителя для проведения ремонта и/или технического обслуживания в сроки, указанные Исполнителем;</w:t>
      </w:r>
    </w:p>
    <w:p>
      <w:pPr>
        <w:pStyle w:val="Normal"/>
        <w:tabs>
          <w:tab w:val="clear" w:pos="708"/>
          <w:tab w:val="left" w:pos="1418" w:leader="none"/>
        </w:tabs>
        <w:jc w:val="both"/>
        <w:rPr>
          <w:sz w:val="24"/>
          <w:szCs w:val="24"/>
        </w:rPr>
      </w:pPr>
      <w:r>
        <w:rPr>
          <w:bCs/>
          <w:color w:val="000000"/>
          <w:sz w:val="24"/>
          <w:szCs w:val="24"/>
          <w:lang w:val="ru-RU"/>
        </w:rPr>
        <w:t>2.2.2. при оформлении Заявки указать все неисправности, которые должен устранить Исполнитель;</w:t>
      </w:r>
    </w:p>
    <w:p>
      <w:pPr>
        <w:pStyle w:val="Normal"/>
        <w:tabs>
          <w:tab w:val="clear" w:pos="708"/>
          <w:tab w:val="left" w:pos="1418" w:leader="none"/>
        </w:tabs>
        <w:jc w:val="both"/>
        <w:rPr>
          <w:sz w:val="24"/>
          <w:szCs w:val="24"/>
        </w:rPr>
      </w:pPr>
      <w:r>
        <w:rPr>
          <w:bCs/>
          <w:color w:val="000000"/>
          <w:sz w:val="24"/>
          <w:szCs w:val="24"/>
          <w:lang w:val="ru-RU"/>
        </w:rPr>
        <w:t>2.2.3. надлежащим образом принять и оплатить все выполненные Исполнителем работы (услуги), а также стоимость запасных частей и материалов в рамках настоящего Договора;</w:t>
      </w:r>
    </w:p>
    <w:p>
      <w:pPr>
        <w:pStyle w:val="Normal"/>
        <w:ind w:firstLine="851"/>
        <w:jc w:val="center"/>
        <w:rPr>
          <w:b/>
          <w:i/>
          <w:iCs/>
          <w:color w:val="000000"/>
          <w:sz w:val="24"/>
          <w:szCs w:val="24"/>
          <w:lang w:val="ru-RU"/>
        </w:rPr>
      </w:pPr>
      <w:r>
        <w:rPr>
          <w:b/>
          <w:i/>
          <w:iCs/>
          <w:color w:val="000000"/>
          <w:sz w:val="24"/>
          <w:szCs w:val="24"/>
          <w:lang w:val="ru-RU"/>
        </w:rPr>
      </w:r>
    </w:p>
    <w:p>
      <w:pPr>
        <w:pStyle w:val="ListParagraph"/>
        <w:ind w:start="0"/>
        <w:jc w:val="center"/>
        <w:rPr>
          <w:sz w:val="24"/>
          <w:szCs w:val="24"/>
        </w:rPr>
      </w:pPr>
      <w:r>
        <w:rPr>
          <w:b/>
          <w:color w:val="000000"/>
          <w:sz w:val="24"/>
          <w:szCs w:val="24"/>
          <w:lang w:val="ru-RU"/>
        </w:rPr>
        <w:t>3. ПОРЯДОК ВЫПОЛНЕНИЯ РАБОТ</w:t>
      </w:r>
    </w:p>
    <w:p>
      <w:pPr>
        <w:pStyle w:val="Normal"/>
        <w:tabs>
          <w:tab w:val="clear" w:pos="708"/>
          <w:tab w:val="left" w:pos="1418" w:leader="none"/>
        </w:tabs>
        <w:jc w:val="both"/>
        <w:rPr>
          <w:sz w:val="24"/>
          <w:szCs w:val="24"/>
        </w:rPr>
      </w:pPr>
      <w:r>
        <w:rPr>
          <w:bCs/>
          <w:color w:val="000000"/>
          <w:sz w:val="24"/>
          <w:szCs w:val="24"/>
          <w:lang w:val="ru-RU"/>
        </w:rPr>
        <w:t xml:space="preserve">3.1. Срок выполнения работ по техническому обслуживанию и ремонту автомобилей с даты подписания договора </w:t>
      </w:r>
      <w:r>
        <w:rPr>
          <w:b/>
          <w:bCs/>
          <w:color w:val="000000"/>
          <w:sz w:val="24"/>
          <w:szCs w:val="24"/>
          <w:lang w:val="ru-RU"/>
        </w:rPr>
        <w:t>до 30 октября 2026 года включительно</w:t>
      </w:r>
      <w:r>
        <w:rPr>
          <w:bCs/>
          <w:color w:val="000000"/>
          <w:sz w:val="24"/>
          <w:szCs w:val="24"/>
          <w:lang w:val="ru-RU"/>
        </w:rPr>
        <w:t>.</w:t>
      </w:r>
    </w:p>
    <w:p>
      <w:pPr>
        <w:pStyle w:val="BodyText2"/>
        <w:tabs>
          <w:tab w:val="clear" w:pos="708"/>
          <w:tab w:val="left" w:pos="1418" w:leader="none"/>
        </w:tabs>
        <w:spacing w:before="0" w:after="0"/>
        <w:rPr>
          <w:sz w:val="24"/>
          <w:szCs w:val="24"/>
        </w:rPr>
      </w:pPr>
      <w:r>
        <w:rPr>
          <w:bCs/>
          <w:color w:val="000000"/>
          <w:sz w:val="24"/>
          <w:szCs w:val="24"/>
        </w:rPr>
        <w:t>3.2. Заказчик составляет Заявку на выполнение работ по ремонту и/или техническому обслуживанию автомобилей и передает ее Исполнителю посредством факсимильной связи или через представителей, или в устной форме.</w:t>
      </w:r>
    </w:p>
    <w:p>
      <w:pPr>
        <w:pStyle w:val="BodyText2"/>
        <w:tabs>
          <w:tab w:val="clear" w:pos="708"/>
          <w:tab w:val="left" w:pos="1418" w:leader="none"/>
        </w:tabs>
        <w:spacing w:before="0" w:after="0"/>
        <w:rPr>
          <w:sz w:val="24"/>
          <w:szCs w:val="24"/>
        </w:rPr>
      </w:pPr>
      <w:r>
        <w:rPr>
          <w:bCs/>
          <w:color w:val="000000"/>
          <w:sz w:val="24"/>
          <w:szCs w:val="24"/>
        </w:rPr>
        <w:t>3.3. Заказчик по предварительной записи имеет право на первоочередное обслуживание в рамках настоящего Договора.</w:t>
      </w:r>
    </w:p>
    <w:p>
      <w:pPr>
        <w:pStyle w:val="BodyText2"/>
        <w:tabs>
          <w:tab w:val="clear" w:pos="708"/>
          <w:tab w:val="left" w:pos="1418" w:leader="none"/>
        </w:tabs>
        <w:spacing w:before="0" w:after="0"/>
        <w:rPr>
          <w:sz w:val="24"/>
          <w:szCs w:val="24"/>
        </w:rPr>
      </w:pPr>
      <w:r>
        <w:rPr>
          <w:bCs/>
          <w:color w:val="000000"/>
          <w:sz w:val="24"/>
          <w:szCs w:val="24"/>
        </w:rPr>
        <w:t>3.4. Исполнитель, согласно Заявке, информирует Заказчика о возможности осуществления необходимых работ, и времени проведения данных работ, а также Исполнитель определяет срок, в который Заказчик должен предоставить принадлежащие ему автотранспортные средства в распоряжение Исполнителя для проведения ремонта и/или технического обслуживания. Доставка транспортных средств осуществляется за счет Заказчика.</w:t>
      </w:r>
    </w:p>
    <w:p>
      <w:pPr>
        <w:pStyle w:val="BodyText2"/>
        <w:tabs>
          <w:tab w:val="clear" w:pos="708"/>
          <w:tab w:val="left" w:pos="1418" w:leader="none"/>
        </w:tabs>
        <w:spacing w:before="0" w:after="0"/>
        <w:rPr>
          <w:sz w:val="24"/>
          <w:szCs w:val="24"/>
        </w:rPr>
      </w:pPr>
      <w:r>
        <w:rPr>
          <w:bCs/>
          <w:color w:val="000000"/>
          <w:sz w:val="24"/>
          <w:szCs w:val="24"/>
        </w:rPr>
        <w:t>3.5. В случае оставления автотранспортного средства на территории Исполнителя, составляется и подписывается уполномоченными представителями Сторон Акт приемки-сдачи автотранспортного средства, в котором указываются комплектность автомобиля, видимые наружные повреждения или дефекты и т.д. После подписания представителем Заказчика указанного Акта Исполнитель вправе не принимать претензии Заказчика в отношении комплектности автомобиля, наружных повреждений или дефектов.</w:t>
      </w:r>
    </w:p>
    <w:p>
      <w:pPr>
        <w:pStyle w:val="BodyText2"/>
        <w:tabs>
          <w:tab w:val="clear" w:pos="708"/>
          <w:tab w:val="left" w:pos="1418" w:leader="none"/>
        </w:tabs>
        <w:spacing w:before="0" w:after="0"/>
        <w:rPr>
          <w:sz w:val="24"/>
          <w:szCs w:val="24"/>
        </w:rPr>
      </w:pPr>
      <w:r>
        <w:rPr>
          <w:bCs/>
          <w:color w:val="000000"/>
          <w:sz w:val="24"/>
          <w:szCs w:val="24"/>
        </w:rPr>
        <w:t>3.6. После передачи Исполнителю транспортного средства для проведения ремонта и/или технического обслуживания Исполнитель открывает Заказ-Наряд на выполнение работ, согласованных в Заявке.</w:t>
      </w:r>
    </w:p>
    <w:p>
      <w:pPr>
        <w:pStyle w:val="BodyText2"/>
        <w:tabs>
          <w:tab w:val="clear" w:pos="708"/>
          <w:tab w:val="left" w:pos="1418" w:leader="none"/>
        </w:tabs>
        <w:spacing w:before="0" w:after="0"/>
        <w:rPr>
          <w:sz w:val="24"/>
          <w:szCs w:val="24"/>
        </w:rPr>
      </w:pPr>
      <w:r>
        <w:rPr>
          <w:bCs/>
          <w:color w:val="000000"/>
          <w:sz w:val="24"/>
          <w:szCs w:val="24"/>
        </w:rPr>
        <w:t xml:space="preserve">3.7. Исполнитель выполняет работы по ремонту и/или техническому обслуживанию автомобилей в соответствии и в сроки, установленные эксплуатационными и ремонтными нормами и рекомендациями завода-изготовителя на выполнение всех видов работ с учетом сложности выполняемых работ и наличия на складе Исполнителя необходимых запасных частей и материалов. В случае отсутствия на складе необходимых запасных частей Исполнитель по письменной заявке Заказчика заказывает и приобретает их отдельно после внесения Заказчиком предоплаты за заказанные запасные части в порядке, предусмотренном п. 3.11. настоящего Договора. </w:t>
      </w:r>
    </w:p>
    <w:p>
      <w:pPr>
        <w:pStyle w:val="BodyText2"/>
        <w:tabs>
          <w:tab w:val="clear" w:pos="708"/>
          <w:tab w:val="left" w:pos="1418" w:leader="none"/>
        </w:tabs>
        <w:spacing w:before="0" w:after="0"/>
        <w:rPr>
          <w:sz w:val="24"/>
          <w:szCs w:val="24"/>
        </w:rPr>
      </w:pPr>
      <w:r>
        <w:rPr>
          <w:color w:val="000000"/>
          <w:sz w:val="24"/>
          <w:szCs w:val="24"/>
        </w:rPr>
        <w:t xml:space="preserve">3.8. Факт выполнения работ удостоверяется Актом выполненных работ, подписанным уполномоченными представителями обеих Сторон. </w:t>
      </w:r>
    </w:p>
    <w:p>
      <w:pPr>
        <w:pStyle w:val="BodyText2"/>
        <w:tabs>
          <w:tab w:val="clear" w:pos="708"/>
          <w:tab w:val="left" w:pos="1418" w:leader="none"/>
        </w:tabs>
        <w:spacing w:before="0" w:after="0"/>
        <w:rPr>
          <w:sz w:val="24"/>
          <w:szCs w:val="24"/>
        </w:rPr>
      </w:pPr>
      <w:r>
        <w:rPr>
          <w:bCs/>
          <w:color w:val="000000"/>
          <w:sz w:val="24"/>
          <w:szCs w:val="24"/>
        </w:rPr>
        <w:t>3.9. После окончания ремонта и/или технического обслуживания Исполнитель при необходимости указывает рекомендации Заказчику о необходимости дальнейшего ремонта, сроках очередного прохождения ТО и замены запасных частей, узлов и деталей. Заказчик самостоятельно решает вопросы о необходимости дальнейшего ремонта и прохождения ТО и подписывает согласие или отказ от работ. В случае отказа от работ по рекомендациям Исполнителя, Заказчик принимает на себя ответственность за нормальную эксплуатацию и безопасность автотранспортного средства, а Исполнитель не принимает претензий по причиненному в результате ущербу. Данное положение не распространяется на случаи, когда неисправность автотранспортного средства Заказчика возникла вследствие не надлежаще выполненных Исполнителем своих обязанностей по Договору.</w:t>
      </w:r>
    </w:p>
    <w:p>
      <w:pPr>
        <w:pStyle w:val="BodyText2"/>
        <w:tabs>
          <w:tab w:val="clear" w:pos="708"/>
          <w:tab w:val="left" w:pos="1418" w:leader="none"/>
        </w:tabs>
        <w:spacing w:before="0" w:after="0"/>
        <w:rPr>
          <w:sz w:val="24"/>
          <w:szCs w:val="24"/>
        </w:rPr>
      </w:pPr>
      <w:r>
        <w:rPr>
          <w:color w:val="000000"/>
          <w:sz w:val="24"/>
          <w:szCs w:val="24"/>
        </w:rPr>
        <w:t>3.10. В случае отказа от оказания сервисных услуг Заказчик обязуется забрать принадлежащие ему автотранспортные средства в течение 2 (Двух) дней с момента получения уведомления (в том числе в устной форме, форме телефонограммы и т.п.) от Исполнителя. Исполнитель имеет право отказаться от использования сервисных товаров, ненадлежащего качества, предоставленных Заказчиком.</w:t>
      </w:r>
    </w:p>
    <w:p>
      <w:pPr>
        <w:pStyle w:val="BodyText2"/>
        <w:tabs>
          <w:tab w:val="clear" w:pos="708"/>
          <w:tab w:val="left" w:pos="1418" w:leader="none"/>
        </w:tabs>
        <w:spacing w:before="0" w:after="0"/>
        <w:ind w:firstLine="851"/>
        <w:rPr>
          <w:bCs/>
          <w:color w:val="000000"/>
          <w:sz w:val="24"/>
          <w:szCs w:val="24"/>
        </w:rPr>
      </w:pPr>
      <w:r>
        <w:rPr>
          <w:bCs/>
          <w:color w:val="000000"/>
          <w:sz w:val="24"/>
          <w:szCs w:val="24"/>
        </w:rPr>
      </w:r>
    </w:p>
    <w:p>
      <w:pPr>
        <w:pStyle w:val="Normal"/>
        <w:jc w:val="center"/>
        <w:rPr>
          <w:sz w:val="24"/>
          <w:szCs w:val="24"/>
        </w:rPr>
      </w:pPr>
      <w:r>
        <w:rPr>
          <w:b/>
          <w:bCs/>
          <w:color w:val="000000"/>
          <w:sz w:val="24"/>
          <w:szCs w:val="24"/>
          <w:lang w:val="ru-RU"/>
        </w:rPr>
        <w:t>4</w:t>
      </w:r>
      <w:r>
        <w:rPr>
          <w:b/>
          <w:color w:val="000000"/>
          <w:sz w:val="24"/>
          <w:szCs w:val="24"/>
          <w:lang w:val="ru-RU"/>
        </w:rPr>
        <w:t>. УСЛОВИЯ И ПОРЯДОК РАСЧЕТОВ</w:t>
      </w:r>
    </w:p>
    <w:p>
      <w:pPr>
        <w:pStyle w:val="Normal"/>
        <w:widowControl w:val="false"/>
        <w:jc w:val="both"/>
        <w:rPr>
          <w:sz w:val="24"/>
          <w:szCs w:val="24"/>
        </w:rPr>
      </w:pPr>
      <w:r>
        <w:rPr>
          <w:color w:val="000000"/>
          <w:sz w:val="24"/>
          <w:szCs w:val="24"/>
          <w:lang w:val="ru-RU"/>
        </w:rPr>
        <w:t xml:space="preserve">4.1. Общая стоимость работ по настоящему договору составляет </w:t>
      </w:r>
      <w:r>
        <w:rPr>
          <w:b/>
          <w:bCs/>
          <w:color w:val="000000"/>
          <w:sz w:val="24"/>
          <w:szCs w:val="24"/>
          <w:lang w:val="ru-RU"/>
        </w:rPr>
        <w:t>13 455,00 (Тринадцать тысяч четыреста пятьдесят пять) рублей 00 копеек</w:t>
      </w:r>
      <w:r>
        <w:rPr>
          <w:sz w:val="24"/>
          <w:szCs w:val="24"/>
          <w:lang w:val="ru-RU"/>
        </w:rPr>
        <w:t xml:space="preserve">, включая НДС __% (цифрами и прописью, в случае если Исполнитель имеет право на освобождение от уплаты НДС, то слова «включая НДС» заменяются на слова «НДС не облагается»), которая должна быть выплачена Исполнителю за надлежащее выполнение своих обязательств по настоящему Контракту </w:t>
      </w:r>
      <w:r>
        <w:rPr>
          <w:color w:val="000000"/>
          <w:sz w:val="24"/>
          <w:szCs w:val="24"/>
          <w:lang w:val="ru-RU"/>
        </w:rPr>
        <w:t xml:space="preserve">в соответствии с расчетом стоимости по ремонту и техническому обслуживанию автомобиля Сяськелевского территориального управления Тойота </w:t>
      </w:r>
      <w:r>
        <w:rPr>
          <w:color w:val="000000"/>
          <w:sz w:val="24"/>
          <w:szCs w:val="24"/>
        </w:rPr>
        <w:t>RAV</w:t>
      </w:r>
      <w:r>
        <w:rPr>
          <w:color w:val="000000"/>
          <w:sz w:val="24"/>
          <w:szCs w:val="24"/>
          <w:lang w:val="ru-RU"/>
        </w:rPr>
        <w:t>4 (гос. рег. № В590СА47) (Приложение №2).</w:t>
      </w:r>
    </w:p>
    <w:p>
      <w:pPr>
        <w:pStyle w:val="Normal"/>
        <w:tabs>
          <w:tab w:val="clear" w:pos="708"/>
          <w:tab w:val="left" w:pos="792" w:leader="none"/>
          <w:tab w:val="left" w:pos="1418" w:leader="none"/>
        </w:tabs>
        <w:jc w:val="both"/>
        <w:rPr>
          <w:sz w:val="24"/>
          <w:szCs w:val="24"/>
        </w:rPr>
      </w:pPr>
      <w:r>
        <w:rPr>
          <w:color w:val="000000"/>
          <w:sz w:val="24"/>
          <w:szCs w:val="24"/>
          <w:lang w:val="ru-RU"/>
        </w:rPr>
        <w:t>4.2 Цена Договора является твердой и определяется на весь срок исполнения договора.</w:t>
      </w:r>
    </w:p>
    <w:p>
      <w:pPr>
        <w:pStyle w:val="Normal"/>
        <w:tabs>
          <w:tab w:val="clear" w:pos="708"/>
          <w:tab w:val="left" w:pos="792" w:leader="none"/>
          <w:tab w:val="left" w:pos="1418" w:leader="none"/>
        </w:tabs>
        <w:jc w:val="both"/>
        <w:rPr>
          <w:sz w:val="24"/>
          <w:szCs w:val="24"/>
        </w:rPr>
      </w:pPr>
      <w:r>
        <w:rPr>
          <w:color w:val="000000"/>
          <w:sz w:val="24"/>
          <w:szCs w:val="24"/>
          <w:lang w:val="ru-RU"/>
        </w:rPr>
        <w:t>4.3. Оплата по настоящему Договору производится следующим образом:</w:t>
      </w:r>
    </w:p>
    <w:p>
      <w:pPr>
        <w:pStyle w:val="Normal"/>
        <w:tabs>
          <w:tab w:val="clear" w:pos="708"/>
          <w:tab w:val="left" w:pos="792" w:leader="none"/>
          <w:tab w:val="left" w:pos="1418" w:leader="none"/>
        </w:tabs>
        <w:jc w:val="both"/>
        <w:rPr>
          <w:sz w:val="24"/>
          <w:szCs w:val="24"/>
        </w:rPr>
      </w:pPr>
      <w:r>
        <w:rPr>
          <w:color w:val="000000"/>
          <w:sz w:val="24"/>
          <w:szCs w:val="24"/>
          <w:lang w:val="ru-RU"/>
        </w:rPr>
        <w:t>- в течение 10 (Десяти) рабочих дней после подписания сторонами акта выполненных работ.</w:t>
      </w:r>
    </w:p>
    <w:p>
      <w:pPr>
        <w:pStyle w:val="Normal"/>
        <w:tabs>
          <w:tab w:val="clear" w:pos="708"/>
          <w:tab w:val="left" w:pos="792" w:leader="none"/>
          <w:tab w:val="left" w:pos="1418" w:leader="none"/>
        </w:tabs>
        <w:jc w:val="both"/>
        <w:rPr>
          <w:sz w:val="24"/>
          <w:szCs w:val="24"/>
        </w:rPr>
      </w:pPr>
      <w:r>
        <w:rPr>
          <w:color w:val="000000"/>
          <w:sz w:val="24"/>
          <w:szCs w:val="24"/>
          <w:lang w:val="ru-RU"/>
        </w:rPr>
        <w:t xml:space="preserve">4.4. Датой оплаты счета Заказчиком является дата списания денежных средств  с расчетного счета в банке Заказчика. </w:t>
      </w:r>
    </w:p>
    <w:p>
      <w:pPr>
        <w:pStyle w:val="Normal"/>
        <w:tabs>
          <w:tab w:val="clear" w:pos="708"/>
          <w:tab w:val="left" w:pos="792" w:leader="none"/>
          <w:tab w:val="left" w:pos="1418" w:leader="none"/>
        </w:tabs>
        <w:jc w:val="both"/>
        <w:rPr>
          <w:color w:val="000000"/>
          <w:sz w:val="24"/>
          <w:szCs w:val="24"/>
          <w:lang w:val="ru-RU"/>
        </w:rPr>
      </w:pPr>
      <w:r>
        <w:rPr>
          <w:color w:val="000000"/>
          <w:sz w:val="24"/>
          <w:szCs w:val="24"/>
          <w:lang w:val="ru-RU"/>
        </w:rPr>
        <w:t>4.5. При заключении и исполнении Договора изменений его условий не допускается, за исключением случаев, предусмотренных статьей 95 Федерального закона от 05.04.2013г.  № 44-ФЗ.</w:t>
      </w:r>
    </w:p>
    <w:p>
      <w:pPr>
        <w:pStyle w:val="Normal"/>
        <w:tabs>
          <w:tab w:val="clear" w:pos="708"/>
          <w:tab w:val="left" w:pos="792" w:leader="none"/>
          <w:tab w:val="left" w:pos="1418" w:leader="none"/>
        </w:tabs>
        <w:jc w:val="both"/>
        <w:rPr>
          <w:color w:val="000000"/>
          <w:sz w:val="24"/>
          <w:szCs w:val="24"/>
          <w:lang w:val="ru-RU"/>
        </w:rPr>
      </w:pPr>
      <w:r>
        <w:rPr>
          <w:color w:val="000000"/>
          <w:sz w:val="24"/>
          <w:szCs w:val="24"/>
          <w:lang w:val="ru-RU"/>
        </w:rPr>
        <w:t>4.6. Авансирование не предусмотрено.</w:t>
      </w:r>
    </w:p>
    <w:p>
      <w:pPr>
        <w:pStyle w:val="Normal"/>
        <w:tabs>
          <w:tab w:val="clear" w:pos="708"/>
          <w:tab w:val="left" w:pos="792" w:leader="none"/>
          <w:tab w:val="left" w:pos="1418" w:leader="none"/>
        </w:tabs>
        <w:jc w:val="both"/>
        <w:rPr>
          <w:color w:val="000000"/>
          <w:sz w:val="24"/>
          <w:szCs w:val="24"/>
          <w:lang w:val="ru-RU"/>
        </w:rPr>
      </w:pPr>
      <w:r>
        <w:rPr>
          <w:color w:val="000000"/>
          <w:sz w:val="24"/>
          <w:szCs w:val="24"/>
          <w:lang w:val="ru-RU"/>
        </w:rPr>
        <w:t>4.7. Источник финансирования: бюджет Гатчинского муниципального округа Ленинградской области на 2026 год.</w:t>
      </w:r>
    </w:p>
    <w:p>
      <w:pPr>
        <w:pStyle w:val="Normal"/>
        <w:tabs>
          <w:tab w:val="clear" w:pos="708"/>
          <w:tab w:val="left" w:pos="792" w:leader="none"/>
          <w:tab w:val="left" w:pos="1418" w:leader="none"/>
        </w:tabs>
        <w:jc w:val="both"/>
        <w:rPr>
          <w:color w:val="000000"/>
          <w:sz w:val="24"/>
          <w:szCs w:val="24"/>
          <w:lang w:val="ru-RU"/>
        </w:rPr>
      </w:pPr>
      <w:r>
        <w:rPr>
          <w:color w:val="000000"/>
          <w:sz w:val="24"/>
          <w:szCs w:val="24"/>
          <w:lang w:val="ru-RU"/>
        </w:rPr>
      </w:r>
    </w:p>
    <w:p>
      <w:pPr>
        <w:pStyle w:val="Normal"/>
        <w:tabs>
          <w:tab w:val="clear" w:pos="708"/>
          <w:tab w:val="left" w:pos="792" w:leader="none"/>
          <w:tab w:val="left" w:pos="1418" w:leader="none"/>
        </w:tabs>
        <w:jc w:val="center"/>
        <w:rPr>
          <w:sz w:val="24"/>
          <w:szCs w:val="24"/>
        </w:rPr>
      </w:pPr>
      <w:r>
        <w:rPr>
          <w:b/>
          <w:color w:val="000000"/>
          <w:sz w:val="24"/>
          <w:szCs w:val="24"/>
          <w:lang w:val="ru-RU"/>
        </w:rPr>
        <w:t>5. ГАРАНТИЯ КАЧЕСТВА</w:t>
      </w:r>
    </w:p>
    <w:p>
      <w:pPr>
        <w:pStyle w:val="Normal"/>
        <w:tabs>
          <w:tab w:val="clear" w:pos="708"/>
          <w:tab w:val="left" w:pos="0" w:leader="none"/>
          <w:tab w:val="left" w:pos="1276" w:leader="none"/>
        </w:tabs>
        <w:jc w:val="both"/>
        <w:rPr>
          <w:sz w:val="24"/>
          <w:szCs w:val="24"/>
        </w:rPr>
      </w:pPr>
      <w:r>
        <w:rPr>
          <w:color w:val="000000"/>
          <w:sz w:val="24"/>
          <w:szCs w:val="24"/>
          <w:lang w:val="ru-RU"/>
        </w:rPr>
        <w:t>5.1. Гарантия на установленные узлы, комплектующие и детали,  предоставляется сроком на 6 (шесть) месяцев только в случае, когда используются узлы, детали и комплектующие Исполнителя, а гарантия на выполненные работы сроком на 6 (шесть) месяцев с момента подписания Акта выполненных работ Заказчиком при условии соблюдения Заказчиком Инструкции по эксплуатации автомобиля.</w:t>
      </w:r>
    </w:p>
    <w:p>
      <w:pPr>
        <w:pStyle w:val="Normal"/>
        <w:tabs>
          <w:tab w:val="clear" w:pos="708"/>
          <w:tab w:val="left" w:pos="0" w:leader="none"/>
          <w:tab w:val="left" w:pos="1418" w:leader="none"/>
        </w:tabs>
        <w:jc w:val="both"/>
        <w:rPr>
          <w:sz w:val="24"/>
          <w:szCs w:val="24"/>
        </w:rPr>
      </w:pPr>
      <w:r>
        <w:rPr>
          <w:color w:val="000000"/>
          <w:sz w:val="24"/>
          <w:szCs w:val="24"/>
          <w:lang w:val="ru-RU"/>
        </w:rPr>
        <w:t>5.2. Исполнитель не несет ответственность за:</w:t>
      </w:r>
    </w:p>
    <w:p>
      <w:pPr>
        <w:pStyle w:val="Normal"/>
        <w:jc w:val="both"/>
        <w:rPr>
          <w:sz w:val="24"/>
          <w:szCs w:val="24"/>
        </w:rPr>
      </w:pPr>
      <w:r>
        <w:rPr>
          <w:color w:val="000000"/>
          <w:sz w:val="24"/>
          <w:szCs w:val="24"/>
          <w:lang w:val="ru-RU"/>
        </w:rPr>
        <w:t>5.2.1. естественный износ отдельных элементов, в том числе быстро изнашивающихся;</w:t>
      </w:r>
    </w:p>
    <w:p>
      <w:pPr>
        <w:pStyle w:val="Normal"/>
        <w:tabs>
          <w:tab w:val="clear" w:pos="708"/>
          <w:tab w:val="left" w:pos="1418" w:leader="none"/>
        </w:tabs>
        <w:jc w:val="both"/>
        <w:rPr>
          <w:sz w:val="24"/>
          <w:szCs w:val="24"/>
        </w:rPr>
      </w:pPr>
      <w:r>
        <w:rPr>
          <w:color w:val="000000"/>
          <w:sz w:val="24"/>
          <w:szCs w:val="24"/>
          <w:lang w:val="ru-RU"/>
        </w:rPr>
        <w:t>5.2.2. повреждения, возникшие вследствие неквалифицированного использования поставленного оборудования;</w:t>
      </w:r>
    </w:p>
    <w:p>
      <w:pPr>
        <w:pStyle w:val="Normal"/>
        <w:tabs>
          <w:tab w:val="clear" w:pos="708"/>
          <w:tab w:val="left" w:pos="1418" w:leader="none"/>
        </w:tabs>
        <w:jc w:val="both"/>
        <w:rPr>
          <w:sz w:val="24"/>
          <w:szCs w:val="24"/>
        </w:rPr>
      </w:pPr>
      <w:r>
        <w:rPr>
          <w:color w:val="000000"/>
          <w:sz w:val="24"/>
          <w:szCs w:val="24"/>
          <w:lang w:val="ru-RU"/>
        </w:rPr>
        <w:t>5.2.3. повреждения, которые могут возникнуть из-за отсутствия систематического профилактического осмотра.</w:t>
      </w:r>
    </w:p>
    <w:p>
      <w:pPr>
        <w:pStyle w:val="Normal"/>
        <w:tabs>
          <w:tab w:val="clear" w:pos="708"/>
          <w:tab w:val="left" w:pos="0" w:leader="none"/>
          <w:tab w:val="left" w:pos="1418" w:leader="none"/>
        </w:tabs>
        <w:jc w:val="both"/>
        <w:rPr>
          <w:sz w:val="24"/>
          <w:szCs w:val="24"/>
        </w:rPr>
      </w:pPr>
      <w:r>
        <w:rPr>
          <w:color w:val="000000"/>
          <w:sz w:val="24"/>
          <w:szCs w:val="24"/>
          <w:lang w:val="ru-RU"/>
        </w:rPr>
        <w:t>5.3. Гарантия утрачивает силу, если:</w:t>
      </w:r>
    </w:p>
    <w:p>
      <w:pPr>
        <w:pStyle w:val="Normal"/>
        <w:tabs>
          <w:tab w:val="clear" w:pos="708"/>
          <w:tab w:val="left" w:pos="1418" w:leader="none"/>
        </w:tabs>
        <w:jc w:val="both"/>
        <w:rPr>
          <w:sz w:val="24"/>
          <w:szCs w:val="24"/>
        </w:rPr>
      </w:pPr>
      <w:r>
        <w:rPr>
          <w:color w:val="000000"/>
          <w:sz w:val="24"/>
          <w:szCs w:val="24"/>
          <w:lang w:val="ru-RU"/>
        </w:rPr>
        <w:t>5.3.1. были внесены какие–либо изменения в устройство автомобиля без согласия   Исполнителя;</w:t>
      </w:r>
    </w:p>
    <w:p>
      <w:pPr>
        <w:pStyle w:val="Normal"/>
        <w:tabs>
          <w:tab w:val="clear" w:pos="708"/>
          <w:tab w:val="left" w:pos="1418" w:leader="none"/>
        </w:tabs>
        <w:jc w:val="both"/>
        <w:rPr>
          <w:sz w:val="24"/>
          <w:szCs w:val="24"/>
        </w:rPr>
      </w:pPr>
      <w:r>
        <w:rPr>
          <w:color w:val="000000"/>
          <w:sz w:val="24"/>
          <w:szCs w:val="24"/>
          <w:lang w:val="ru-RU"/>
        </w:rPr>
        <w:t>5.3.2. произошла авария из-за непроизводственных повреждений (не по вине Исполнителя);</w:t>
      </w:r>
    </w:p>
    <w:p>
      <w:pPr>
        <w:pStyle w:val="Normal"/>
        <w:tabs>
          <w:tab w:val="clear" w:pos="708"/>
          <w:tab w:val="left" w:pos="1418" w:leader="none"/>
        </w:tabs>
        <w:jc w:val="both"/>
        <w:rPr>
          <w:sz w:val="24"/>
          <w:szCs w:val="24"/>
        </w:rPr>
      </w:pPr>
      <w:r>
        <w:rPr>
          <w:color w:val="000000"/>
          <w:sz w:val="24"/>
          <w:szCs w:val="24"/>
          <w:lang w:val="ru-RU"/>
        </w:rPr>
        <w:t xml:space="preserve">5.3.3. автомобиль стал непригодным для использования по вине третьих лиц, либо в результате действия непреодолимой силы; </w:t>
      </w:r>
    </w:p>
    <w:p>
      <w:pPr>
        <w:pStyle w:val="Normal"/>
        <w:tabs>
          <w:tab w:val="clear" w:pos="708"/>
          <w:tab w:val="left" w:pos="1418" w:leader="none"/>
        </w:tabs>
        <w:jc w:val="both"/>
        <w:rPr>
          <w:sz w:val="24"/>
          <w:szCs w:val="24"/>
        </w:rPr>
      </w:pPr>
      <w:r>
        <w:rPr>
          <w:color w:val="000000"/>
          <w:sz w:val="24"/>
          <w:szCs w:val="24"/>
          <w:lang w:val="ru-RU"/>
        </w:rPr>
        <w:t xml:space="preserve">5.3.4. оригинальные запасные части, установленные Исполнителем в процессе ремонта, были заменены нестандартными запасными частями, либо подвергались разборке или ремонту без участия и уведомления Исполнителя. </w:t>
      </w:r>
    </w:p>
    <w:p>
      <w:pPr>
        <w:pStyle w:val="Normal"/>
        <w:tabs>
          <w:tab w:val="clear" w:pos="708"/>
          <w:tab w:val="left" w:pos="142" w:leader="none"/>
          <w:tab w:val="left" w:pos="1418" w:leader="none"/>
        </w:tabs>
        <w:jc w:val="both"/>
        <w:rPr>
          <w:sz w:val="24"/>
          <w:szCs w:val="24"/>
        </w:rPr>
      </w:pPr>
      <w:r>
        <w:rPr>
          <w:color w:val="000000"/>
          <w:sz w:val="24"/>
          <w:szCs w:val="24"/>
          <w:lang w:val="ru-RU"/>
        </w:rPr>
        <w:t>5.4. В случае установки запасных частей, предоставленных Заказчиком, Исполнитель несет ответственность только за качество выполненных работ.</w:t>
      </w:r>
    </w:p>
    <w:p>
      <w:pPr>
        <w:pStyle w:val="Normal"/>
        <w:rPr>
          <w:b/>
          <w:color w:val="000000"/>
          <w:sz w:val="24"/>
          <w:szCs w:val="24"/>
          <w:lang w:val="ru-RU"/>
        </w:rPr>
      </w:pPr>
      <w:r>
        <w:rPr>
          <w:b/>
          <w:color w:val="000000"/>
          <w:sz w:val="24"/>
          <w:szCs w:val="24"/>
          <w:lang w:val="ru-RU"/>
        </w:rPr>
      </w:r>
    </w:p>
    <w:p>
      <w:pPr>
        <w:pStyle w:val="Normal"/>
        <w:jc w:val="center"/>
        <w:rPr>
          <w:sz w:val="24"/>
          <w:szCs w:val="24"/>
        </w:rPr>
      </w:pPr>
      <w:r>
        <w:rPr>
          <w:b/>
          <w:color w:val="000000"/>
          <w:sz w:val="24"/>
          <w:szCs w:val="24"/>
          <w:lang w:val="ru-RU"/>
        </w:rPr>
        <w:t>6. ОТВЕТСТВЕННОСТЬ СТОРОН</w:t>
      </w:r>
    </w:p>
    <w:p>
      <w:pPr>
        <w:pStyle w:val="Normal"/>
        <w:tabs>
          <w:tab w:val="clear" w:pos="708"/>
          <w:tab w:val="left" w:pos="142" w:leader="none"/>
          <w:tab w:val="left" w:pos="1418" w:leader="none"/>
        </w:tabs>
        <w:jc w:val="both"/>
        <w:rPr>
          <w:sz w:val="24"/>
          <w:szCs w:val="24"/>
        </w:rPr>
      </w:pPr>
      <w:r>
        <w:rPr>
          <w:color w:val="000000"/>
          <w:sz w:val="24"/>
          <w:szCs w:val="24"/>
          <w:lang w:val="ru-RU"/>
        </w:rPr>
        <w:t>6.1. В случае невыполнения или ненадлежащего выполнения обязательств по настоящему Договору Исполнитель и Заказчик несут ответственность в соответствии с действующим законодательством Российской Федерации.</w:t>
      </w:r>
    </w:p>
    <w:p>
      <w:pPr>
        <w:pStyle w:val="Normal"/>
        <w:ind w:firstLine="851"/>
        <w:jc w:val="center"/>
        <w:rPr>
          <w:b/>
          <w:color w:val="000000"/>
          <w:sz w:val="24"/>
          <w:szCs w:val="24"/>
          <w:lang w:val="ru-RU"/>
        </w:rPr>
      </w:pPr>
      <w:r>
        <w:rPr>
          <w:b/>
          <w:color w:val="000000"/>
          <w:sz w:val="24"/>
          <w:szCs w:val="24"/>
          <w:lang w:val="ru-RU"/>
        </w:rPr>
      </w:r>
    </w:p>
    <w:p>
      <w:pPr>
        <w:pStyle w:val="Normal"/>
        <w:jc w:val="center"/>
        <w:rPr>
          <w:sz w:val="24"/>
          <w:szCs w:val="24"/>
        </w:rPr>
      </w:pPr>
      <w:r>
        <w:rPr>
          <w:b/>
          <w:color w:val="000000"/>
          <w:sz w:val="24"/>
          <w:szCs w:val="24"/>
          <w:lang w:val="ru-RU"/>
        </w:rPr>
        <w:t>7. ПОРЯДОК РАССМОТРЕНИЯ СПОРОВ</w:t>
      </w:r>
    </w:p>
    <w:p>
      <w:pPr>
        <w:pStyle w:val="BodyTextIndent"/>
        <w:tabs>
          <w:tab w:val="clear" w:pos="708"/>
          <w:tab w:val="left" w:pos="0" w:leader="none"/>
          <w:tab w:val="left" w:pos="1418" w:leader="none"/>
          <w:tab w:val="left" w:pos="1860" w:leader="none"/>
        </w:tabs>
        <w:ind w:start="0"/>
        <w:rPr>
          <w:sz w:val="24"/>
          <w:szCs w:val="24"/>
        </w:rPr>
      </w:pPr>
      <w:r>
        <w:rPr>
          <w:b w:val="false"/>
          <w:bCs/>
          <w:color w:val="000000"/>
          <w:sz w:val="24"/>
          <w:szCs w:val="24"/>
        </w:rPr>
        <w:t>7.1. Любой спор, возникший из настоящего Договора, подлежит разрешению путем переговоров.</w:t>
      </w:r>
    </w:p>
    <w:p>
      <w:pPr>
        <w:pStyle w:val="BodyTextIndent"/>
        <w:tabs>
          <w:tab w:val="clear" w:pos="708"/>
          <w:tab w:val="left" w:pos="0" w:leader="none"/>
          <w:tab w:val="left" w:pos="1418" w:leader="none"/>
          <w:tab w:val="left" w:pos="1860" w:leader="none"/>
        </w:tabs>
        <w:ind w:start="0"/>
        <w:rPr>
          <w:sz w:val="24"/>
          <w:szCs w:val="24"/>
        </w:rPr>
      </w:pPr>
      <w:r>
        <w:rPr>
          <w:b w:val="false"/>
          <w:color w:val="000000"/>
          <w:sz w:val="24"/>
          <w:szCs w:val="24"/>
        </w:rPr>
        <w:t xml:space="preserve">7.2. Если возникший спор не будет разрешен в порядке, указанном в пункте 7.1. Договора, он подлежит разрешению в Арбитражном суде </w:t>
      </w:r>
      <w:r>
        <w:rPr>
          <w:b w:val="false"/>
          <w:bCs/>
          <w:spacing w:val="-6"/>
          <w:sz w:val="24"/>
          <w:szCs w:val="24"/>
        </w:rPr>
        <w:t>г. Санкт-Петербурга и Ленинградской области</w:t>
      </w:r>
      <w:r>
        <w:rPr>
          <w:b w:val="false"/>
          <w:bCs/>
          <w:color w:val="000000"/>
          <w:sz w:val="24"/>
          <w:szCs w:val="24"/>
        </w:rPr>
        <w:t>.</w:t>
      </w:r>
    </w:p>
    <w:p>
      <w:pPr>
        <w:pStyle w:val="BodyTextIndent"/>
        <w:tabs>
          <w:tab w:val="clear" w:pos="708"/>
          <w:tab w:val="left" w:pos="1418" w:leader="none"/>
          <w:tab w:val="left" w:pos="1860" w:leader="none"/>
        </w:tabs>
        <w:ind w:start="0"/>
        <w:rPr>
          <w:b w:val="false"/>
          <w:color w:val="000000"/>
          <w:sz w:val="24"/>
          <w:szCs w:val="24"/>
        </w:rPr>
      </w:pPr>
      <w:r>
        <w:rPr>
          <w:b w:val="false"/>
          <w:color w:val="000000"/>
          <w:sz w:val="24"/>
          <w:szCs w:val="24"/>
        </w:rPr>
      </w:r>
    </w:p>
    <w:p>
      <w:pPr>
        <w:pStyle w:val="BodyTextIndent"/>
        <w:tabs>
          <w:tab w:val="clear" w:pos="708"/>
          <w:tab w:val="left" w:pos="1260" w:leader="none"/>
        </w:tabs>
        <w:ind w:start="0"/>
        <w:jc w:val="center"/>
        <w:rPr>
          <w:sz w:val="24"/>
          <w:szCs w:val="24"/>
        </w:rPr>
      </w:pPr>
      <w:r>
        <w:rPr>
          <w:color w:val="000000"/>
          <w:sz w:val="24"/>
          <w:szCs w:val="24"/>
        </w:rPr>
        <w:t>8. ОСНОВАНИЯ ОСВОБОЖДЕНИЯ ОТ ОТВЕТСТВЕННОСТИ</w:t>
      </w:r>
    </w:p>
    <w:p>
      <w:pPr>
        <w:pStyle w:val="BodyTextIndent"/>
        <w:tabs>
          <w:tab w:val="clear" w:pos="708"/>
          <w:tab w:val="left" w:pos="1260" w:leader="none"/>
        </w:tabs>
        <w:ind w:start="0"/>
        <w:rPr>
          <w:sz w:val="24"/>
          <w:szCs w:val="24"/>
        </w:rPr>
      </w:pPr>
      <w:r>
        <w:rPr>
          <w:b w:val="false"/>
          <w:bCs/>
          <w:color w:val="000000"/>
          <w:sz w:val="24"/>
          <w:szCs w:val="24"/>
        </w:rPr>
        <w:t>8.1. Сторона, не исполнившая или ненадлежащим образом исполнившая обязательства по настоящему Договору, освобождается от ответственности, если докажет, что надлежащее исполнение оказалось невозможным вследствие возникновения обстоятельств непреодолимой силы (форс-мажор).</w:t>
      </w:r>
    </w:p>
    <w:p>
      <w:pPr>
        <w:pStyle w:val="BodyTextIndent"/>
        <w:tabs>
          <w:tab w:val="clear" w:pos="708"/>
          <w:tab w:val="left" w:pos="1260" w:leader="none"/>
        </w:tabs>
        <w:ind w:start="0"/>
        <w:rPr>
          <w:sz w:val="24"/>
          <w:szCs w:val="24"/>
        </w:rPr>
      </w:pPr>
      <w:r>
        <w:rPr>
          <w:b w:val="false"/>
          <w:bCs/>
          <w:color w:val="000000"/>
          <w:sz w:val="24"/>
          <w:szCs w:val="24"/>
        </w:rPr>
        <w:t>8.2. Стороны считают непреодолимой силой внешние чрезвычайные обстоятельства, не существовавшие во время подписания настоящего Договора, возникшие помимо их воли, наступлению которых они не могли воспрепятствовать с помощью мер и средств, применение которых в конкретной ситуации справедливо требовать от Стороны, подвергшейся действию непреодолимой силы.</w:t>
      </w:r>
    </w:p>
    <w:p>
      <w:pPr>
        <w:pStyle w:val="BodyTextIndent"/>
        <w:tabs>
          <w:tab w:val="clear" w:pos="708"/>
          <w:tab w:val="left" w:pos="1260" w:leader="none"/>
        </w:tabs>
        <w:ind w:start="0"/>
        <w:rPr>
          <w:sz w:val="24"/>
          <w:szCs w:val="24"/>
        </w:rPr>
      </w:pPr>
      <w:r>
        <w:rPr>
          <w:b w:val="false"/>
          <w:bCs/>
          <w:color w:val="000000"/>
          <w:sz w:val="24"/>
          <w:szCs w:val="24"/>
        </w:rPr>
        <w:t>8.3. Надлежащим доказательством наличия вышеуказанных обстоятельств и их продолжительности будут являться документы государственных органов.</w:t>
      </w:r>
    </w:p>
    <w:p>
      <w:pPr>
        <w:pStyle w:val="BodyTextIndent"/>
        <w:tabs>
          <w:tab w:val="clear" w:pos="708"/>
          <w:tab w:val="left" w:pos="1260" w:leader="none"/>
        </w:tabs>
        <w:ind w:start="0"/>
        <w:rPr>
          <w:sz w:val="24"/>
          <w:szCs w:val="24"/>
        </w:rPr>
      </w:pPr>
      <w:r>
        <w:rPr>
          <w:b w:val="false"/>
          <w:bCs/>
          <w:color w:val="000000"/>
          <w:sz w:val="24"/>
          <w:szCs w:val="24"/>
        </w:rPr>
        <w:t>8.4. К форс-мажорным обстоятельствам не относятся, в частности, нарушение обязанностей со стороны контрагентов Стороны или отсутствие у Стороны необходимых денежных средств.</w:t>
      </w:r>
    </w:p>
    <w:p>
      <w:pPr>
        <w:pStyle w:val="BodyTextIndent"/>
        <w:tabs>
          <w:tab w:val="clear" w:pos="708"/>
          <w:tab w:val="left" w:pos="1260" w:leader="none"/>
        </w:tabs>
        <w:ind w:start="0"/>
        <w:rPr>
          <w:sz w:val="24"/>
          <w:szCs w:val="24"/>
        </w:rPr>
      </w:pPr>
      <w:r>
        <w:rPr>
          <w:b w:val="false"/>
          <w:bCs/>
          <w:color w:val="000000"/>
          <w:sz w:val="24"/>
          <w:szCs w:val="24"/>
        </w:rPr>
        <w:t>8.5. Сторона, для которой создалась невозможность исполнения обязательств по настоящему Договору, обязана в срок не позднее 14 (четырнадцати) календарных дней с момента наступления форс-мажорных обстоятельств уведомить другую Сторону об их наступлении в письменной форме.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w:t>
      </w:r>
    </w:p>
    <w:p>
      <w:pPr>
        <w:pStyle w:val="BodyTextIndent"/>
        <w:tabs>
          <w:tab w:val="clear" w:pos="708"/>
          <w:tab w:val="left" w:pos="1260" w:leader="none"/>
        </w:tabs>
        <w:ind w:start="0"/>
        <w:rPr>
          <w:sz w:val="24"/>
          <w:szCs w:val="24"/>
        </w:rPr>
      </w:pPr>
      <w:r>
        <w:rPr>
          <w:b w:val="false"/>
          <w:bCs/>
          <w:color w:val="000000"/>
          <w:sz w:val="24"/>
          <w:szCs w:val="24"/>
        </w:rPr>
        <w:t>8.6. При прекращении форс-мажорных обстоятельств Сторона обязана без промедления уведомить другую Сторону об их прекращении в письменной форме. В извещении указывается срок, в который предполагается исполнить обязательства по настоящему Договору.</w:t>
      </w:r>
    </w:p>
    <w:p>
      <w:pPr>
        <w:pStyle w:val="BodyTextIndent"/>
        <w:tabs>
          <w:tab w:val="clear" w:pos="708"/>
          <w:tab w:val="left" w:pos="1260" w:leader="none"/>
        </w:tabs>
        <w:ind w:start="0"/>
        <w:rPr>
          <w:sz w:val="24"/>
          <w:szCs w:val="24"/>
        </w:rPr>
      </w:pPr>
      <w:r>
        <w:rPr>
          <w:b w:val="false"/>
          <w:bCs/>
          <w:color w:val="000000"/>
          <w:sz w:val="24"/>
          <w:szCs w:val="24"/>
        </w:rPr>
        <w:t>8.7.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pPr>
        <w:pStyle w:val="BodyTextIndent"/>
        <w:tabs>
          <w:tab w:val="clear" w:pos="708"/>
          <w:tab w:val="left" w:pos="1260" w:leader="none"/>
        </w:tabs>
        <w:ind w:start="0"/>
        <w:rPr>
          <w:sz w:val="24"/>
          <w:szCs w:val="24"/>
        </w:rPr>
      </w:pPr>
      <w:r>
        <w:rPr>
          <w:b w:val="false"/>
          <w:bCs/>
          <w:color w:val="000000"/>
          <w:sz w:val="24"/>
          <w:szCs w:val="24"/>
        </w:rPr>
        <w:t>8.8. С момента наступления форс-мажорных обстоятельств, сроки обязательств по настоящему Договору соразмерно отодвигаются на время действия таких обстоятельств и их последствий.</w:t>
      </w:r>
    </w:p>
    <w:p>
      <w:pPr>
        <w:pStyle w:val="BodyTextIndent"/>
        <w:tabs>
          <w:tab w:val="clear" w:pos="708"/>
          <w:tab w:val="left" w:pos="1260" w:leader="none"/>
        </w:tabs>
        <w:ind w:start="0"/>
        <w:rPr>
          <w:sz w:val="24"/>
          <w:szCs w:val="24"/>
        </w:rPr>
      </w:pPr>
      <w:r>
        <w:rPr>
          <w:b w:val="false"/>
          <w:bCs/>
          <w:color w:val="000000"/>
          <w:sz w:val="24"/>
          <w:szCs w:val="24"/>
        </w:rPr>
        <w:t>8.9. Во время действия форс-мажорных обстоятельств, Стороны могут встретиться, чтобы обсудить какие меры им следует предпринять для ликвидации последствий неисполнения обязательств по настоящему Договору, а также решить вопрос о принципиальной возможности продолжения настоящего Договора, либо его прекращении.</w:t>
      </w:r>
    </w:p>
    <w:p>
      <w:pPr>
        <w:pStyle w:val="BodyTextIndent"/>
        <w:tabs>
          <w:tab w:val="clear" w:pos="708"/>
          <w:tab w:val="left" w:pos="1260" w:leader="none"/>
        </w:tabs>
        <w:ind w:start="0"/>
        <w:rPr>
          <w:sz w:val="24"/>
          <w:szCs w:val="24"/>
        </w:rPr>
      </w:pPr>
      <w:r>
        <w:rPr>
          <w:b w:val="false"/>
          <w:bCs/>
          <w:color w:val="000000"/>
          <w:sz w:val="24"/>
          <w:szCs w:val="24"/>
        </w:rPr>
        <w:t>8.10. Если указанные обстоятельства продолжаются более 2 (двух) месяцев, каждая Сторона имеет право на расторжение Договора. В этом случае Стороны производят расчеты по настоящему Договору. Расчеты производятся по состоянию на момент возникновения указанных в п. 8.1 обстоятельств.</w:t>
      </w:r>
    </w:p>
    <w:p>
      <w:pPr>
        <w:pStyle w:val="BodyTextIndent"/>
        <w:tabs>
          <w:tab w:val="clear" w:pos="708"/>
          <w:tab w:val="left" w:pos="1260" w:leader="none"/>
        </w:tabs>
        <w:ind w:start="0"/>
        <w:rPr>
          <w:b w:val="false"/>
          <w:bCs/>
          <w:color w:val="000000"/>
          <w:sz w:val="24"/>
          <w:szCs w:val="24"/>
        </w:rPr>
      </w:pPr>
      <w:r>
        <w:rPr>
          <w:b w:val="false"/>
          <w:bCs/>
          <w:color w:val="000000"/>
          <w:sz w:val="24"/>
          <w:szCs w:val="24"/>
        </w:rPr>
      </w:r>
    </w:p>
    <w:p>
      <w:pPr>
        <w:pStyle w:val="BodyTextIndent"/>
        <w:ind w:start="0"/>
        <w:jc w:val="center"/>
        <w:rPr>
          <w:sz w:val="24"/>
          <w:szCs w:val="24"/>
        </w:rPr>
      </w:pPr>
      <w:r>
        <w:rPr>
          <w:color w:val="000000"/>
          <w:sz w:val="24"/>
          <w:szCs w:val="24"/>
        </w:rPr>
        <w:t>9. СООБЩЕНИЯ И УВЕДОМЛЕНИЯ</w:t>
      </w:r>
    </w:p>
    <w:p>
      <w:pPr>
        <w:pStyle w:val="BodyTextIndent"/>
        <w:tabs>
          <w:tab w:val="clear" w:pos="708"/>
          <w:tab w:val="left" w:pos="1418" w:leader="none"/>
          <w:tab w:val="left" w:pos="1860" w:leader="none"/>
          <w:tab w:val="left" w:pos="1920" w:leader="none"/>
        </w:tabs>
        <w:ind w:start="0"/>
        <w:rPr>
          <w:sz w:val="24"/>
          <w:szCs w:val="24"/>
        </w:rPr>
      </w:pPr>
      <w:r>
        <w:rPr>
          <w:b w:val="false"/>
          <w:bCs/>
          <w:color w:val="000000"/>
          <w:sz w:val="24"/>
          <w:szCs w:val="24"/>
        </w:rPr>
        <w:t>9.1. Стороны обязаны в двухдневный срок письменно информировать друг друга об изменении своего места нахождения, юридического адреса,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w:t>
      </w:r>
    </w:p>
    <w:p>
      <w:pPr>
        <w:pStyle w:val="BodyTextIndent"/>
        <w:tabs>
          <w:tab w:val="clear" w:pos="708"/>
          <w:tab w:val="left" w:pos="1418" w:leader="none"/>
          <w:tab w:val="left" w:pos="1920" w:leader="none"/>
        </w:tabs>
        <w:ind w:start="0"/>
        <w:rPr>
          <w:sz w:val="24"/>
          <w:szCs w:val="24"/>
        </w:rPr>
      </w:pPr>
      <w:r>
        <w:rPr>
          <w:b w:val="false"/>
          <w:bCs/>
          <w:color w:val="000000"/>
          <w:sz w:val="24"/>
          <w:szCs w:val="24"/>
        </w:rPr>
        <w:t>9.2. Стороны будут направлять уведомления друг другу по согласованным адресам, телефонам и факсимильным номерам, а также посредством электронной почты.</w:t>
      </w:r>
    </w:p>
    <w:p>
      <w:pPr>
        <w:pStyle w:val="Normal"/>
        <w:ind w:firstLine="851"/>
        <w:jc w:val="center"/>
        <w:rPr>
          <w:b/>
          <w:color w:val="000000"/>
          <w:sz w:val="24"/>
          <w:szCs w:val="24"/>
          <w:lang w:val="ru-RU"/>
        </w:rPr>
      </w:pPr>
      <w:r>
        <w:rPr>
          <w:b/>
          <w:color w:val="000000"/>
          <w:sz w:val="24"/>
          <w:szCs w:val="24"/>
          <w:lang w:val="ru-RU"/>
        </w:rPr>
      </w:r>
    </w:p>
    <w:p>
      <w:pPr>
        <w:pStyle w:val="Normal"/>
        <w:jc w:val="center"/>
        <w:rPr>
          <w:sz w:val="24"/>
          <w:szCs w:val="24"/>
        </w:rPr>
      </w:pPr>
      <w:r>
        <w:rPr>
          <w:b/>
          <w:color w:val="000000"/>
          <w:sz w:val="24"/>
          <w:szCs w:val="24"/>
          <w:lang w:val="ru-RU"/>
        </w:rPr>
        <w:t>10. СРОК ДЕЙСТВИЯ ДОГОВОРА</w:t>
      </w:r>
    </w:p>
    <w:p>
      <w:pPr>
        <w:pStyle w:val="Normal"/>
        <w:tabs>
          <w:tab w:val="clear" w:pos="708"/>
          <w:tab w:val="left" w:pos="142" w:leader="none"/>
          <w:tab w:val="left" w:pos="1276" w:leader="none"/>
          <w:tab w:val="left" w:pos="1418" w:leader="none"/>
          <w:tab w:val="left" w:pos="1560" w:leader="none"/>
        </w:tabs>
        <w:jc w:val="both"/>
        <w:rPr>
          <w:sz w:val="24"/>
          <w:szCs w:val="24"/>
        </w:rPr>
      </w:pPr>
      <w:r>
        <w:rPr>
          <w:color w:val="000000"/>
          <w:sz w:val="24"/>
          <w:szCs w:val="24"/>
          <w:lang w:val="ru-RU"/>
        </w:rPr>
        <w:t xml:space="preserve">10.1. Настоящий Договор заключен сроком до «31» декабря 2026 года и вступает в силу с момента его подписания обеими Сторонами. </w:t>
      </w:r>
    </w:p>
    <w:p>
      <w:pPr>
        <w:pStyle w:val="BodyText"/>
        <w:tabs>
          <w:tab w:val="clear" w:pos="708"/>
          <w:tab w:val="left" w:pos="709" w:leader="none"/>
        </w:tabs>
        <w:jc w:val="both"/>
        <w:rPr>
          <w:sz w:val="24"/>
          <w:szCs w:val="24"/>
        </w:rPr>
      </w:pPr>
      <w:r>
        <w:rPr>
          <w:color w:val="000000"/>
          <w:sz w:val="24"/>
          <w:szCs w:val="24"/>
        </w:rPr>
        <w:t>10.2.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pPr>
        <w:pStyle w:val="BodyText"/>
        <w:tabs>
          <w:tab w:val="clear" w:pos="708"/>
          <w:tab w:val="left" w:pos="709" w:leader="none"/>
          <w:tab w:val="left" w:pos="851" w:leader="none"/>
        </w:tabs>
        <w:ind w:start="710"/>
        <w:jc w:val="both"/>
        <w:rPr>
          <w:color w:val="000000"/>
          <w:sz w:val="24"/>
          <w:szCs w:val="24"/>
        </w:rPr>
      </w:pPr>
      <w:r>
        <w:rPr>
          <w:color w:val="000000"/>
          <w:sz w:val="24"/>
          <w:szCs w:val="24"/>
        </w:rPr>
      </w:r>
    </w:p>
    <w:p>
      <w:pPr>
        <w:pStyle w:val="BodyTextIndent"/>
        <w:tabs>
          <w:tab w:val="clear" w:pos="708"/>
          <w:tab w:val="left" w:pos="720" w:leader="none"/>
        </w:tabs>
        <w:ind w:start="0"/>
        <w:jc w:val="center"/>
        <w:rPr>
          <w:sz w:val="24"/>
          <w:szCs w:val="24"/>
        </w:rPr>
      </w:pPr>
      <w:r>
        <w:rPr>
          <w:color w:val="000000"/>
          <w:sz w:val="24"/>
          <w:szCs w:val="24"/>
        </w:rPr>
        <w:t>11. КОНФИДЕНЦИАЛЬНОСТЬ</w:t>
      </w:r>
    </w:p>
    <w:p>
      <w:pPr>
        <w:pStyle w:val="BodyTextIndent"/>
        <w:tabs>
          <w:tab w:val="clear" w:pos="708"/>
          <w:tab w:val="left" w:pos="720" w:leader="none"/>
          <w:tab w:val="left" w:pos="1260" w:leader="none"/>
          <w:tab w:val="left" w:pos="1860" w:leader="none"/>
        </w:tabs>
        <w:ind w:start="0"/>
        <w:rPr>
          <w:sz w:val="24"/>
          <w:szCs w:val="24"/>
        </w:rPr>
      </w:pPr>
      <w:r>
        <w:rPr>
          <w:b w:val="false"/>
          <w:bCs/>
          <w:color w:val="000000"/>
          <w:sz w:val="24"/>
          <w:szCs w:val="24"/>
        </w:rPr>
        <w:t>11.1. Все условия настоящего Договора, а также финансовая и коммерческая информация, связанная с настоящим Договором, являются конфиденциальными и не подлежат разглашению Сторонами.</w:t>
      </w:r>
    </w:p>
    <w:p>
      <w:pPr>
        <w:pStyle w:val="BodyTextIndent"/>
        <w:tabs>
          <w:tab w:val="clear" w:pos="708"/>
          <w:tab w:val="left" w:pos="720" w:leader="none"/>
          <w:tab w:val="left" w:pos="1260" w:leader="none"/>
          <w:tab w:val="left" w:pos="1860" w:leader="none"/>
        </w:tabs>
        <w:ind w:start="0"/>
        <w:rPr>
          <w:sz w:val="24"/>
          <w:szCs w:val="24"/>
        </w:rPr>
      </w:pPr>
      <w:r>
        <w:rPr>
          <w:b w:val="false"/>
          <w:bCs/>
          <w:color w:val="000000"/>
          <w:sz w:val="24"/>
          <w:szCs w:val="24"/>
        </w:rPr>
        <w:t>11.2. Стороны примут все разумные и зависящие от них меры для предотвращения разглашения такой информации третьим лицам.</w:t>
      </w:r>
    </w:p>
    <w:p>
      <w:pPr>
        <w:pStyle w:val="BodyTextIndent"/>
        <w:tabs>
          <w:tab w:val="clear" w:pos="708"/>
          <w:tab w:val="left" w:pos="720" w:leader="none"/>
          <w:tab w:val="left" w:pos="1260" w:leader="none"/>
          <w:tab w:val="left" w:pos="1860" w:leader="none"/>
        </w:tabs>
        <w:ind w:start="0"/>
        <w:rPr>
          <w:sz w:val="24"/>
          <w:szCs w:val="24"/>
        </w:rPr>
      </w:pPr>
      <w:r>
        <w:rPr>
          <w:b w:val="false"/>
          <w:bCs/>
          <w:color w:val="000000"/>
          <w:sz w:val="24"/>
          <w:szCs w:val="24"/>
        </w:rPr>
        <w:t>11.3. Разглашение финансовой и коммерческой информации, связанной с настоящим Договором, может иметь место лишь в случаях, установленных законодательством Российской Федерации.</w:t>
      </w:r>
    </w:p>
    <w:p>
      <w:pPr>
        <w:pStyle w:val="Normal"/>
        <w:jc w:val="center"/>
        <w:rPr>
          <w:b/>
          <w:color w:val="000000"/>
          <w:sz w:val="24"/>
          <w:szCs w:val="24"/>
          <w:lang w:val="ru-RU"/>
        </w:rPr>
      </w:pPr>
      <w:r>
        <w:rPr>
          <w:b/>
          <w:color w:val="000000"/>
          <w:sz w:val="24"/>
          <w:szCs w:val="24"/>
          <w:lang w:val="ru-RU"/>
        </w:rPr>
      </w:r>
    </w:p>
    <w:p>
      <w:pPr>
        <w:pStyle w:val="ListParagraph"/>
        <w:ind w:start="0"/>
        <w:jc w:val="center"/>
        <w:rPr>
          <w:sz w:val="24"/>
          <w:szCs w:val="24"/>
        </w:rPr>
      </w:pPr>
      <w:r>
        <w:rPr>
          <w:b/>
          <w:color w:val="000000"/>
          <w:sz w:val="24"/>
          <w:szCs w:val="24"/>
          <w:lang w:val="ru-RU"/>
        </w:rPr>
        <w:t>12. ПРОЧИЕ УСЛОВИЯ</w:t>
      </w:r>
    </w:p>
    <w:p>
      <w:pPr>
        <w:pStyle w:val="BodyTextIndent"/>
        <w:tabs>
          <w:tab w:val="clear" w:pos="708"/>
          <w:tab w:val="left" w:pos="142" w:leader="none"/>
          <w:tab w:val="left" w:pos="900" w:leader="none"/>
          <w:tab w:val="left" w:pos="1418" w:leader="none"/>
        </w:tabs>
        <w:ind w:start="0"/>
        <w:rPr>
          <w:sz w:val="24"/>
          <w:szCs w:val="24"/>
        </w:rPr>
      </w:pPr>
      <w:r>
        <w:rPr>
          <w:b w:val="false"/>
          <w:bCs/>
          <w:color w:val="000000"/>
          <w:sz w:val="24"/>
          <w:szCs w:val="24"/>
        </w:rPr>
        <w:t>12.1. Изменения и дополнения к настоящему Договору могут быть внесены только с согласия обеих Сторон. Такие изменения и дополнения будут действительны лишь при условии, если они оформлены в виде Дополнительных соглашений, подписаны уполномоченными представителями Сторон и приобщены к Договору в качестве его неотъемлемой части.</w:t>
      </w:r>
    </w:p>
    <w:p>
      <w:pPr>
        <w:pStyle w:val="Normal"/>
        <w:tabs>
          <w:tab w:val="clear" w:pos="708"/>
          <w:tab w:val="left" w:pos="142" w:leader="none"/>
          <w:tab w:val="left" w:pos="1418" w:leader="none"/>
        </w:tabs>
        <w:jc w:val="both"/>
        <w:rPr>
          <w:sz w:val="24"/>
          <w:szCs w:val="24"/>
        </w:rPr>
      </w:pPr>
      <w:r>
        <w:rPr>
          <w:bCs/>
          <w:color w:val="000000"/>
          <w:sz w:val="24"/>
          <w:szCs w:val="24"/>
          <w:lang w:val="ru-RU"/>
        </w:rPr>
        <w:t>12.2. Во всем остальном, что не указано в настоящем Договоре, Стороны будут руководствоваться действующим законодательством Российской Федерации.</w:t>
      </w:r>
    </w:p>
    <w:p>
      <w:pPr>
        <w:pStyle w:val="BodyTextIndent"/>
        <w:tabs>
          <w:tab w:val="clear" w:pos="708"/>
          <w:tab w:val="left" w:pos="900" w:leader="none"/>
          <w:tab w:val="left" w:pos="1276" w:leader="none"/>
          <w:tab w:val="left" w:pos="1418" w:leader="none"/>
          <w:tab w:val="left" w:pos="1635" w:leader="none"/>
        </w:tabs>
        <w:ind w:start="0"/>
        <w:rPr>
          <w:sz w:val="24"/>
          <w:szCs w:val="24"/>
        </w:rPr>
      </w:pPr>
      <w:r>
        <w:rPr>
          <w:b w:val="false"/>
          <w:bCs/>
          <w:color w:val="000000"/>
          <w:sz w:val="24"/>
          <w:szCs w:val="24"/>
        </w:rPr>
        <w:t>12.3. Со дня подписания настоящего Договора обеими Сторонами все предыдущие переговоры в устной или письменной форме и переписка, относящаяся к настоящему Договору, утрачивают силу.</w:t>
      </w:r>
    </w:p>
    <w:p>
      <w:pPr>
        <w:pStyle w:val="BodyText"/>
        <w:tabs>
          <w:tab w:val="clear" w:pos="708"/>
          <w:tab w:val="left" w:pos="1276" w:leader="none"/>
          <w:tab w:val="left" w:pos="1418" w:leader="none"/>
          <w:tab w:val="left" w:pos="1635" w:leader="none"/>
        </w:tabs>
        <w:jc w:val="both"/>
        <w:rPr>
          <w:sz w:val="24"/>
          <w:szCs w:val="24"/>
        </w:rPr>
      </w:pPr>
      <w:r>
        <w:rPr>
          <w:bCs/>
          <w:color w:val="000000"/>
          <w:sz w:val="24"/>
          <w:szCs w:val="24"/>
        </w:rPr>
        <w:t xml:space="preserve">12.4. Настоящий Договор составлен в 2 (двух) экземплярах, имеющих одинаковую юридическую силу, по одному подлинному экземпляру для каждой Сторон. </w:t>
      </w:r>
    </w:p>
    <w:p>
      <w:pPr>
        <w:pStyle w:val="Normal"/>
        <w:tabs>
          <w:tab w:val="clear" w:pos="708"/>
          <w:tab w:val="left" w:pos="1418" w:leader="none"/>
        </w:tabs>
        <w:jc w:val="both"/>
        <w:rPr>
          <w:sz w:val="24"/>
          <w:szCs w:val="24"/>
        </w:rPr>
      </w:pPr>
      <w:r>
        <w:rPr>
          <w:bCs/>
          <w:color w:val="000000"/>
          <w:sz w:val="24"/>
          <w:szCs w:val="24"/>
          <w:lang w:val="ru-RU"/>
        </w:rPr>
        <w:t xml:space="preserve">12.5. К настоящему Договору прилагаются и являются неотъемлемой его частью: </w:t>
      </w:r>
    </w:p>
    <w:p>
      <w:pPr>
        <w:pStyle w:val="Normal"/>
        <w:numPr>
          <w:ilvl w:val="0"/>
          <w:numId w:val="1"/>
        </w:numPr>
        <w:tabs>
          <w:tab w:val="clear" w:pos="708"/>
          <w:tab w:val="left" w:pos="1418" w:leader="none"/>
        </w:tabs>
        <w:ind w:hanging="0" w:start="0"/>
        <w:jc w:val="both"/>
        <w:rPr>
          <w:sz w:val="24"/>
          <w:szCs w:val="24"/>
        </w:rPr>
      </w:pPr>
      <w:r>
        <w:rPr>
          <w:bCs/>
          <w:color w:val="000000"/>
          <w:sz w:val="24"/>
          <w:szCs w:val="24"/>
          <w:lang w:val="ru-RU"/>
        </w:rPr>
        <w:t>Автомобиль, принимаемый на обслуживание - (Приложение № 1)</w:t>
      </w:r>
    </w:p>
    <w:p>
      <w:pPr>
        <w:pStyle w:val="Normal"/>
        <w:numPr>
          <w:ilvl w:val="0"/>
          <w:numId w:val="1"/>
        </w:numPr>
        <w:tabs>
          <w:tab w:val="clear" w:pos="708"/>
          <w:tab w:val="left" w:pos="1418" w:leader="none"/>
        </w:tabs>
        <w:ind w:hanging="0" w:start="0"/>
        <w:jc w:val="both"/>
        <w:rPr>
          <w:sz w:val="24"/>
          <w:szCs w:val="24"/>
        </w:rPr>
      </w:pPr>
      <w:r>
        <w:rPr>
          <w:bCs/>
          <w:color w:val="000000"/>
          <w:sz w:val="24"/>
          <w:szCs w:val="24"/>
          <w:lang w:val="ru-RU"/>
        </w:rPr>
        <w:t>Расчет стоимости по ремонту и техническому обслуживанию автомобиля - (Приложение № 2).</w:t>
      </w:r>
    </w:p>
    <w:p>
      <w:pPr>
        <w:pStyle w:val="Normal"/>
        <w:tabs>
          <w:tab w:val="clear" w:pos="708"/>
          <w:tab w:val="left" w:pos="1418" w:leader="none"/>
        </w:tabs>
        <w:jc w:val="both"/>
        <w:rPr>
          <w:bCs/>
          <w:color w:val="000000"/>
          <w:sz w:val="24"/>
          <w:szCs w:val="24"/>
          <w:lang w:val="ru-RU"/>
        </w:rPr>
      </w:pPr>
      <w:r>
        <w:rPr>
          <w:bCs/>
          <w:color w:val="000000"/>
          <w:sz w:val="24"/>
          <w:szCs w:val="24"/>
          <w:lang w:val="ru-RU"/>
        </w:rPr>
      </w:r>
    </w:p>
    <w:p>
      <w:pPr>
        <w:pStyle w:val="BodyTextIndent"/>
        <w:tabs>
          <w:tab w:val="clear" w:pos="708"/>
          <w:tab w:val="left" w:pos="709" w:leader="none"/>
        </w:tabs>
        <w:ind w:start="0"/>
        <w:jc w:val="center"/>
        <w:rPr>
          <w:sz w:val="24"/>
          <w:szCs w:val="24"/>
        </w:rPr>
      </w:pPr>
      <w:r>
        <w:rPr>
          <w:color w:val="000000"/>
          <w:sz w:val="24"/>
          <w:szCs w:val="24"/>
        </w:rPr>
        <w:t>13. АДРЕСА И РЕКВИЗИТЫ СТОРОН</w:t>
      </w:r>
    </w:p>
    <w:tbl>
      <w:tblPr>
        <w:tblW w:w="9750" w:type="dxa"/>
        <w:jc w:val="start"/>
        <w:tblInd w:w="-113" w:type="dxa"/>
        <w:tblLayout w:type="fixed"/>
        <w:tblCellMar>
          <w:top w:w="0" w:type="dxa"/>
          <w:start w:w="108" w:type="dxa"/>
          <w:bottom w:w="0" w:type="dxa"/>
          <w:end w:w="108" w:type="dxa"/>
        </w:tblCellMar>
      </w:tblPr>
      <w:tblGrid>
        <w:gridCol w:w="4920"/>
        <w:gridCol w:w="4830"/>
      </w:tblGrid>
      <w:tr>
        <w:trPr/>
        <w:tc>
          <w:tcPr>
            <w:tcW w:w="4920" w:type="dxa"/>
            <w:tcBorders>
              <w:top w:val="single" w:sz="4" w:space="0" w:color="000000"/>
              <w:start w:val="single" w:sz="4" w:space="0" w:color="000000"/>
              <w:bottom w:val="single" w:sz="4" w:space="0" w:color="000000"/>
              <w:end w:val="single" w:sz="4" w:space="0" w:color="000000"/>
            </w:tcBorders>
          </w:tcPr>
          <w:p>
            <w:pPr>
              <w:pStyle w:val="Normal"/>
              <w:widowControl w:val="false"/>
              <w:jc w:val="center"/>
              <w:rPr/>
            </w:pPr>
            <w:r>
              <w:rPr>
                <w:rFonts w:cs="Times New Roman" w:ascii="Times New Roman" w:hAnsi="Times New Roman"/>
                <w:b/>
                <w:sz w:val="22"/>
                <w:szCs w:val="22"/>
                <w:lang w:eastAsia="ru-RU"/>
              </w:rPr>
              <w:t>Заказчик:</w:t>
            </w:r>
          </w:p>
        </w:tc>
        <w:tc>
          <w:tcPr>
            <w:tcW w:w="4830" w:type="dxa"/>
            <w:tcBorders>
              <w:top w:val="single" w:sz="4" w:space="0" w:color="000000"/>
              <w:start w:val="single" w:sz="4" w:space="0" w:color="000000"/>
              <w:bottom w:val="single" w:sz="4" w:space="0" w:color="000000"/>
              <w:end w:val="single" w:sz="4" w:space="0" w:color="000000"/>
            </w:tcBorders>
          </w:tcPr>
          <w:p>
            <w:pPr>
              <w:pStyle w:val="Normal"/>
              <w:widowControl w:val="false"/>
              <w:jc w:val="center"/>
              <w:rPr/>
            </w:pPr>
            <w:r>
              <w:rPr>
                <w:rFonts w:cs="Times New Roman" w:ascii="Times New Roman" w:hAnsi="Times New Roman"/>
                <w:b/>
                <w:sz w:val="22"/>
                <w:szCs w:val="22"/>
                <w:shd w:fill="FFFFFF" w:val="clear"/>
                <w:lang w:val="ru-RU" w:eastAsia="ru-RU"/>
              </w:rPr>
              <w:t>Исполнитель</w:t>
            </w:r>
            <w:r>
              <w:rPr>
                <w:rFonts w:cs="Times New Roman" w:ascii="Times New Roman" w:hAnsi="Times New Roman"/>
                <w:sz w:val="22"/>
                <w:szCs w:val="22"/>
                <w:shd w:fill="FFFFFF" w:val="clear"/>
                <w:lang w:eastAsia="ru-RU"/>
              </w:rPr>
              <w:t>:</w:t>
            </w:r>
          </w:p>
        </w:tc>
      </w:tr>
      <w:tr>
        <w:trPr/>
        <w:tc>
          <w:tcPr>
            <w:tcW w:w="492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cs="Times New Roman"/>
                <w:b/>
                <w:bCs/>
                <w:sz w:val="22"/>
                <w:szCs w:val="22"/>
                <w:lang w:val="ru-RU" w:eastAsia="ru-RU"/>
              </w:rPr>
            </w:pPr>
            <w:r>
              <w:rPr>
                <w:rFonts w:cs="Times New Roman" w:ascii="Times New Roman" w:hAnsi="Times New Roman"/>
                <w:b/>
                <w:bCs/>
                <w:sz w:val="22"/>
                <w:szCs w:val="22"/>
                <w:lang w:val="ru-RU" w:eastAsia="ru-RU"/>
              </w:rPr>
              <w:t>Сяськелевское территориальное управление Гатчинского муниципального округа Ленинградской области</w:t>
            </w:r>
          </w:p>
        </w:tc>
        <w:tc>
          <w:tcPr>
            <w:tcW w:w="4830"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ind w:firstLine="22" w:end="0"/>
              <w:rPr>
                <w:rFonts w:ascii="Times New Roman" w:hAnsi="Times New Roman" w:cs="Times New Roman"/>
                <w:b/>
                <w:bCs/>
                <w:sz w:val="22"/>
                <w:szCs w:val="22"/>
              </w:rPr>
            </w:pPr>
            <w:r>
              <w:rPr>
                <w:rFonts w:cs="Times New Roman" w:ascii="Times New Roman" w:hAnsi="Times New Roman"/>
                <w:b/>
                <w:bCs/>
                <w:sz w:val="22"/>
                <w:szCs w:val="22"/>
              </w:rPr>
            </w:r>
          </w:p>
        </w:tc>
      </w:tr>
      <w:tr>
        <w:trPr>
          <w:trHeight w:val="2145" w:hRule="atLeast"/>
        </w:trPr>
        <w:tc>
          <w:tcPr>
            <w:tcW w:w="4920"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188358, Ленинградская обл., Гатчинский</w:t>
            </w:r>
          </w:p>
          <w:p>
            <w:pPr>
              <w:pStyle w:val="Normal"/>
              <w:widowControl w:val="false"/>
              <w:rPr>
                <w:rFonts w:ascii="Times New Roman" w:hAnsi="Times New Roman" w:cs="Times New Roman"/>
                <w:sz w:val="22"/>
                <w:szCs w:val="22"/>
                <w:lang w:val="ru-RU" w:eastAsia="ru-RU"/>
              </w:rPr>
            </w:pPr>
            <w:r>
              <w:rPr>
                <w:rFonts w:cs="Times New Roman" w:ascii="Times New Roman" w:hAnsi="Times New Roman"/>
                <w:sz w:val="22"/>
                <w:szCs w:val="22"/>
                <w:lang w:val="ru-RU" w:eastAsia="ru-RU"/>
              </w:rPr>
              <w:t>м.о.,  д. Сяськелево, ул. Центральная, дом 12-а</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Факс – 8(813-71) 67-067</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Телефон – 67-067, 67-071</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адрес электронной почты: syaskelevo@</w:t>
            </w:r>
            <w:r>
              <w:rPr>
                <w:rFonts w:cs="Times New Roman" w:ascii="Times New Roman" w:hAnsi="Times New Roman"/>
                <w:sz w:val="22"/>
                <w:szCs w:val="22"/>
                <w:lang w:val="en-US" w:eastAsia="ru-RU"/>
              </w:rPr>
              <w:t>gmolo</w:t>
            </w:r>
            <w:r>
              <w:rPr>
                <w:rFonts w:cs="Times New Roman" w:ascii="Times New Roman" w:hAnsi="Times New Roman"/>
                <w:sz w:val="22"/>
                <w:szCs w:val="22"/>
                <w:lang w:eastAsia="ru-RU"/>
              </w:rPr>
              <w:t>.ru</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ИНН  4705121837    КПП  470501001</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ОКПО  93883179     ОКТМО 41518000</w:t>
            </w:r>
          </w:p>
          <w:p>
            <w:pPr>
              <w:pStyle w:val="Normal"/>
              <w:widowControl w:val="false"/>
              <w:rPr>
                <w:rFonts w:ascii="Times New Roman" w:hAnsi="Times New Roman" w:cs="Times New Roman"/>
                <w:sz w:val="22"/>
                <w:szCs w:val="22"/>
              </w:rPr>
            </w:pPr>
            <w:r>
              <w:rPr>
                <w:rFonts w:cs="Times New Roman" w:ascii="Times New Roman" w:hAnsi="Times New Roman"/>
                <w:sz w:val="22"/>
                <w:szCs w:val="22"/>
                <w:lang w:eastAsia="ru-RU"/>
              </w:rPr>
              <w:t>ОГРН-1244700034930</w:t>
            </w:r>
          </w:p>
          <w:p>
            <w:pPr>
              <w:pStyle w:val="Normal"/>
              <w:widowControl w:val="false"/>
              <w:rPr>
                <w:rFonts w:ascii="Times New Roman" w:hAnsi="Times New Roman" w:cs="Times New Roman"/>
                <w:sz w:val="22"/>
                <w:szCs w:val="22"/>
              </w:rPr>
            </w:pPr>
            <w:r>
              <w:rPr>
                <w:rFonts w:cs="Times New Roman" w:ascii="Times New Roman" w:hAnsi="Times New Roman"/>
                <w:sz w:val="22"/>
                <w:szCs w:val="22"/>
              </w:rPr>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Плательщик:</w:t>
            </w:r>
          </w:p>
          <w:p>
            <w:pPr>
              <w:pStyle w:val="Normal"/>
              <w:widowControl w:val="false"/>
              <w:rPr>
                <w:lang w:val="ru-RU" w:eastAsia="ru-RU"/>
              </w:rPr>
            </w:pPr>
            <w:r>
              <w:rPr>
                <w:rFonts w:cs="Times New Roman" w:ascii="Times New Roman" w:hAnsi="Times New Roman"/>
                <w:sz w:val="22"/>
                <w:szCs w:val="22"/>
                <w:lang w:val="ru-RU" w:eastAsia="ru-RU"/>
              </w:rPr>
              <w:t>Комитет финансов Гатчинского муниципального округа (Сяськелевское территориальное управление, л/сч 01732D06290)</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б/сч 03231643415180004500</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ОКЦ №1 СЗГУ  БАНКА РОССИИ//УФК по Ленинградской области, г. Санкт-Петербург</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к/с 40102810745370000098</w:t>
            </w:r>
          </w:p>
          <w:p>
            <w:pPr>
              <w:pStyle w:val="Normal"/>
              <w:widowControl w:val="false"/>
              <w:rPr/>
            </w:pPr>
            <w:r>
              <w:rPr>
                <w:rFonts w:cs="Times New Roman" w:ascii="Times New Roman" w:hAnsi="Times New Roman"/>
                <w:sz w:val="22"/>
                <w:szCs w:val="22"/>
                <w:lang w:eastAsia="ru-RU"/>
              </w:rPr>
              <w:t>БИК 044030098</w:t>
            </w:r>
          </w:p>
        </w:tc>
        <w:tc>
          <w:tcPr>
            <w:tcW w:w="4830"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ind w:firstLine="22" w:end="0"/>
              <w:rPr>
                <w:rFonts w:ascii="Times New Roman" w:hAnsi="Times New Roman" w:cs="Times New Roman"/>
                <w:bCs/>
                <w:sz w:val="22"/>
                <w:szCs w:val="22"/>
              </w:rPr>
            </w:pPr>
            <w:r>
              <w:rPr>
                <w:rFonts w:cs="Times New Roman" w:ascii="Times New Roman" w:hAnsi="Times New Roman"/>
                <w:bCs/>
                <w:sz w:val="22"/>
                <w:szCs w:val="22"/>
              </w:rPr>
            </w:r>
          </w:p>
        </w:tc>
      </w:tr>
      <w:tr>
        <w:trPr/>
        <w:tc>
          <w:tcPr>
            <w:tcW w:w="4920"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rPr>
                <w:lang w:val="ru-RU" w:eastAsia="ru-RU"/>
              </w:rPr>
            </w:pPr>
            <w:r>
              <w:rPr>
                <w:rFonts w:cs="Times New Roman" w:ascii="Times New Roman" w:hAnsi="Times New Roman"/>
                <w:b/>
                <w:bCs/>
                <w:sz w:val="22"/>
                <w:szCs w:val="22"/>
                <w:shd w:fill="FFFFFF" w:val="clear"/>
                <w:lang w:val="ru-RU" w:eastAsia="ru-RU"/>
              </w:rPr>
              <w:t>Глава Сяськелевского территориального управления</w:t>
            </w:r>
          </w:p>
          <w:p>
            <w:pPr>
              <w:pStyle w:val="Normal"/>
              <w:widowControl w:val="false"/>
              <w:rPr>
                <w:rFonts w:ascii="Times New Roman" w:hAnsi="Times New Roman" w:cs="Times New Roman"/>
                <w:sz w:val="22"/>
                <w:szCs w:val="22"/>
                <w:lang w:eastAsia="ru-RU"/>
              </w:rPr>
            </w:pPr>
            <w:r>
              <w:rPr>
                <w:rFonts w:cs="Times New Roman" w:ascii="Times New Roman" w:hAnsi="Times New Roman"/>
                <w:sz w:val="22"/>
                <w:szCs w:val="22"/>
                <w:lang w:eastAsia="ru-RU"/>
              </w:rPr>
              <w:t>_____________________ /Е.Е. Федорова /</w:t>
            </w:r>
          </w:p>
          <w:p>
            <w:pPr>
              <w:pStyle w:val="Normal"/>
              <w:widowControl w:val="false"/>
              <w:rPr/>
            </w:pPr>
            <w:r>
              <w:rPr>
                <w:rFonts w:cs="Times New Roman" w:ascii="Times New Roman" w:hAnsi="Times New Roman"/>
                <w:sz w:val="22"/>
                <w:szCs w:val="22"/>
                <w:lang w:eastAsia="ru-RU"/>
              </w:rPr>
              <w:t>(подпись ЭЦП)</w:t>
            </w:r>
          </w:p>
        </w:tc>
        <w:tc>
          <w:tcPr>
            <w:tcW w:w="4830" w:type="dxa"/>
            <w:tcBorders>
              <w:top w:val="single" w:sz="4" w:space="0" w:color="000000"/>
              <w:start w:val="single" w:sz="4" w:space="0" w:color="000000"/>
              <w:bottom w:val="single" w:sz="4" w:space="0" w:color="000000"/>
              <w:end w:val="single" w:sz="4" w:space="0" w:color="000000"/>
            </w:tcBorders>
          </w:tcPr>
          <w:p>
            <w:pPr>
              <w:pStyle w:val="Normal"/>
              <w:widowControl w:val="false"/>
              <w:snapToGrid w:val="false"/>
              <w:ind w:firstLine="22" w:end="0"/>
              <w:rPr>
                <w:rFonts w:ascii="Times New Roman" w:hAnsi="Times New Roman" w:cs="Times New Roman"/>
                <w:b/>
                <w:bCs/>
                <w:sz w:val="22"/>
                <w:szCs w:val="22"/>
              </w:rPr>
            </w:pPr>
            <w:r>
              <w:rPr>
                <w:rFonts w:cs="Times New Roman" w:ascii="Times New Roman" w:hAnsi="Times New Roman"/>
                <w:b/>
                <w:bCs/>
                <w:sz w:val="22"/>
                <w:szCs w:val="22"/>
              </w:rPr>
            </w:r>
          </w:p>
          <w:p>
            <w:pPr>
              <w:pStyle w:val="Normal"/>
              <w:widowControl w:val="false"/>
              <w:ind w:firstLine="22" w:end="0"/>
              <w:rPr>
                <w:rFonts w:ascii="Times New Roman" w:hAnsi="Times New Roman" w:cs="Times New Roman"/>
                <w:b/>
                <w:bCs/>
                <w:sz w:val="22"/>
                <w:szCs w:val="22"/>
              </w:rPr>
            </w:pPr>
            <w:r>
              <w:rPr>
                <w:rFonts w:cs="Times New Roman" w:ascii="Times New Roman" w:hAnsi="Times New Roman"/>
                <w:b/>
                <w:bCs/>
                <w:sz w:val="22"/>
                <w:szCs w:val="22"/>
              </w:rPr>
            </w:r>
          </w:p>
          <w:p>
            <w:pPr>
              <w:pStyle w:val="Normal"/>
              <w:widowControl w:val="false"/>
              <w:ind w:firstLine="22" w:end="0"/>
              <w:rPr>
                <w:rFonts w:ascii="Times New Roman" w:hAnsi="Times New Roman" w:cs="Times New Roman"/>
                <w:bCs/>
                <w:sz w:val="22"/>
                <w:szCs w:val="22"/>
              </w:rPr>
            </w:pPr>
            <w:r>
              <w:rPr>
                <w:rFonts w:cs="Times New Roman" w:ascii="Times New Roman" w:hAnsi="Times New Roman"/>
                <w:bCs/>
                <w:sz w:val="22"/>
                <w:szCs w:val="22"/>
              </w:rPr>
              <w:t>___________________  /______________/</w:t>
            </w:r>
          </w:p>
          <w:p>
            <w:pPr>
              <w:pStyle w:val="Normal"/>
              <w:widowControl w:val="false"/>
              <w:ind w:firstLine="22" w:end="0"/>
              <w:rPr/>
            </w:pPr>
            <w:r>
              <w:rPr>
                <w:rFonts w:cs="Times New Roman" w:ascii="Times New Roman" w:hAnsi="Times New Roman"/>
                <w:bCs/>
                <w:sz w:val="22"/>
                <w:szCs w:val="22"/>
              </w:rPr>
              <w:t>(подпись ЭЦП)</w:t>
            </w:r>
          </w:p>
        </w:tc>
      </w:tr>
    </w:tbl>
    <w:p>
      <w:pPr>
        <w:pStyle w:val="Normal"/>
        <w:tabs>
          <w:tab w:val="clear" w:pos="708"/>
          <w:tab w:val="left" w:pos="709" w:leader="none"/>
        </w:tabs>
        <w:ind w:start="0"/>
        <w:rPr>
          <w:b/>
          <w:bCs/>
          <w:color w:val="000000"/>
          <w:sz w:val="24"/>
          <w:szCs w:val="24"/>
        </w:rPr>
      </w:pPr>
      <w:r>
        <w:rPr>
          <w:b/>
          <w:bCs/>
          <w:color w:val="000000"/>
          <w:sz w:val="24"/>
          <w:szCs w:val="24"/>
        </w:rPr>
      </w:r>
      <w:r>
        <w:br w:type="page"/>
      </w:r>
    </w:p>
    <w:p>
      <w:pPr>
        <w:pStyle w:val="BodyText"/>
        <w:spacing w:before="0" w:after="0"/>
        <w:ind w:start="5103"/>
        <w:rPr>
          <w:b/>
          <w:bCs/>
          <w:color w:val="000000"/>
          <w:sz w:val="24"/>
          <w:szCs w:val="24"/>
        </w:rPr>
      </w:pPr>
      <w:r>
        <w:rPr>
          <w:b/>
          <w:bCs/>
          <w:color w:val="000000"/>
          <w:sz w:val="24"/>
          <w:szCs w:val="24"/>
        </w:rPr>
      </w:r>
    </w:p>
    <w:p>
      <w:pPr>
        <w:pStyle w:val="BodyText"/>
        <w:ind w:start="5103"/>
        <w:rPr>
          <w:sz w:val="24"/>
          <w:szCs w:val="24"/>
        </w:rPr>
      </w:pPr>
      <w:r>
        <w:rPr>
          <w:b/>
          <w:bCs/>
          <w:color w:val="000000"/>
          <w:sz w:val="24"/>
          <w:szCs w:val="24"/>
        </w:rPr>
        <w:t xml:space="preserve">                               </w:t>
      </w:r>
      <w:r>
        <w:rPr>
          <w:b/>
          <w:bCs/>
          <w:color w:val="000000"/>
          <w:sz w:val="24"/>
          <w:szCs w:val="24"/>
        </w:rPr>
        <w:t>Приложение № 1</w:t>
      </w:r>
    </w:p>
    <w:p>
      <w:pPr>
        <w:pStyle w:val="BodyTextIndent3"/>
        <w:ind w:hanging="0" w:start="0"/>
        <w:jc w:val="center"/>
        <w:rPr>
          <w:sz w:val="24"/>
          <w:szCs w:val="24"/>
        </w:rPr>
      </w:pPr>
      <w:r>
        <w:rPr>
          <w:color w:val="000000"/>
          <w:sz w:val="24"/>
          <w:szCs w:val="24"/>
        </w:rPr>
        <w:t xml:space="preserve">                                                                                              </w:t>
      </w:r>
      <w:r>
        <w:rPr>
          <w:color w:val="000000"/>
          <w:sz w:val="24"/>
          <w:szCs w:val="24"/>
        </w:rPr>
        <w:t xml:space="preserve">к Договору № </w:t>
      </w:r>
    </w:p>
    <w:p>
      <w:pPr>
        <w:pStyle w:val="BodyTextIndent3"/>
        <w:ind w:hanging="0" w:start="0"/>
        <w:rPr>
          <w:sz w:val="24"/>
          <w:szCs w:val="24"/>
        </w:rPr>
      </w:pPr>
      <w:r>
        <w:rPr>
          <w:sz w:val="24"/>
          <w:szCs w:val="24"/>
        </w:rPr>
        <w:t xml:space="preserve">                                                                                                                     </w:t>
      </w:r>
      <w:r>
        <w:rPr>
          <w:sz w:val="24"/>
          <w:szCs w:val="24"/>
        </w:rPr>
        <w:t>от    «__»  ______ 2026 г.</w:t>
      </w:r>
    </w:p>
    <w:p>
      <w:pPr>
        <w:pStyle w:val="BodyTextIndent3"/>
        <w:ind w:hanging="851" w:start="851"/>
        <w:rPr>
          <w:sz w:val="24"/>
          <w:szCs w:val="24"/>
        </w:rPr>
      </w:pPr>
      <w:r>
        <w:rPr>
          <w:sz w:val="24"/>
          <w:szCs w:val="24"/>
        </w:rPr>
      </w:r>
    </w:p>
    <w:p>
      <w:pPr>
        <w:pStyle w:val="BodyTextIndent3"/>
        <w:ind w:hanging="0" w:start="0"/>
        <w:jc w:val="center"/>
        <w:rPr>
          <w:sz w:val="24"/>
          <w:szCs w:val="24"/>
        </w:rPr>
      </w:pPr>
      <w:r>
        <w:rPr>
          <w:sz w:val="24"/>
          <w:szCs w:val="24"/>
        </w:rPr>
      </w:r>
    </w:p>
    <w:p>
      <w:pPr>
        <w:pStyle w:val="Heading3"/>
        <w:jc w:val="center"/>
        <w:rPr>
          <w:sz w:val="24"/>
          <w:szCs w:val="24"/>
          <w:lang w:val="ru-RU"/>
        </w:rPr>
      </w:pPr>
      <w:r>
        <w:rPr>
          <w:sz w:val="24"/>
          <w:szCs w:val="24"/>
          <w:lang w:val="ru-RU"/>
        </w:rPr>
      </w:r>
    </w:p>
    <w:p>
      <w:pPr>
        <w:pStyle w:val="Normal"/>
        <w:jc w:val="both"/>
        <w:rPr>
          <w:color w:val="000000"/>
          <w:sz w:val="24"/>
          <w:szCs w:val="24"/>
          <w:lang w:val="ru-RU"/>
        </w:rPr>
      </w:pPr>
      <w:r>
        <w:rPr>
          <w:color w:val="000000"/>
          <w:sz w:val="24"/>
          <w:szCs w:val="24"/>
          <w:lang w:val="ru-RU"/>
        </w:rPr>
      </w:r>
    </w:p>
    <w:p>
      <w:pPr>
        <w:pStyle w:val="Normal"/>
        <w:jc w:val="both"/>
        <w:rPr>
          <w:color w:val="000000"/>
          <w:sz w:val="24"/>
          <w:szCs w:val="24"/>
          <w:lang w:val="ru-RU"/>
        </w:rPr>
      </w:pPr>
      <w:r>
        <w:rPr>
          <w:color w:val="000000"/>
          <w:sz w:val="24"/>
          <w:szCs w:val="24"/>
          <w:lang w:val="ru-RU"/>
        </w:rPr>
      </w:r>
    </w:p>
    <w:p>
      <w:pPr>
        <w:pStyle w:val="BodyText"/>
        <w:rPr>
          <w:color w:val="000000"/>
          <w:sz w:val="24"/>
          <w:szCs w:val="24"/>
        </w:rPr>
      </w:pPr>
      <w:r>
        <w:rPr>
          <w:color w:val="000000"/>
          <w:sz w:val="24"/>
          <w:szCs w:val="24"/>
        </w:rPr>
      </w:r>
    </w:p>
    <w:p>
      <w:pPr>
        <w:pStyle w:val="BodyText"/>
        <w:ind w:firstLine="851"/>
        <w:rPr>
          <w:sz w:val="24"/>
          <w:szCs w:val="24"/>
        </w:rPr>
      </w:pPr>
      <w:r>
        <w:rPr>
          <w:color w:val="000000"/>
          <w:sz w:val="24"/>
          <w:szCs w:val="24"/>
        </w:rPr>
        <w:t xml:space="preserve">Автомобиль администрации Сяськелевского территориального управления, принимаемый на обслуживание </w:t>
      </w:r>
    </w:p>
    <w:p>
      <w:pPr>
        <w:pStyle w:val="BodyText"/>
        <w:rPr>
          <w:color w:val="000000"/>
          <w:sz w:val="24"/>
          <w:szCs w:val="24"/>
        </w:rPr>
      </w:pPr>
      <w:r>
        <w:rPr>
          <w:color w:val="000000"/>
          <w:sz w:val="24"/>
          <w:szCs w:val="24"/>
        </w:rPr>
      </w:r>
    </w:p>
    <w:tbl>
      <w:tblPr>
        <w:tblW w:w="10470" w:type="dxa"/>
        <w:jc w:val="start"/>
        <w:tblInd w:w="97" w:type="dxa"/>
        <w:tblLayout w:type="fixed"/>
        <w:tblCellMar>
          <w:top w:w="0" w:type="dxa"/>
          <w:start w:w="108" w:type="dxa"/>
          <w:bottom w:w="0" w:type="dxa"/>
          <w:end w:w="108" w:type="dxa"/>
        </w:tblCellMar>
        <w:tblLook w:val="0000" w:firstRow="0" w:noVBand="0" w:lastRow="0" w:firstColumn="0" w:lastColumn="0" w:noHBand="0"/>
      </w:tblPr>
      <w:tblGrid>
        <w:gridCol w:w="611"/>
        <w:gridCol w:w="2206"/>
        <w:gridCol w:w="2518"/>
        <w:gridCol w:w="2221"/>
        <w:gridCol w:w="2914"/>
      </w:tblGrid>
      <w:tr>
        <w:trPr>
          <w:trHeight w:val="529" w:hRule="atLeast"/>
          <w:cantSplit/>
        </w:trPr>
        <w:tc>
          <w:tcPr>
            <w:tcW w:w="611" w:type="dxa"/>
            <w:tcBorders>
              <w:bottom w:val="single" w:sz="18" w:space="0" w:color="000000"/>
              <w:end w:val="single" w:sz="18" w:space="0" w:color="000000"/>
            </w:tcBorders>
            <w:vAlign w:val="center"/>
          </w:tcPr>
          <w:p>
            <w:pPr>
              <w:pStyle w:val="BodyText"/>
              <w:ind w:start="11"/>
              <w:jc w:val="center"/>
              <w:rPr>
                <w:sz w:val="24"/>
                <w:szCs w:val="24"/>
              </w:rPr>
            </w:pPr>
            <w:r>
              <w:rPr>
                <w:color w:val="000000"/>
                <w:sz w:val="24"/>
                <w:szCs w:val="24"/>
              </w:rPr>
              <w:t xml:space="preserve">№ </w:t>
            </w:r>
            <w:r>
              <w:rPr>
                <w:color w:val="000000"/>
                <w:sz w:val="24"/>
                <w:szCs w:val="24"/>
              </w:rPr>
              <w:t>п/п.</w:t>
            </w:r>
          </w:p>
        </w:tc>
        <w:tc>
          <w:tcPr>
            <w:tcW w:w="2206" w:type="dxa"/>
            <w:tcBorders>
              <w:start w:val="single" w:sz="18" w:space="0" w:color="000000"/>
              <w:bottom w:val="single" w:sz="18" w:space="0" w:color="000000"/>
              <w:end w:val="single" w:sz="18" w:space="0" w:color="000000"/>
            </w:tcBorders>
            <w:vAlign w:val="center"/>
          </w:tcPr>
          <w:p>
            <w:pPr>
              <w:pStyle w:val="Normal"/>
              <w:jc w:val="center"/>
              <w:rPr>
                <w:color w:val="000000"/>
                <w:sz w:val="24"/>
                <w:szCs w:val="24"/>
                <w:lang w:val="ru-RU"/>
              </w:rPr>
            </w:pPr>
            <w:r>
              <w:rPr>
                <w:color w:val="000000"/>
                <w:sz w:val="24"/>
                <w:szCs w:val="24"/>
                <w:lang w:val="ru-RU"/>
              </w:rPr>
            </w:r>
          </w:p>
          <w:p>
            <w:pPr>
              <w:pStyle w:val="BodyText"/>
              <w:jc w:val="center"/>
              <w:rPr>
                <w:sz w:val="24"/>
                <w:szCs w:val="24"/>
              </w:rPr>
            </w:pPr>
            <w:r>
              <w:rPr>
                <w:color w:val="000000"/>
                <w:sz w:val="24"/>
                <w:szCs w:val="24"/>
              </w:rPr>
              <w:t>Модель</w:t>
            </w:r>
          </w:p>
        </w:tc>
        <w:tc>
          <w:tcPr>
            <w:tcW w:w="2518" w:type="dxa"/>
            <w:tcBorders>
              <w:start w:val="single" w:sz="18" w:space="0" w:color="000000"/>
              <w:bottom w:val="single" w:sz="18" w:space="0" w:color="000000"/>
              <w:end w:val="single" w:sz="18" w:space="0" w:color="000000"/>
            </w:tcBorders>
            <w:vAlign w:val="center"/>
          </w:tcPr>
          <w:p>
            <w:pPr>
              <w:pStyle w:val="BodyText"/>
              <w:jc w:val="center"/>
              <w:rPr>
                <w:color w:val="000000"/>
                <w:sz w:val="24"/>
                <w:szCs w:val="24"/>
              </w:rPr>
            </w:pPr>
            <w:r>
              <w:rPr>
                <w:color w:val="000000"/>
                <w:sz w:val="24"/>
                <w:szCs w:val="24"/>
              </w:rPr>
            </w:r>
          </w:p>
          <w:p>
            <w:pPr>
              <w:pStyle w:val="BodyText"/>
              <w:jc w:val="center"/>
              <w:rPr>
                <w:sz w:val="24"/>
                <w:szCs w:val="24"/>
              </w:rPr>
            </w:pPr>
            <w:r>
              <w:rPr>
                <w:color w:val="000000"/>
                <w:sz w:val="24"/>
                <w:szCs w:val="24"/>
              </w:rPr>
              <w:t xml:space="preserve">Номер </w:t>
            </w:r>
            <w:r>
              <w:rPr>
                <w:color w:val="000000"/>
                <w:sz w:val="24"/>
                <w:szCs w:val="24"/>
                <w:lang w:val="en-US"/>
              </w:rPr>
              <w:t>VIN</w:t>
            </w:r>
          </w:p>
        </w:tc>
        <w:tc>
          <w:tcPr>
            <w:tcW w:w="2221" w:type="dxa"/>
            <w:tcBorders>
              <w:start w:val="single" w:sz="18" w:space="0" w:color="000000"/>
              <w:bottom w:val="single" w:sz="18" w:space="0" w:color="000000"/>
              <w:end w:val="single" w:sz="18" w:space="0" w:color="000000"/>
            </w:tcBorders>
            <w:vAlign w:val="center"/>
          </w:tcPr>
          <w:p>
            <w:pPr>
              <w:pStyle w:val="Normal"/>
              <w:jc w:val="center"/>
              <w:rPr>
                <w:color w:val="000000"/>
                <w:sz w:val="24"/>
                <w:szCs w:val="24"/>
                <w:lang w:val="ru-RU"/>
              </w:rPr>
            </w:pPr>
            <w:r>
              <w:rPr>
                <w:color w:val="000000"/>
                <w:sz w:val="24"/>
                <w:szCs w:val="24"/>
                <w:lang w:val="ru-RU"/>
              </w:rPr>
            </w:r>
          </w:p>
          <w:p>
            <w:pPr>
              <w:pStyle w:val="BodyText"/>
              <w:jc w:val="center"/>
              <w:rPr>
                <w:sz w:val="24"/>
                <w:szCs w:val="24"/>
              </w:rPr>
            </w:pPr>
            <w:r>
              <w:rPr>
                <w:color w:val="000000"/>
                <w:sz w:val="24"/>
                <w:szCs w:val="24"/>
              </w:rPr>
              <w:t>Номер двигателя</w:t>
            </w:r>
          </w:p>
        </w:tc>
        <w:tc>
          <w:tcPr>
            <w:tcW w:w="2914" w:type="dxa"/>
            <w:tcBorders>
              <w:start w:val="single" w:sz="18" w:space="0" w:color="000000"/>
              <w:bottom w:val="single" w:sz="18" w:space="0" w:color="000000"/>
            </w:tcBorders>
            <w:vAlign w:val="center"/>
          </w:tcPr>
          <w:p>
            <w:pPr>
              <w:pStyle w:val="Normal"/>
              <w:jc w:val="center"/>
              <w:rPr>
                <w:color w:val="000000"/>
                <w:sz w:val="24"/>
                <w:szCs w:val="24"/>
                <w:lang w:val="ru-RU"/>
              </w:rPr>
            </w:pPr>
            <w:r>
              <w:rPr>
                <w:color w:val="000000"/>
                <w:sz w:val="24"/>
                <w:szCs w:val="24"/>
                <w:lang w:val="ru-RU"/>
              </w:rPr>
            </w:r>
          </w:p>
          <w:p>
            <w:pPr>
              <w:pStyle w:val="BodyText"/>
              <w:jc w:val="center"/>
              <w:rPr>
                <w:sz w:val="24"/>
                <w:szCs w:val="24"/>
              </w:rPr>
            </w:pPr>
            <w:r>
              <w:rPr>
                <w:color w:val="000000"/>
                <w:sz w:val="24"/>
                <w:szCs w:val="24"/>
              </w:rPr>
              <w:t>Государственный номер</w:t>
            </w:r>
          </w:p>
        </w:tc>
      </w:tr>
      <w:tr>
        <w:trPr>
          <w:trHeight w:val="486" w:hRule="atLeast"/>
          <w:cantSplit/>
        </w:trPr>
        <w:tc>
          <w:tcPr>
            <w:tcW w:w="611" w:type="dxa"/>
            <w:tcBorders>
              <w:top w:val="single" w:sz="18" w:space="0" w:color="000000"/>
              <w:bottom w:val="single" w:sz="2" w:space="0" w:color="000000"/>
              <w:end w:val="single" w:sz="18" w:space="0" w:color="000000"/>
            </w:tcBorders>
            <w:vAlign w:val="center"/>
          </w:tcPr>
          <w:p>
            <w:pPr>
              <w:pStyle w:val="BodyText"/>
              <w:ind w:start="11"/>
              <w:jc w:val="center"/>
              <w:rPr>
                <w:sz w:val="24"/>
                <w:szCs w:val="24"/>
              </w:rPr>
            </w:pPr>
            <w:r>
              <w:rPr>
                <w:color w:val="000000"/>
                <w:sz w:val="24"/>
                <w:szCs w:val="24"/>
              </w:rPr>
              <w:t>1</w:t>
            </w:r>
          </w:p>
        </w:tc>
        <w:tc>
          <w:tcPr>
            <w:tcW w:w="2206" w:type="dxa"/>
            <w:tcBorders>
              <w:top w:val="single" w:sz="18" w:space="0" w:color="000000"/>
              <w:start w:val="single" w:sz="18" w:space="0" w:color="000000"/>
              <w:bottom w:val="single" w:sz="2" w:space="0" w:color="000000"/>
              <w:end w:val="single" w:sz="18" w:space="0" w:color="000000"/>
            </w:tcBorders>
            <w:vAlign w:val="center"/>
          </w:tcPr>
          <w:p>
            <w:pPr>
              <w:pStyle w:val="BodyText"/>
              <w:jc w:val="center"/>
              <w:rPr>
                <w:sz w:val="24"/>
                <w:szCs w:val="24"/>
              </w:rPr>
            </w:pPr>
            <w:r>
              <w:rPr>
                <w:sz w:val="24"/>
                <w:szCs w:val="24"/>
                <w:lang w:eastAsia="ru-RU"/>
              </w:rPr>
              <w:t>TOYOTA RAV4</w:t>
            </w:r>
          </w:p>
        </w:tc>
        <w:tc>
          <w:tcPr>
            <w:tcW w:w="2518" w:type="dxa"/>
            <w:tcBorders>
              <w:top w:val="single" w:sz="18" w:space="0" w:color="000000"/>
              <w:start w:val="single" w:sz="18" w:space="0" w:color="000000"/>
              <w:bottom w:val="single" w:sz="2" w:space="0" w:color="000000"/>
              <w:end w:val="single" w:sz="18" w:space="0" w:color="000000"/>
            </w:tcBorders>
            <w:vAlign w:val="center"/>
          </w:tcPr>
          <w:p>
            <w:pPr>
              <w:pStyle w:val="Normal"/>
              <w:jc w:val="center"/>
              <w:rPr>
                <w:sz w:val="24"/>
                <w:szCs w:val="24"/>
              </w:rPr>
            </w:pPr>
            <w:r>
              <w:rPr>
                <w:sz w:val="24"/>
                <w:szCs w:val="24"/>
                <w:lang w:val="ru-RU" w:eastAsia="ru-RU"/>
              </w:rPr>
              <w:t>JTMBE33V80D019892</w:t>
            </w:r>
          </w:p>
        </w:tc>
        <w:tc>
          <w:tcPr>
            <w:tcW w:w="2221" w:type="dxa"/>
            <w:tcBorders>
              <w:top w:val="single" w:sz="18" w:space="0" w:color="000000"/>
              <w:start w:val="single" w:sz="18" w:space="0" w:color="000000"/>
              <w:bottom w:val="single" w:sz="2" w:space="0" w:color="000000"/>
              <w:end w:val="single" w:sz="18" w:space="0" w:color="000000"/>
            </w:tcBorders>
            <w:vAlign w:val="center"/>
          </w:tcPr>
          <w:p>
            <w:pPr>
              <w:pStyle w:val="Normal"/>
              <w:jc w:val="center"/>
              <w:rPr>
                <w:sz w:val="24"/>
                <w:szCs w:val="24"/>
              </w:rPr>
            </w:pPr>
            <w:r>
              <w:rPr>
                <w:sz w:val="24"/>
                <w:szCs w:val="24"/>
                <w:lang w:val="ru-RU" w:eastAsia="ru-RU"/>
              </w:rPr>
              <w:t>3ZR A540765</w:t>
            </w:r>
          </w:p>
        </w:tc>
        <w:tc>
          <w:tcPr>
            <w:tcW w:w="2914" w:type="dxa"/>
            <w:tcBorders>
              <w:top w:val="single" w:sz="18" w:space="0" w:color="000000"/>
              <w:start w:val="single" w:sz="18" w:space="0" w:color="000000"/>
              <w:bottom w:val="single" w:sz="2" w:space="0" w:color="000000"/>
            </w:tcBorders>
            <w:vAlign w:val="center"/>
          </w:tcPr>
          <w:p>
            <w:pPr>
              <w:pStyle w:val="BodyText"/>
              <w:jc w:val="center"/>
              <w:rPr>
                <w:sz w:val="24"/>
                <w:szCs w:val="24"/>
              </w:rPr>
            </w:pPr>
            <w:r>
              <w:rPr>
                <w:color w:val="000000"/>
                <w:sz w:val="24"/>
                <w:szCs w:val="24"/>
              </w:rPr>
              <w:t>В 590 СА 47</w:t>
            </w:r>
          </w:p>
        </w:tc>
      </w:tr>
    </w:tbl>
    <w:p>
      <w:pPr>
        <w:pStyle w:val="BodyText"/>
        <w:rPr>
          <w:color w:val="000000"/>
          <w:sz w:val="24"/>
          <w:szCs w:val="24"/>
        </w:rPr>
      </w:pPr>
      <w:r>
        <w:rPr>
          <w:color w:val="000000"/>
          <w:sz w:val="24"/>
          <w:szCs w:val="24"/>
        </w:rPr>
      </w:r>
    </w:p>
    <w:p>
      <w:pPr>
        <w:pStyle w:val="BodyText"/>
        <w:rPr>
          <w:color w:val="000000"/>
          <w:sz w:val="24"/>
          <w:szCs w:val="24"/>
        </w:rPr>
      </w:pPr>
      <w:r>
        <w:rPr>
          <w:color w:val="000000"/>
          <w:sz w:val="24"/>
          <w:szCs w:val="24"/>
        </w:rPr>
      </w:r>
    </w:p>
    <w:p>
      <w:pPr>
        <w:pStyle w:val="BodyText"/>
        <w:rPr>
          <w:color w:val="000000"/>
          <w:sz w:val="24"/>
          <w:szCs w:val="24"/>
        </w:rPr>
      </w:pPr>
      <w:r>
        <w:rPr>
          <w:color w:val="000000"/>
          <w:sz w:val="24"/>
          <w:szCs w:val="24"/>
        </w:rPr>
      </w:r>
    </w:p>
    <w:p>
      <w:pPr>
        <w:pStyle w:val="BodyText"/>
        <w:rPr>
          <w:color w:val="000000"/>
          <w:sz w:val="24"/>
          <w:szCs w:val="24"/>
        </w:rPr>
      </w:pPr>
      <w:r>
        <w:rPr>
          <w:color w:val="000000"/>
          <w:sz w:val="24"/>
          <w:szCs w:val="24"/>
        </w:rPr>
      </w:r>
    </w:p>
    <w:tbl>
      <w:tblPr>
        <w:tblW w:w="9781" w:type="dxa"/>
        <w:jc w:val="start"/>
        <w:tblInd w:w="0" w:type="dxa"/>
        <w:tblLayout w:type="fixed"/>
        <w:tblCellMar>
          <w:top w:w="0" w:type="dxa"/>
          <w:start w:w="108" w:type="dxa"/>
          <w:bottom w:w="0" w:type="dxa"/>
          <w:end w:w="108" w:type="dxa"/>
        </w:tblCellMar>
        <w:tblLook w:val="01e0" w:firstRow="1" w:noVBand="0" w:lastRow="1" w:firstColumn="1" w:lastColumn="1" w:noHBand="0"/>
      </w:tblPr>
      <w:tblGrid>
        <w:gridCol w:w="4772"/>
        <w:gridCol w:w="5009"/>
      </w:tblGrid>
      <w:tr>
        <w:trPr>
          <w:trHeight w:val="674" w:hRule="atLeast"/>
        </w:trPr>
        <w:tc>
          <w:tcPr>
            <w:tcW w:w="4772" w:type="dxa"/>
            <w:tcBorders/>
          </w:tcPr>
          <w:p>
            <w:pPr>
              <w:pStyle w:val="Heading8"/>
              <w:tabs>
                <w:tab w:val="clear" w:pos="708"/>
                <w:tab w:val="left" w:pos="993" w:leader="none"/>
                <w:tab w:val="left" w:pos="1276" w:leader="none"/>
              </w:tabs>
              <w:rPr>
                <w:sz w:val="24"/>
                <w:szCs w:val="24"/>
              </w:rPr>
            </w:pPr>
            <w:r>
              <w:rPr>
                <w:i w:val="false"/>
                <w:iCs w:val="false"/>
                <w:color w:val="000000"/>
                <w:sz w:val="24"/>
                <w:szCs w:val="24"/>
              </w:rPr>
              <w:t>О</w:t>
            </w:r>
            <w:r>
              <w:rPr>
                <w:i w:val="false"/>
                <w:iCs w:val="false"/>
                <w:color w:val="000000"/>
                <w:sz w:val="24"/>
                <w:szCs w:val="24"/>
                <w:lang w:val="ru-RU"/>
              </w:rPr>
              <w:t>т</w:t>
            </w:r>
            <w:r>
              <w:rPr>
                <w:i w:val="false"/>
                <w:iCs w:val="false"/>
                <w:color w:val="000000"/>
                <w:sz w:val="24"/>
                <w:szCs w:val="24"/>
              </w:rPr>
              <w:t xml:space="preserve"> И</w:t>
            </w:r>
            <w:r>
              <w:rPr>
                <w:i w:val="false"/>
                <w:iCs w:val="false"/>
                <w:color w:val="000000"/>
                <w:sz w:val="24"/>
                <w:szCs w:val="24"/>
                <w:lang w:val="ru-RU"/>
              </w:rPr>
              <w:t>сполнителя</w:t>
            </w:r>
          </w:p>
          <w:p>
            <w:pPr>
              <w:pStyle w:val="BodyTextIndent"/>
              <w:tabs>
                <w:tab w:val="clear" w:pos="708"/>
                <w:tab w:val="left" w:pos="1080" w:leader="none"/>
                <w:tab w:val="left" w:pos="3600" w:leader="none"/>
              </w:tabs>
              <w:ind w:start="0"/>
              <w:jc w:val="center"/>
              <w:rPr>
                <w:color w:val="000000"/>
                <w:sz w:val="24"/>
                <w:szCs w:val="24"/>
              </w:rPr>
            </w:pPr>
            <w:r>
              <w:rPr>
                <w:color w:val="000000"/>
                <w:sz w:val="24"/>
                <w:szCs w:val="24"/>
              </w:rPr>
            </w:r>
          </w:p>
        </w:tc>
        <w:tc>
          <w:tcPr>
            <w:tcW w:w="5009" w:type="dxa"/>
            <w:tcBorders/>
          </w:tcPr>
          <w:p>
            <w:pPr>
              <w:pStyle w:val="Heading9"/>
              <w:jc w:val="end"/>
              <w:rPr>
                <w:sz w:val="24"/>
                <w:szCs w:val="24"/>
              </w:rPr>
            </w:pPr>
            <w:r>
              <w:rPr>
                <w:color w:val="000000"/>
                <w:sz w:val="24"/>
                <w:szCs w:val="24"/>
              </w:rPr>
              <w:t xml:space="preserve">                       </w:t>
            </w:r>
            <w:r>
              <w:rPr>
                <w:color w:val="000000"/>
                <w:sz w:val="24"/>
                <w:szCs w:val="24"/>
              </w:rPr>
              <w:t>О</w:t>
            </w:r>
            <w:r>
              <w:rPr>
                <w:color w:val="000000"/>
                <w:sz w:val="24"/>
                <w:szCs w:val="24"/>
                <w:lang w:val="ru-RU"/>
              </w:rPr>
              <w:t>т</w:t>
            </w:r>
            <w:r>
              <w:rPr>
                <w:color w:val="000000"/>
                <w:sz w:val="24"/>
                <w:szCs w:val="24"/>
              </w:rPr>
              <w:t xml:space="preserve"> З</w:t>
            </w:r>
            <w:r>
              <w:rPr>
                <w:color w:val="000000"/>
                <w:sz w:val="24"/>
                <w:szCs w:val="24"/>
                <w:lang w:val="ru-RU"/>
              </w:rPr>
              <w:t>аказчика</w:t>
            </w:r>
          </w:p>
          <w:p>
            <w:pPr>
              <w:pStyle w:val="BodyTextIndent"/>
              <w:tabs>
                <w:tab w:val="clear" w:pos="708"/>
                <w:tab w:val="left" w:pos="1080" w:leader="none"/>
                <w:tab w:val="left" w:pos="3600" w:leader="none"/>
              </w:tabs>
              <w:ind w:start="0"/>
              <w:jc w:val="end"/>
              <w:rPr>
                <w:color w:val="000000"/>
                <w:sz w:val="24"/>
                <w:szCs w:val="24"/>
              </w:rPr>
            </w:pPr>
            <w:r>
              <w:rPr>
                <w:color w:val="000000"/>
                <w:sz w:val="24"/>
                <w:szCs w:val="24"/>
              </w:rPr>
            </w:r>
          </w:p>
        </w:tc>
      </w:tr>
      <w:tr>
        <w:trPr/>
        <w:tc>
          <w:tcPr>
            <w:tcW w:w="4772" w:type="dxa"/>
            <w:tcBorders/>
          </w:tcPr>
          <w:p>
            <w:pPr>
              <w:pStyle w:val="Normal"/>
              <w:ind w:hanging="5529" w:start="5529"/>
              <w:rPr>
                <w:sz w:val="24"/>
                <w:szCs w:val="24"/>
              </w:rPr>
            </w:pPr>
            <w:r>
              <w:rPr>
                <w:sz w:val="24"/>
                <w:szCs w:val="24"/>
              </w:rPr>
            </w:r>
          </w:p>
          <w:p>
            <w:pPr>
              <w:pStyle w:val="Normal"/>
              <w:rPr>
                <w:color w:val="000000"/>
                <w:sz w:val="24"/>
                <w:szCs w:val="24"/>
                <w:lang w:val="ru-RU"/>
              </w:rPr>
            </w:pPr>
            <w:r>
              <w:rPr>
                <w:color w:val="000000"/>
                <w:sz w:val="24"/>
                <w:szCs w:val="24"/>
                <w:lang w:val="ru-RU"/>
              </w:rPr>
            </w:r>
          </w:p>
          <w:p>
            <w:pPr>
              <w:pStyle w:val="Normal"/>
              <w:ind w:hanging="5529" w:start="5529"/>
              <w:rPr>
                <w:color w:val="000000"/>
                <w:sz w:val="24"/>
                <w:szCs w:val="24"/>
                <w:lang w:val="ru-RU"/>
              </w:rPr>
            </w:pPr>
            <w:r>
              <w:rPr>
                <w:color w:val="000000"/>
                <w:sz w:val="24"/>
                <w:szCs w:val="24"/>
                <w:lang w:val="ru-RU"/>
              </w:rPr>
            </w:r>
          </w:p>
          <w:p>
            <w:pPr>
              <w:pStyle w:val="Normal"/>
              <w:ind w:hanging="5529" w:start="5529"/>
              <w:rPr>
                <w:color w:val="000000"/>
                <w:sz w:val="24"/>
                <w:szCs w:val="24"/>
                <w:lang w:val="ru-RU"/>
              </w:rPr>
            </w:pPr>
            <w:r>
              <w:rPr>
                <w:color w:val="000000"/>
                <w:sz w:val="24"/>
                <w:szCs w:val="24"/>
                <w:lang w:val="ru-RU"/>
              </w:rPr>
            </w:r>
          </w:p>
          <w:p>
            <w:pPr>
              <w:pStyle w:val="Normal"/>
              <w:ind w:hanging="5529" w:start="5529"/>
              <w:rPr>
                <w:color w:val="000000"/>
                <w:sz w:val="24"/>
                <w:szCs w:val="24"/>
                <w:lang w:val="ru-RU"/>
              </w:rPr>
            </w:pPr>
            <w:r>
              <w:rPr>
                <w:color w:val="000000"/>
                <w:sz w:val="24"/>
                <w:szCs w:val="24"/>
                <w:lang w:val="ru-RU"/>
              </w:rPr>
            </w:r>
          </w:p>
          <w:p>
            <w:pPr>
              <w:pStyle w:val="Normal"/>
              <w:rPr>
                <w:sz w:val="24"/>
                <w:szCs w:val="24"/>
              </w:rPr>
            </w:pPr>
            <w:r>
              <w:rPr>
                <w:color w:val="000000"/>
                <w:sz w:val="24"/>
                <w:szCs w:val="24"/>
                <w:lang w:val="ru-RU"/>
              </w:rPr>
              <w:t>___________</w:t>
            </w:r>
          </w:p>
          <w:p>
            <w:pPr>
              <w:pStyle w:val="BodyTextIndent"/>
              <w:tabs>
                <w:tab w:val="clear" w:pos="708"/>
                <w:tab w:val="left" w:pos="1080" w:leader="none"/>
                <w:tab w:val="left" w:pos="3600" w:leader="none"/>
              </w:tabs>
              <w:ind w:start="0"/>
              <w:jc w:val="start"/>
              <w:rPr>
                <w:sz w:val="24"/>
                <w:szCs w:val="24"/>
              </w:rPr>
            </w:pPr>
            <w:r>
              <w:rPr>
                <w:b w:val="false"/>
                <w:color w:val="000000"/>
                <w:sz w:val="24"/>
                <w:szCs w:val="24"/>
              </w:rPr>
              <w:t>м.п.</w:t>
            </w:r>
          </w:p>
          <w:p>
            <w:pPr>
              <w:pStyle w:val="Normal"/>
              <w:ind w:hanging="5529" w:start="5529"/>
              <w:rPr>
                <w:color w:val="000000"/>
                <w:sz w:val="24"/>
                <w:szCs w:val="24"/>
                <w:lang w:val="ru-RU"/>
              </w:rPr>
            </w:pPr>
            <w:r>
              <w:rPr>
                <w:color w:val="000000"/>
                <w:sz w:val="24"/>
                <w:szCs w:val="24"/>
                <w:lang w:val="ru-RU"/>
              </w:rPr>
            </w:r>
          </w:p>
        </w:tc>
        <w:tc>
          <w:tcPr>
            <w:tcW w:w="5009" w:type="dxa"/>
            <w:tcBorders/>
          </w:tcPr>
          <w:p>
            <w:pPr>
              <w:pStyle w:val="Normal"/>
              <w:jc w:val="end"/>
              <w:rPr>
                <w:sz w:val="24"/>
                <w:szCs w:val="24"/>
              </w:rPr>
            </w:pPr>
            <w:r>
              <w:rPr>
                <w:color w:val="000000"/>
                <w:sz w:val="24"/>
                <w:szCs w:val="24"/>
                <w:lang w:val="ru-RU"/>
              </w:rPr>
              <w:t xml:space="preserve"> </w:t>
            </w:r>
            <w:r>
              <w:rPr>
                <w:color w:val="000000"/>
                <w:sz w:val="24"/>
                <w:szCs w:val="24"/>
                <w:lang w:val="ru-RU"/>
              </w:rPr>
              <w:t>Глава Сяськелевского</w:t>
            </w:r>
          </w:p>
          <w:p>
            <w:pPr>
              <w:pStyle w:val="Normal"/>
              <w:jc w:val="end"/>
              <w:rPr>
                <w:sz w:val="24"/>
                <w:szCs w:val="24"/>
              </w:rPr>
            </w:pPr>
            <w:r>
              <w:rPr>
                <w:color w:val="000000"/>
                <w:sz w:val="24"/>
                <w:szCs w:val="24"/>
                <w:lang w:val="ru-RU"/>
              </w:rPr>
              <w:t>Территориального управления</w:t>
            </w:r>
          </w:p>
          <w:p>
            <w:pPr>
              <w:pStyle w:val="Normal"/>
              <w:ind w:hanging="5529" w:start="5529"/>
              <w:jc w:val="end"/>
              <w:rPr>
                <w:color w:val="000000"/>
                <w:sz w:val="24"/>
                <w:szCs w:val="24"/>
                <w:lang w:val="ru-RU"/>
              </w:rPr>
            </w:pPr>
            <w:r>
              <w:rPr>
                <w:color w:val="000000"/>
                <w:sz w:val="24"/>
                <w:szCs w:val="24"/>
                <w:lang w:val="ru-RU"/>
              </w:rPr>
            </w:r>
          </w:p>
          <w:p>
            <w:pPr>
              <w:pStyle w:val="Normal"/>
              <w:jc w:val="end"/>
              <w:rPr>
                <w:color w:val="000000"/>
                <w:sz w:val="24"/>
                <w:szCs w:val="24"/>
                <w:lang w:val="ru-RU"/>
              </w:rPr>
            </w:pPr>
            <w:r>
              <w:rPr>
                <w:color w:val="000000"/>
                <w:sz w:val="24"/>
                <w:szCs w:val="24"/>
                <w:lang w:val="ru-RU"/>
              </w:rPr>
            </w:r>
          </w:p>
          <w:p>
            <w:pPr>
              <w:pStyle w:val="Normal"/>
              <w:jc w:val="end"/>
              <w:rPr>
                <w:color w:val="000000"/>
                <w:sz w:val="24"/>
                <w:szCs w:val="24"/>
                <w:lang w:val="ru-RU"/>
              </w:rPr>
            </w:pPr>
            <w:r>
              <w:rPr>
                <w:color w:val="000000"/>
                <w:sz w:val="24"/>
                <w:szCs w:val="24"/>
                <w:lang w:val="ru-RU"/>
              </w:rPr>
            </w:r>
          </w:p>
          <w:p>
            <w:pPr>
              <w:pStyle w:val="BodyTextIndent"/>
              <w:tabs>
                <w:tab w:val="clear" w:pos="708"/>
                <w:tab w:val="left" w:pos="1080" w:leader="none"/>
                <w:tab w:val="left" w:pos="3600" w:leader="none"/>
              </w:tabs>
              <w:ind w:start="0"/>
              <w:jc w:val="end"/>
              <w:rPr>
                <w:sz w:val="24"/>
                <w:szCs w:val="24"/>
              </w:rPr>
            </w:pPr>
            <w:r>
              <w:rPr>
                <w:color w:val="000000"/>
                <w:sz w:val="24"/>
                <w:szCs w:val="24"/>
              </w:rPr>
              <w:t xml:space="preserve">_______________ </w:t>
            </w:r>
            <w:r>
              <w:rPr>
                <w:b w:val="false"/>
                <w:color w:val="000000"/>
                <w:sz w:val="24"/>
                <w:szCs w:val="24"/>
              </w:rPr>
              <w:t>Федорова Е.Е.</w:t>
            </w:r>
          </w:p>
          <w:p>
            <w:pPr>
              <w:pStyle w:val="BodyTextIndent"/>
              <w:tabs>
                <w:tab w:val="clear" w:pos="708"/>
                <w:tab w:val="left" w:pos="1080" w:leader="none"/>
                <w:tab w:val="left" w:pos="3600" w:leader="none"/>
              </w:tabs>
              <w:ind w:start="0"/>
              <w:jc w:val="center"/>
              <w:rPr>
                <w:sz w:val="24"/>
                <w:szCs w:val="24"/>
              </w:rPr>
            </w:pPr>
            <w:r>
              <w:rPr>
                <w:b w:val="false"/>
                <w:color w:val="000000"/>
                <w:sz w:val="24"/>
                <w:szCs w:val="24"/>
              </w:rPr>
              <w:t xml:space="preserve"> </w:t>
            </w:r>
            <w:r>
              <w:rPr>
                <w:b w:val="false"/>
                <w:color w:val="000000"/>
                <w:sz w:val="24"/>
                <w:szCs w:val="24"/>
              </w:rPr>
              <w:t>м.п.</w:t>
            </w:r>
          </w:p>
        </w:tc>
      </w:tr>
    </w:tbl>
    <w:p>
      <w:pPr>
        <w:sectPr>
          <w:footerReference w:type="even" r:id="rId2"/>
          <w:footerReference w:type="default" r:id="rId3"/>
          <w:footerReference w:type="first" r:id="rId4"/>
          <w:type w:val="nextPage"/>
          <w:pgSz w:w="12240" w:h="15840"/>
          <w:pgMar w:left="1134" w:right="850" w:gutter="0" w:header="0" w:top="567" w:footer="283" w:bottom="340"/>
          <w:pgNumType w:fmt="decimal"/>
          <w:formProt w:val="false"/>
          <w:textDirection w:val="lrTb"/>
          <w:docGrid w:type="default" w:linePitch="100" w:charSpace="0"/>
        </w:sectPr>
      </w:pPr>
    </w:p>
    <w:p>
      <w:pPr>
        <w:pStyle w:val="Normal"/>
        <w:numPr>
          <w:ilvl w:val="0"/>
          <w:numId w:val="0"/>
        </w:numPr>
        <w:ind w:start="567"/>
        <w:jc w:val="end"/>
        <w:outlineLvl w:val="0"/>
        <w:rPr>
          <w:sz w:val="24"/>
          <w:szCs w:val="24"/>
        </w:rPr>
      </w:pPr>
      <w:r>
        <w:rPr>
          <w:b/>
          <w:sz w:val="24"/>
          <w:szCs w:val="24"/>
          <w:lang w:val="ru-RU" w:eastAsia="ru-RU"/>
        </w:rPr>
        <w:t>Приложение № 2</w:t>
      </w:r>
    </w:p>
    <w:p>
      <w:pPr>
        <w:pStyle w:val="Normal"/>
        <w:numPr>
          <w:ilvl w:val="0"/>
          <w:numId w:val="0"/>
        </w:numPr>
        <w:ind w:start="567"/>
        <w:jc w:val="center"/>
        <w:outlineLvl w:val="0"/>
        <w:rPr>
          <w:sz w:val="24"/>
          <w:szCs w:val="24"/>
        </w:rPr>
      </w:pPr>
      <w:r>
        <w:rPr>
          <w:b/>
          <w:sz w:val="24"/>
          <w:szCs w:val="24"/>
          <w:lang w:val="ru-RU" w:eastAsia="ru-RU"/>
        </w:rPr>
        <w:t xml:space="preserve">                                                                                                                            </w:t>
      </w:r>
      <w:r>
        <w:rPr>
          <w:b/>
          <w:sz w:val="24"/>
          <w:szCs w:val="24"/>
          <w:lang w:val="ru-RU" w:eastAsia="ru-RU"/>
        </w:rPr>
        <w:t xml:space="preserve">к Договору № </w:t>
      </w:r>
    </w:p>
    <w:p>
      <w:pPr>
        <w:pStyle w:val="BodyTextIndent3"/>
        <w:ind w:hanging="0" w:start="0"/>
        <w:jc w:val="end"/>
        <w:rPr>
          <w:sz w:val="24"/>
          <w:szCs w:val="24"/>
        </w:rPr>
      </w:pPr>
      <w:r>
        <w:rPr>
          <w:sz w:val="24"/>
          <w:szCs w:val="24"/>
        </w:rPr>
        <w:t>от   «__»  ______ 2026 г.</w:t>
      </w:r>
    </w:p>
    <w:p>
      <w:pPr>
        <w:pStyle w:val="Normal"/>
        <w:numPr>
          <w:ilvl w:val="0"/>
          <w:numId w:val="0"/>
        </w:numPr>
        <w:ind w:start="567" w:end="300"/>
        <w:jc w:val="end"/>
        <w:outlineLvl w:val="0"/>
        <w:rPr>
          <w:b/>
          <w:sz w:val="24"/>
          <w:szCs w:val="24"/>
          <w:lang w:val="ru-RU" w:eastAsia="ru-RU"/>
        </w:rPr>
      </w:pPr>
      <w:r>
        <w:rPr>
          <w:b/>
          <w:sz w:val="24"/>
          <w:szCs w:val="24"/>
          <w:lang w:val="ru-RU" w:eastAsia="ru-RU"/>
        </w:rPr>
      </w:r>
    </w:p>
    <w:p>
      <w:pPr>
        <w:pStyle w:val="Normal"/>
        <w:numPr>
          <w:ilvl w:val="0"/>
          <w:numId w:val="0"/>
        </w:numPr>
        <w:ind w:start="567" w:end="300"/>
        <w:jc w:val="center"/>
        <w:outlineLvl w:val="0"/>
        <w:rPr>
          <w:sz w:val="24"/>
          <w:szCs w:val="24"/>
        </w:rPr>
      </w:pPr>
      <w:r>
        <w:rPr>
          <w:sz w:val="24"/>
          <w:szCs w:val="24"/>
          <w:lang w:val="ru-RU" w:eastAsia="ru-RU"/>
        </w:rPr>
        <w:t xml:space="preserve">Расчет стоимости по ремонту и техническому обслуживанию </w:t>
      </w:r>
    </w:p>
    <w:p>
      <w:pPr>
        <w:pStyle w:val="Normal"/>
        <w:numPr>
          <w:ilvl w:val="0"/>
          <w:numId w:val="0"/>
        </w:numPr>
        <w:ind w:start="567" w:end="300"/>
        <w:jc w:val="center"/>
        <w:outlineLvl w:val="0"/>
        <w:rPr>
          <w:sz w:val="24"/>
          <w:szCs w:val="24"/>
        </w:rPr>
      </w:pPr>
      <w:r>
        <w:rPr>
          <w:sz w:val="24"/>
          <w:szCs w:val="24"/>
          <w:lang w:val="ru-RU" w:eastAsia="ru-RU"/>
        </w:rPr>
        <w:t xml:space="preserve">автомобиля Сяськелевского территориального управления Тойота </w:t>
      </w:r>
      <w:r>
        <w:rPr>
          <w:sz w:val="24"/>
          <w:szCs w:val="24"/>
          <w:lang w:eastAsia="ru-RU"/>
        </w:rPr>
        <w:t>RAV</w:t>
      </w:r>
      <w:r>
        <w:rPr>
          <w:sz w:val="24"/>
          <w:szCs w:val="24"/>
          <w:lang w:val="ru-RU" w:eastAsia="ru-RU"/>
        </w:rPr>
        <w:t xml:space="preserve"> 4</w:t>
      </w:r>
    </w:p>
    <w:p>
      <w:pPr>
        <w:pStyle w:val="Normal"/>
        <w:numPr>
          <w:ilvl w:val="0"/>
          <w:numId w:val="0"/>
        </w:numPr>
        <w:ind w:start="567" w:end="300"/>
        <w:jc w:val="center"/>
        <w:outlineLvl w:val="0"/>
        <w:rPr>
          <w:sz w:val="24"/>
          <w:szCs w:val="24"/>
        </w:rPr>
      </w:pPr>
      <w:r>
        <w:rPr>
          <w:sz w:val="24"/>
          <w:szCs w:val="24"/>
          <w:lang w:val="ru-RU" w:eastAsia="ru-RU"/>
        </w:rPr>
        <w:t xml:space="preserve"> </w:t>
      </w:r>
      <w:r>
        <w:rPr>
          <w:sz w:val="24"/>
          <w:szCs w:val="24"/>
          <w:lang w:val="ru-RU" w:eastAsia="ru-RU"/>
        </w:rPr>
        <w:t>(гос. рег. № В</w:t>
      </w:r>
      <w:r>
        <w:rPr>
          <w:sz w:val="24"/>
          <w:szCs w:val="24"/>
          <w:lang w:eastAsia="ru-RU"/>
        </w:rPr>
        <w:t xml:space="preserve"> </w:t>
      </w:r>
      <w:r>
        <w:rPr>
          <w:sz w:val="24"/>
          <w:szCs w:val="24"/>
          <w:lang w:val="ru-RU" w:eastAsia="ru-RU"/>
        </w:rPr>
        <w:t>590</w:t>
      </w:r>
      <w:r>
        <w:rPr>
          <w:sz w:val="24"/>
          <w:szCs w:val="24"/>
          <w:lang w:eastAsia="ru-RU"/>
        </w:rPr>
        <w:t xml:space="preserve"> </w:t>
      </w:r>
      <w:r>
        <w:rPr>
          <w:sz w:val="24"/>
          <w:szCs w:val="24"/>
          <w:lang w:val="ru-RU" w:eastAsia="ru-RU"/>
        </w:rPr>
        <w:t>СА</w:t>
      </w:r>
      <w:r>
        <w:rPr>
          <w:sz w:val="24"/>
          <w:szCs w:val="24"/>
          <w:lang w:eastAsia="ru-RU"/>
        </w:rPr>
        <w:t xml:space="preserve"> </w:t>
      </w:r>
      <w:r>
        <w:rPr>
          <w:sz w:val="24"/>
          <w:szCs w:val="24"/>
          <w:lang w:val="ru-RU" w:eastAsia="ru-RU"/>
        </w:rPr>
        <w:t>47)</w:t>
      </w:r>
    </w:p>
    <w:tbl>
      <w:tblPr>
        <w:tblStyle w:val="aff6"/>
        <w:tblW w:w="10545" w:type="dxa"/>
        <w:jc w:val="start"/>
        <w:tblInd w:w="-714" w:type="dxa"/>
        <w:tblLayout w:type="fixed"/>
        <w:tblCellMar>
          <w:top w:w="0" w:type="dxa"/>
          <w:start w:w="108" w:type="dxa"/>
          <w:bottom w:w="0" w:type="dxa"/>
          <w:end w:w="108" w:type="dxa"/>
        </w:tblCellMar>
        <w:tblLook w:val="04a0" w:firstRow="1" w:noVBand="1" w:lastRow="0" w:firstColumn="1" w:lastColumn="0" w:noHBand="0"/>
      </w:tblPr>
      <w:tblGrid>
        <w:gridCol w:w="532"/>
        <w:gridCol w:w="4895"/>
        <w:gridCol w:w="1199"/>
        <w:gridCol w:w="904"/>
        <w:gridCol w:w="1471"/>
        <w:gridCol w:w="1544"/>
      </w:tblGrid>
      <w:tr>
        <w:trPr>
          <w:trHeight w:val="782" w:hRule="atLeast"/>
        </w:trPr>
        <w:tc>
          <w:tcPr>
            <w:tcW w:w="532" w:type="dxa"/>
            <w:tcBorders/>
            <w:vAlign w:val="center"/>
          </w:tcPr>
          <w:p>
            <w:pPr>
              <w:pStyle w:val="Normal"/>
              <w:widowControl/>
              <w:numPr>
                <w:ilvl w:val="0"/>
                <w:numId w:val="0"/>
              </w:numPr>
              <w:suppressAutoHyphens w:val="true"/>
              <w:spacing w:before="0" w:after="0"/>
              <w:ind w:end="283"/>
              <w:jc w:val="center"/>
              <w:outlineLvl w:val="0"/>
              <w:rPr>
                <w:sz w:val="24"/>
                <w:szCs w:val="24"/>
                <w:lang w:eastAsia="ru-RU" w:bidi="ar-SA"/>
              </w:rPr>
            </w:pPr>
            <w:r>
              <w:rPr>
                <w:sz w:val="24"/>
                <w:szCs w:val="24"/>
                <w:lang w:val="ru-RU" w:eastAsia="ru-RU" w:bidi="ar-SA"/>
              </w:rPr>
              <w:t>№</w:t>
            </w:r>
          </w:p>
          <w:p>
            <w:pPr>
              <w:pStyle w:val="Normal"/>
              <w:widowControl/>
              <w:numPr>
                <w:ilvl w:val="0"/>
                <w:numId w:val="0"/>
              </w:numPr>
              <w:suppressAutoHyphens w:val="true"/>
              <w:spacing w:before="0" w:after="0"/>
              <w:ind w:start="-113" w:end="57"/>
              <w:jc w:val="center"/>
              <w:outlineLvl w:val="0"/>
              <w:rPr>
                <w:sz w:val="24"/>
                <w:szCs w:val="24"/>
                <w:lang w:eastAsia="ru-RU" w:bidi="ar-SA"/>
              </w:rPr>
            </w:pPr>
            <w:r>
              <w:rPr>
                <w:sz w:val="24"/>
                <w:szCs w:val="24"/>
                <w:lang w:val="ru-RU" w:eastAsia="ru-RU" w:bidi="ar-SA"/>
              </w:rPr>
              <w:t>п/п</w:t>
            </w:r>
          </w:p>
        </w:tc>
        <w:tc>
          <w:tcPr>
            <w:tcW w:w="4895" w:type="dxa"/>
            <w:tcBorders/>
            <w:vAlign w:val="center"/>
          </w:tcPr>
          <w:p>
            <w:pPr>
              <w:pStyle w:val="Normal"/>
              <w:widowControl/>
              <w:numPr>
                <w:ilvl w:val="0"/>
                <w:numId w:val="0"/>
              </w:numPr>
              <w:suppressAutoHyphens w:val="true"/>
              <w:spacing w:before="0" w:after="0"/>
              <w:ind w:end="283"/>
              <w:jc w:val="center"/>
              <w:outlineLvl w:val="0"/>
              <w:rPr>
                <w:sz w:val="24"/>
                <w:szCs w:val="24"/>
                <w:lang w:eastAsia="ru-RU" w:bidi="ar-SA"/>
              </w:rPr>
            </w:pPr>
            <w:r>
              <w:rPr>
                <w:sz w:val="24"/>
                <w:szCs w:val="24"/>
                <w:lang w:val="ru-RU" w:eastAsia="ru-RU" w:bidi="ar-SA"/>
              </w:rPr>
              <w:t>Наименование работ</w:t>
            </w:r>
          </w:p>
        </w:tc>
        <w:tc>
          <w:tcPr>
            <w:tcW w:w="1199" w:type="dxa"/>
            <w:tcBorders/>
            <w:vAlign w:val="center"/>
          </w:tcPr>
          <w:p>
            <w:pPr>
              <w:pStyle w:val="Normal"/>
              <w:widowControl/>
              <w:numPr>
                <w:ilvl w:val="0"/>
                <w:numId w:val="0"/>
              </w:numPr>
              <w:suppressAutoHyphens w:val="true"/>
              <w:spacing w:before="0" w:after="0"/>
              <w:ind w:end="283"/>
              <w:jc w:val="center"/>
              <w:outlineLvl w:val="0"/>
              <w:rPr>
                <w:sz w:val="24"/>
                <w:szCs w:val="24"/>
                <w:lang w:eastAsia="ru-RU" w:bidi="ar-SA"/>
              </w:rPr>
            </w:pPr>
            <w:r>
              <w:rPr>
                <w:sz w:val="24"/>
                <w:szCs w:val="24"/>
                <w:lang w:val="ru-RU" w:eastAsia="ru-RU" w:bidi="ar-SA"/>
              </w:rPr>
              <w:t>Ед.</w:t>
            </w:r>
          </w:p>
          <w:p>
            <w:pPr>
              <w:pStyle w:val="Normal"/>
              <w:widowControl/>
              <w:numPr>
                <w:ilvl w:val="0"/>
                <w:numId w:val="0"/>
              </w:numPr>
              <w:suppressAutoHyphens w:val="true"/>
              <w:spacing w:before="0" w:after="0"/>
              <w:ind w:end="283"/>
              <w:jc w:val="center"/>
              <w:outlineLvl w:val="0"/>
              <w:rPr>
                <w:sz w:val="24"/>
                <w:szCs w:val="24"/>
                <w:lang w:eastAsia="ru-RU" w:bidi="ar-SA"/>
              </w:rPr>
            </w:pPr>
            <w:r>
              <w:rPr>
                <w:sz w:val="24"/>
                <w:szCs w:val="24"/>
                <w:lang w:val="ru-RU" w:eastAsia="ru-RU" w:bidi="ar-SA"/>
              </w:rPr>
              <w:t>измерения</w:t>
            </w:r>
          </w:p>
        </w:tc>
        <w:tc>
          <w:tcPr>
            <w:tcW w:w="904" w:type="dxa"/>
            <w:tcBorders/>
            <w:vAlign w:val="center"/>
          </w:tcPr>
          <w:p>
            <w:pPr>
              <w:pStyle w:val="Normal"/>
              <w:widowControl/>
              <w:numPr>
                <w:ilvl w:val="0"/>
                <w:numId w:val="0"/>
              </w:numPr>
              <w:suppressAutoHyphens w:val="true"/>
              <w:spacing w:before="0" w:after="0"/>
              <w:ind w:end="283"/>
              <w:jc w:val="center"/>
              <w:outlineLvl w:val="0"/>
              <w:rPr>
                <w:sz w:val="24"/>
                <w:szCs w:val="24"/>
                <w:lang w:eastAsia="ru-RU" w:bidi="ar-SA"/>
              </w:rPr>
            </w:pPr>
            <w:r>
              <w:rPr>
                <w:sz w:val="24"/>
                <w:szCs w:val="24"/>
                <w:lang w:val="ru-RU" w:eastAsia="ru-RU" w:bidi="ar-SA"/>
              </w:rPr>
              <w:t>Кол-во</w:t>
            </w:r>
          </w:p>
        </w:tc>
        <w:tc>
          <w:tcPr>
            <w:tcW w:w="1471" w:type="dxa"/>
            <w:tcBorders/>
            <w:vAlign w:val="center"/>
          </w:tcPr>
          <w:p>
            <w:pPr>
              <w:pStyle w:val="Normal"/>
              <w:widowControl/>
              <w:numPr>
                <w:ilvl w:val="0"/>
                <w:numId w:val="0"/>
              </w:numPr>
              <w:suppressAutoHyphens w:val="true"/>
              <w:spacing w:before="0" w:after="0"/>
              <w:ind w:start="113" w:end="57"/>
              <w:jc w:val="center"/>
              <w:outlineLvl w:val="0"/>
              <w:rPr>
                <w:sz w:val="24"/>
                <w:szCs w:val="24"/>
                <w:lang w:eastAsia="ru-RU" w:bidi="ar-SA"/>
              </w:rPr>
            </w:pPr>
            <w:r>
              <w:rPr>
                <w:sz w:val="24"/>
                <w:szCs w:val="24"/>
                <w:lang w:val="ru-RU" w:eastAsia="ru-RU" w:bidi="ar-SA"/>
              </w:rPr>
              <w:t>Цена, руб.</w:t>
            </w:r>
          </w:p>
        </w:tc>
        <w:tc>
          <w:tcPr>
            <w:tcW w:w="1544" w:type="dxa"/>
            <w:tcBorders/>
            <w:vAlign w:val="center"/>
          </w:tcPr>
          <w:p>
            <w:pPr>
              <w:pStyle w:val="Normal"/>
              <w:widowControl/>
              <w:numPr>
                <w:ilvl w:val="0"/>
                <w:numId w:val="0"/>
              </w:numPr>
              <w:suppressAutoHyphens w:val="true"/>
              <w:spacing w:before="0" w:after="0"/>
              <w:ind w:start="170" w:end="113"/>
              <w:jc w:val="center"/>
              <w:outlineLvl w:val="0"/>
              <w:rPr>
                <w:sz w:val="24"/>
                <w:szCs w:val="24"/>
                <w:lang w:eastAsia="ru-RU" w:bidi="ar-SA"/>
              </w:rPr>
            </w:pPr>
            <w:r>
              <w:rPr>
                <w:sz w:val="24"/>
                <w:szCs w:val="24"/>
                <w:lang w:val="ru-RU" w:eastAsia="ru-RU" w:bidi="ar-SA"/>
              </w:rPr>
              <w:t>Сумма, руб.</w:t>
            </w:r>
          </w:p>
        </w:tc>
      </w:tr>
      <w:tr>
        <w:trPr>
          <w:trHeight w:val="333" w:hRule="atLeast"/>
        </w:trPr>
        <w:tc>
          <w:tcPr>
            <w:tcW w:w="532" w:type="dxa"/>
            <w:tcBorders/>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1</w:t>
            </w:r>
          </w:p>
        </w:tc>
        <w:tc>
          <w:tcPr>
            <w:tcW w:w="10013" w:type="dxa"/>
            <w:gridSpan w:val="5"/>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 xml:space="preserve">Ремонт и техническое обслуживание Тойота </w:t>
            </w:r>
            <w:r>
              <w:rPr>
                <w:sz w:val="24"/>
                <w:szCs w:val="24"/>
                <w:lang w:eastAsia="ru-RU" w:bidi="ar-SA"/>
              </w:rPr>
              <w:t>RAV</w:t>
            </w:r>
            <w:r>
              <w:rPr>
                <w:sz w:val="24"/>
                <w:szCs w:val="24"/>
                <w:lang w:val="ru-RU" w:eastAsia="ru-RU" w:bidi="ar-SA"/>
              </w:rPr>
              <w:t>4 (гос. рег. № В590СА47):</w:t>
            </w:r>
          </w:p>
        </w:tc>
      </w:tr>
      <w:tr>
        <w:trPr>
          <w:trHeight w:val="731" w:hRule="atLeast"/>
        </w:trPr>
        <w:tc>
          <w:tcPr>
            <w:tcW w:w="532" w:type="dxa"/>
            <w:tcBorders/>
          </w:tcPr>
          <w:p>
            <w:pPr>
              <w:pStyle w:val="Normal"/>
              <w:widowControl/>
              <w:numPr>
                <w:ilvl w:val="0"/>
                <w:numId w:val="0"/>
              </w:numPr>
              <w:suppressAutoHyphens w:val="true"/>
              <w:spacing w:before="0" w:after="0"/>
              <w:ind w:start="-57" w:end="57"/>
              <w:jc w:val="center"/>
              <w:outlineLvl w:val="0"/>
              <w:rPr>
                <w:sz w:val="24"/>
                <w:szCs w:val="24"/>
                <w:lang w:eastAsia="ru-RU" w:bidi="ar-SA"/>
              </w:rPr>
            </w:pPr>
            <w:r>
              <w:rPr>
                <w:sz w:val="24"/>
                <w:szCs w:val="24"/>
                <w:lang w:val="ru-RU" w:eastAsia="ru-RU" w:bidi="ar-SA"/>
              </w:rPr>
              <w:t>1.1</w:t>
            </w:r>
          </w:p>
        </w:tc>
        <w:tc>
          <w:tcPr>
            <w:tcW w:w="4895" w:type="dxa"/>
            <w:tcBorders/>
            <w:vAlign w:val="center"/>
          </w:tcPr>
          <w:p>
            <w:pPr>
              <w:pStyle w:val="Normal"/>
              <w:widowControl/>
              <w:numPr>
                <w:ilvl w:val="0"/>
                <w:numId w:val="0"/>
              </w:numPr>
              <w:suppressAutoHyphens w:val="true"/>
              <w:spacing w:before="0" w:after="0"/>
              <w:ind w:end="300"/>
              <w:jc w:val="both"/>
              <w:outlineLvl w:val="0"/>
              <w:rPr>
                <w:sz w:val="24"/>
                <w:szCs w:val="24"/>
                <w:lang w:eastAsia="ru-RU" w:bidi="ar-SA"/>
              </w:rPr>
            </w:pPr>
            <w:r>
              <w:rPr>
                <w:sz w:val="24"/>
                <w:szCs w:val="24"/>
                <w:lang w:val="ru-RU" w:eastAsia="ru-RU" w:bidi="ar-SA"/>
              </w:rPr>
              <w:t>Ремонт глушителя, ремонт подвеса глушителя, замена лампы переднего левого габаритного огня</w:t>
            </w:r>
          </w:p>
        </w:tc>
        <w:tc>
          <w:tcPr>
            <w:tcW w:w="1199" w:type="dxa"/>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Час</w:t>
            </w:r>
          </w:p>
        </w:tc>
        <w:tc>
          <w:tcPr>
            <w:tcW w:w="904" w:type="dxa"/>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3,7</w:t>
            </w:r>
          </w:p>
        </w:tc>
        <w:tc>
          <w:tcPr>
            <w:tcW w:w="1471" w:type="dxa"/>
            <w:tcBorders/>
            <w:vAlign w:val="center"/>
          </w:tcPr>
          <w:p>
            <w:pPr>
              <w:pStyle w:val="Normal"/>
              <w:widowControl/>
              <w:numPr>
                <w:ilvl w:val="0"/>
                <w:numId w:val="0"/>
              </w:numPr>
              <w:suppressAutoHyphens w:val="true"/>
              <w:spacing w:before="0" w:after="0"/>
              <w:ind w:start="113" w:end="113"/>
              <w:jc w:val="center"/>
              <w:outlineLvl w:val="0"/>
              <w:rPr>
                <w:sz w:val="24"/>
                <w:szCs w:val="24"/>
                <w:lang w:eastAsia="ru-RU" w:bidi="ar-SA"/>
              </w:rPr>
            </w:pPr>
            <w:r>
              <w:rPr>
                <w:sz w:val="24"/>
                <w:szCs w:val="24"/>
                <w:lang w:val="ru-RU" w:eastAsia="ru-RU" w:bidi="ar-SA"/>
              </w:rPr>
              <w:t>2 200,00</w:t>
            </w:r>
          </w:p>
        </w:tc>
        <w:tc>
          <w:tcPr>
            <w:tcW w:w="1544" w:type="dxa"/>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8 140,00</w:t>
            </w:r>
          </w:p>
        </w:tc>
      </w:tr>
      <w:tr>
        <w:trPr>
          <w:trHeight w:val="203" w:hRule="atLeast"/>
        </w:trPr>
        <w:tc>
          <w:tcPr>
            <w:tcW w:w="532" w:type="dxa"/>
            <w:tcBorders/>
          </w:tcPr>
          <w:p>
            <w:pPr>
              <w:pStyle w:val="Normal"/>
              <w:widowControl/>
              <w:numPr>
                <w:ilvl w:val="0"/>
                <w:numId w:val="0"/>
              </w:numPr>
              <w:suppressAutoHyphens w:val="true"/>
              <w:spacing w:before="0" w:after="0"/>
              <w:ind w:start="-113"/>
              <w:jc w:val="center"/>
              <w:outlineLvl w:val="0"/>
              <w:rPr>
                <w:sz w:val="24"/>
                <w:szCs w:val="24"/>
                <w:lang w:eastAsia="ru-RU" w:bidi="ar-SA"/>
              </w:rPr>
            </w:pPr>
            <w:r>
              <w:rPr>
                <w:sz w:val="24"/>
                <w:szCs w:val="24"/>
                <w:lang w:val="ru-RU" w:eastAsia="ru-RU" w:bidi="ar-SA"/>
              </w:rPr>
              <w:t>1.2</w:t>
            </w:r>
          </w:p>
        </w:tc>
        <w:tc>
          <w:tcPr>
            <w:tcW w:w="4895" w:type="dxa"/>
            <w:tcBorders>
              <w:top w:val="nil"/>
              <w:end w:val="nil"/>
            </w:tcBorders>
            <w:vAlign w:val="center"/>
          </w:tcPr>
          <w:p>
            <w:pPr>
              <w:pStyle w:val="Normal"/>
              <w:widowControl/>
              <w:numPr>
                <w:ilvl w:val="0"/>
                <w:numId w:val="0"/>
              </w:numPr>
              <w:suppressAutoHyphens w:val="true"/>
              <w:spacing w:before="0" w:after="0"/>
              <w:ind w:end="300"/>
              <w:jc w:val="both"/>
              <w:outlineLvl w:val="0"/>
              <w:rPr>
                <w:sz w:val="24"/>
                <w:szCs w:val="24"/>
                <w:lang w:eastAsia="ru-RU" w:bidi="ar-SA"/>
              </w:rPr>
            </w:pPr>
            <w:r>
              <w:rPr>
                <w:sz w:val="24"/>
                <w:szCs w:val="24"/>
                <w:lang w:val="ru-RU" w:eastAsia="ru-RU" w:bidi="ar-SA"/>
              </w:rPr>
              <w:t>Консистентные смазки, вспомогательные жидкости</w:t>
            </w:r>
          </w:p>
        </w:tc>
        <w:tc>
          <w:tcPr>
            <w:tcW w:w="1199" w:type="dxa"/>
            <w:tcBorders>
              <w:top w:val="nil"/>
              <w:end w:val="nil"/>
            </w:tcBorders>
            <w:vAlign w:val="center"/>
          </w:tcPr>
          <w:p>
            <w:pPr>
              <w:pStyle w:val="Normal"/>
              <w:widowControl/>
              <w:suppressAutoHyphens w:val="true"/>
              <w:spacing w:before="0" w:after="0"/>
              <w:jc w:val="center"/>
              <w:rPr>
                <w:sz w:val="24"/>
                <w:szCs w:val="24"/>
                <w:lang w:eastAsia="ru-RU" w:bidi="ar-SA"/>
              </w:rPr>
            </w:pPr>
            <w:r>
              <w:rPr>
                <w:sz w:val="24"/>
                <w:szCs w:val="24"/>
                <w:lang w:val="ru-RU" w:eastAsia="ru-RU" w:bidi="ar-SA"/>
              </w:rPr>
              <w:t>Л.</w:t>
            </w:r>
          </w:p>
        </w:tc>
        <w:tc>
          <w:tcPr>
            <w:tcW w:w="904" w:type="dxa"/>
            <w:tcBorders>
              <w:top w:val="nil"/>
              <w:end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0,1</w:t>
            </w:r>
          </w:p>
        </w:tc>
        <w:tc>
          <w:tcPr>
            <w:tcW w:w="1471" w:type="dxa"/>
            <w:tcBorders>
              <w:top w:val="nil"/>
              <w:end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 xml:space="preserve"> </w:t>
            </w:r>
            <w:r>
              <w:rPr>
                <w:sz w:val="24"/>
                <w:szCs w:val="24"/>
                <w:lang w:val="ru-RU" w:eastAsia="ru-RU" w:bidi="ar-SA"/>
              </w:rPr>
              <w:t>1 000,00</w:t>
            </w:r>
          </w:p>
        </w:tc>
        <w:tc>
          <w:tcPr>
            <w:tcW w:w="1544" w:type="dxa"/>
            <w:tcBorders>
              <w:top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100,00</w:t>
            </w:r>
          </w:p>
        </w:tc>
      </w:tr>
      <w:tr>
        <w:trPr>
          <w:trHeight w:val="203" w:hRule="atLeast"/>
        </w:trPr>
        <w:tc>
          <w:tcPr>
            <w:tcW w:w="532" w:type="dxa"/>
            <w:tcBorders/>
          </w:tcPr>
          <w:p>
            <w:pPr>
              <w:pStyle w:val="Normal"/>
              <w:widowControl/>
              <w:numPr>
                <w:ilvl w:val="0"/>
                <w:numId w:val="0"/>
              </w:numPr>
              <w:suppressAutoHyphens w:val="true"/>
              <w:spacing w:before="0" w:after="0"/>
              <w:ind w:start="-113"/>
              <w:jc w:val="center"/>
              <w:outlineLvl w:val="0"/>
              <w:rPr>
                <w:sz w:val="24"/>
                <w:szCs w:val="24"/>
                <w:lang w:eastAsia="ru-RU" w:bidi="ar-SA"/>
              </w:rPr>
            </w:pPr>
            <w:r>
              <w:rPr>
                <w:sz w:val="24"/>
                <w:szCs w:val="24"/>
                <w:lang w:val="ru-RU" w:eastAsia="ru-RU" w:bidi="ar-SA"/>
              </w:rPr>
              <w:t>1.3</w:t>
            </w:r>
          </w:p>
        </w:tc>
        <w:tc>
          <w:tcPr>
            <w:tcW w:w="4895" w:type="dxa"/>
            <w:tcBorders>
              <w:top w:val="nil"/>
              <w:end w:val="nil"/>
            </w:tcBorders>
            <w:vAlign w:val="center"/>
          </w:tcPr>
          <w:p>
            <w:pPr>
              <w:pStyle w:val="Normal"/>
              <w:widowControl/>
              <w:numPr>
                <w:ilvl w:val="0"/>
                <w:numId w:val="0"/>
              </w:numPr>
              <w:suppressAutoHyphens w:val="true"/>
              <w:spacing w:before="0" w:after="0"/>
              <w:ind w:end="300"/>
              <w:jc w:val="both"/>
              <w:outlineLvl w:val="0"/>
              <w:rPr>
                <w:sz w:val="24"/>
                <w:szCs w:val="24"/>
                <w:lang w:eastAsia="ru-RU" w:bidi="ar-SA"/>
              </w:rPr>
            </w:pPr>
            <w:r>
              <w:rPr>
                <w:sz w:val="24"/>
                <w:szCs w:val="24"/>
                <w:lang w:val="ru-RU" w:eastAsia="ru-RU" w:bidi="ar-SA"/>
              </w:rPr>
              <w:t>Глушитель (задняя часть)</w:t>
            </w:r>
          </w:p>
        </w:tc>
        <w:tc>
          <w:tcPr>
            <w:tcW w:w="1199" w:type="dxa"/>
            <w:tcBorders>
              <w:top w:val="nil"/>
              <w:end w:val="nil"/>
            </w:tcBorders>
            <w:vAlign w:val="center"/>
          </w:tcPr>
          <w:p>
            <w:pPr>
              <w:pStyle w:val="Normal"/>
              <w:widowControl/>
              <w:suppressAutoHyphens w:val="true"/>
              <w:spacing w:before="0" w:after="0"/>
              <w:jc w:val="center"/>
              <w:rPr>
                <w:sz w:val="24"/>
                <w:szCs w:val="24"/>
                <w:lang w:eastAsia="ru-RU" w:bidi="ar-SA"/>
              </w:rPr>
            </w:pPr>
            <w:r>
              <w:rPr>
                <w:sz w:val="24"/>
                <w:szCs w:val="24"/>
                <w:lang w:val="ru-RU" w:eastAsia="ru-RU" w:bidi="ar-SA"/>
              </w:rPr>
              <w:t>Шт.</w:t>
            </w:r>
          </w:p>
        </w:tc>
        <w:tc>
          <w:tcPr>
            <w:tcW w:w="904" w:type="dxa"/>
            <w:tcBorders>
              <w:top w:val="nil"/>
              <w:end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1</w:t>
            </w:r>
          </w:p>
        </w:tc>
        <w:tc>
          <w:tcPr>
            <w:tcW w:w="1471" w:type="dxa"/>
            <w:tcBorders>
              <w:top w:val="nil"/>
              <w:end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5 175,00</w:t>
            </w:r>
          </w:p>
        </w:tc>
        <w:tc>
          <w:tcPr>
            <w:tcW w:w="1544" w:type="dxa"/>
            <w:tcBorders>
              <w:top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5 175,00</w:t>
            </w:r>
          </w:p>
        </w:tc>
      </w:tr>
      <w:tr>
        <w:trPr>
          <w:trHeight w:val="237" w:hRule="atLeast"/>
        </w:trPr>
        <w:tc>
          <w:tcPr>
            <w:tcW w:w="532" w:type="dxa"/>
            <w:tcBorders/>
          </w:tcPr>
          <w:p>
            <w:pPr>
              <w:pStyle w:val="Normal"/>
              <w:widowControl/>
              <w:numPr>
                <w:ilvl w:val="0"/>
                <w:numId w:val="0"/>
              </w:numPr>
              <w:suppressAutoHyphens w:val="true"/>
              <w:spacing w:before="0" w:after="0"/>
              <w:ind w:start="-113"/>
              <w:jc w:val="center"/>
              <w:outlineLvl w:val="0"/>
              <w:rPr>
                <w:sz w:val="24"/>
                <w:szCs w:val="24"/>
                <w:lang w:eastAsia="ru-RU" w:bidi="ar-SA"/>
              </w:rPr>
            </w:pPr>
            <w:r>
              <w:rPr>
                <w:sz w:val="24"/>
                <w:szCs w:val="24"/>
                <w:lang w:val="ru-RU" w:eastAsia="ru-RU" w:bidi="ar-SA"/>
              </w:rPr>
              <w:t>1.4</w:t>
            </w:r>
          </w:p>
        </w:tc>
        <w:tc>
          <w:tcPr>
            <w:tcW w:w="4895" w:type="dxa"/>
            <w:tcBorders>
              <w:top w:val="nil"/>
              <w:end w:val="nil"/>
            </w:tcBorders>
            <w:vAlign w:val="center"/>
          </w:tcPr>
          <w:p>
            <w:pPr>
              <w:pStyle w:val="Normal"/>
              <w:widowControl/>
              <w:numPr>
                <w:ilvl w:val="0"/>
                <w:numId w:val="0"/>
              </w:numPr>
              <w:suppressAutoHyphens w:val="true"/>
              <w:spacing w:before="0" w:after="0"/>
              <w:ind w:end="300"/>
              <w:jc w:val="both"/>
              <w:outlineLvl w:val="0"/>
              <w:rPr>
                <w:sz w:val="24"/>
                <w:szCs w:val="24"/>
                <w:lang w:eastAsia="ru-RU" w:bidi="ar-SA"/>
              </w:rPr>
            </w:pPr>
            <w:r>
              <w:rPr>
                <w:sz w:val="24"/>
                <w:szCs w:val="24"/>
                <w:lang w:val="ru-RU" w:eastAsia="ru-RU" w:bidi="ar-SA"/>
              </w:rPr>
              <w:t xml:space="preserve">Лампа </w:t>
            </w:r>
            <w:r>
              <w:rPr>
                <w:sz w:val="24"/>
                <w:szCs w:val="24"/>
                <w:lang w:eastAsia="ru-RU" w:bidi="ar-SA"/>
              </w:rPr>
              <w:t>W5W</w:t>
            </w:r>
          </w:p>
        </w:tc>
        <w:tc>
          <w:tcPr>
            <w:tcW w:w="1199" w:type="dxa"/>
            <w:tcBorders>
              <w:top w:val="nil"/>
              <w:end w:val="nil"/>
            </w:tcBorders>
            <w:vAlign w:val="center"/>
          </w:tcPr>
          <w:p>
            <w:pPr>
              <w:pStyle w:val="Normal"/>
              <w:widowControl/>
              <w:suppressAutoHyphens w:val="true"/>
              <w:spacing w:before="0" w:after="0"/>
              <w:jc w:val="center"/>
              <w:rPr>
                <w:sz w:val="24"/>
                <w:szCs w:val="24"/>
                <w:lang w:eastAsia="ru-RU" w:bidi="ar-SA"/>
              </w:rPr>
            </w:pPr>
            <w:r>
              <w:rPr>
                <w:sz w:val="24"/>
                <w:szCs w:val="24"/>
                <w:lang w:val="ru-RU" w:eastAsia="ru-RU" w:bidi="ar-SA"/>
              </w:rPr>
              <w:t>Шт.</w:t>
            </w:r>
          </w:p>
        </w:tc>
        <w:tc>
          <w:tcPr>
            <w:tcW w:w="904" w:type="dxa"/>
            <w:tcBorders>
              <w:top w:val="nil"/>
              <w:end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1</w:t>
            </w:r>
          </w:p>
        </w:tc>
        <w:tc>
          <w:tcPr>
            <w:tcW w:w="1471" w:type="dxa"/>
            <w:tcBorders>
              <w:top w:val="nil"/>
              <w:end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 xml:space="preserve">     </w:t>
            </w:r>
            <w:r>
              <w:rPr>
                <w:sz w:val="24"/>
                <w:szCs w:val="24"/>
                <w:lang w:eastAsia="ru-RU" w:bidi="ar-SA"/>
              </w:rPr>
              <w:t>40</w:t>
            </w:r>
            <w:r>
              <w:rPr>
                <w:sz w:val="24"/>
                <w:szCs w:val="24"/>
                <w:lang w:val="ru-RU" w:eastAsia="ru-RU" w:bidi="ar-SA"/>
              </w:rPr>
              <w:t>,</w:t>
            </w:r>
            <w:r>
              <w:rPr>
                <w:sz w:val="24"/>
                <w:szCs w:val="24"/>
                <w:lang w:eastAsia="ru-RU" w:bidi="ar-SA"/>
              </w:rPr>
              <w:t>00</w:t>
            </w:r>
          </w:p>
        </w:tc>
        <w:tc>
          <w:tcPr>
            <w:tcW w:w="1544" w:type="dxa"/>
            <w:tcBorders>
              <w:top w:val="nil"/>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sz w:val="24"/>
                <w:szCs w:val="24"/>
                <w:lang w:val="ru-RU" w:eastAsia="ru-RU" w:bidi="ar-SA"/>
              </w:rPr>
              <w:t xml:space="preserve">     </w:t>
            </w:r>
            <w:r>
              <w:rPr>
                <w:sz w:val="24"/>
                <w:szCs w:val="24"/>
                <w:lang w:val="ru-RU" w:eastAsia="ru-RU" w:bidi="ar-SA"/>
              </w:rPr>
              <w:t>40,00</w:t>
            </w:r>
          </w:p>
        </w:tc>
      </w:tr>
      <w:tr>
        <w:trPr>
          <w:trHeight w:val="234" w:hRule="atLeast"/>
        </w:trPr>
        <w:tc>
          <w:tcPr>
            <w:tcW w:w="9001" w:type="dxa"/>
            <w:gridSpan w:val="5"/>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b/>
                <w:bCs/>
                <w:sz w:val="24"/>
                <w:szCs w:val="24"/>
                <w:lang w:val="ru-RU" w:eastAsia="ru-RU" w:bidi="ar-SA"/>
              </w:rPr>
              <w:t>ИТОГО</w:t>
            </w:r>
          </w:p>
        </w:tc>
        <w:tc>
          <w:tcPr>
            <w:tcW w:w="1544" w:type="dxa"/>
            <w:tcBorders/>
            <w:vAlign w:val="center"/>
          </w:tcPr>
          <w:p>
            <w:pPr>
              <w:pStyle w:val="Normal"/>
              <w:widowControl/>
              <w:numPr>
                <w:ilvl w:val="0"/>
                <w:numId w:val="0"/>
              </w:numPr>
              <w:suppressAutoHyphens w:val="true"/>
              <w:spacing w:before="0" w:after="0"/>
              <w:ind w:end="300"/>
              <w:jc w:val="center"/>
              <w:outlineLvl w:val="0"/>
              <w:rPr>
                <w:sz w:val="24"/>
                <w:szCs w:val="24"/>
                <w:lang w:eastAsia="ru-RU" w:bidi="ar-SA"/>
              </w:rPr>
            </w:pPr>
            <w:r>
              <w:rPr>
                <w:b/>
                <w:bCs/>
                <w:sz w:val="24"/>
                <w:szCs w:val="24"/>
                <w:lang w:val="ru-RU" w:eastAsia="ru-RU" w:bidi="ar-SA"/>
              </w:rPr>
              <w:t>13 455,00</w:t>
            </w:r>
          </w:p>
        </w:tc>
      </w:tr>
    </w:tbl>
    <w:p>
      <w:pPr>
        <w:pStyle w:val="Normal"/>
        <w:rPr>
          <w:sz w:val="24"/>
          <w:szCs w:val="24"/>
        </w:rPr>
      </w:pPr>
      <w:r>
        <w:rPr>
          <w:sz w:val="24"/>
          <w:szCs w:val="24"/>
        </w:rPr>
      </w:r>
    </w:p>
    <w:tbl>
      <w:tblPr>
        <w:tblW w:w="9781" w:type="dxa"/>
        <w:jc w:val="start"/>
        <w:tblInd w:w="0" w:type="dxa"/>
        <w:tblLayout w:type="fixed"/>
        <w:tblCellMar>
          <w:top w:w="0" w:type="dxa"/>
          <w:start w:w="108" w:type="dxa"/>
          <w:bottom w:w="0" w:type="dxa"/>
          <w:end w:w="108" w:type="dxa"/>
        </w:tblCellMar>
        <w:tblLook w:val="01e0" w:firstRow="1" w:noVBand="0" w:lastRow="1" w:firstColumn="1" w:lastColumn="1" w:noHBand="0"/>
      </w:tblPr>
      <w:tblGrid>
        <w:gridCol w:w="4772"/>
        <w:gridCol w:w="5009"/>
      </w:tblGrid>
      <w:tr>
        <w:trPr>
          <w:trHeight w:val="674" w:hRule="atLeast"/>
        </w:trPr>
        <w:tc>
          <w:tcPr>
            <w:tcW w:w="4772" w:type="dxa"/>
            <w:tcBorders/>
          </w:tcPr>
          <w:p>
            <w:pPr>
              <w:pStyle w:val="Heading8"/>
              <w:tabs>
                <w:tab w:val="clear" w:pos="708"/>
                <w:tab w:val="left" w:pos="993" w:leader="none"/>
                <w:tab w:val="left" w:pos="1276" w:leader="none"/>
              </w:tabs>
              <w:rPr>
                <w:sz w:val="24"/>
                <w:szCs w:val="24"/>
              </w:rPr>
            </w:pPr>
            <w:r>
              <w:rPr>
                <w:i w:val="false"/>
                <w:iCs w:val="false"/>
                <w:color w:val="000000"/>
                <w:sz w:val="24"/>
                <w:szCs w:val="24"/>
              </w:rPr>
              <w:t>О</w:t>
            </w:r>
            <w:r>
              <w:rPr>
                <w:i w:val="false"/>
                <w:iCs w:val="false"/>
                <w:color w:val="000000"/>
                <w:sz w:val="24"/>
                <w:szCs w:val="24"/>
                <w:lang w:val="ru-RU"/>
              </w:rPr>
              <w:t>т</w:t>
            </w:r>
            <w:r>
              <w:rPr>
                <w:i w:val="false"/>
                <w:iCs w:val="false"/>
                <w:color w:val="000000"/>
                <w:sz w:val="24"/>
                <w:szCs w:val="24"/>
              </w:rPr>
              <w:t xml:space="preserve"> И</w:t>
            </w:r>
            <w:r>
              <w:rPr>
                <w:i w:val="false"/>
                <w:iCs w:val="false"/>
                <w:color w:val="000000"/>
                <w:sz w:val="24"/>
                <w:szCs w:val="24"/>
                <w:lang w:val="ru-RU"/>
              </w:rPr>
              <w:t>сполнителя</w:t>
            </w:r>
          </w:p>
        </w:tc>
        <w:tc>
          <w:tcPr>
            <w:tcW w:w="5009" w:type="dxa"/>
            <w:tcBorders/>
          </w:tcPr>
          <w:p>
            <w:pPr>
              <w:pStyle w:val="Heading9"/>
              <w:jc w:val="end"/>
              <w:rPr>
                <w:sz w:val="24"/>
                <w:szCs w:val="24"/>
              </w:rPr>
            </w:pPr>
            <w:r>
              <w:rPr>
                <w:color w:val="000000"/>
                <w:sz w:val="24"/>
                <w:szCs w:val="24"/>
              </w:rPr>
              <w:t xml:space="preserve">                       </w:t>
            </w:r>
            <w:r>
              <w:rPr>
                <w:color w:val="000000"/>
                <w:sz w:val="24"/>
                <w:szCs w:val="24"/>
              </w:rPr>
              <w:t>О</w:t>
            </w:r>
            <w:r>
              <w:rPr>
                <w:color w:val="000000"/>
                <w:sz w:val="24"/>
                <w:szCs w:val="24"/>
                <w:lang w:val="ru-RU"/>
              </w:rPr>
              <w:t>т</w:t>
            </w:r>
            <w:r>
              <w:rPr>
                <w:color w:val="000000"/>
                <w:sz w:val="24"/>
                <w:szCs w:val="24"/>
              </w:rPr>
              <w:t xml:space="preserve"> З</w:t>
            </w:r>
            <w:r>
              <w:rPr>
                <w:color w:val="000000"/>
                <w:sz w:val="24"/>
                <w:szCs w:val="24"/>
                <w:lang w:val="ru-RU"/>
              </w:rPr>
              <w:t>аказчика</w:t>
            </w:r>
          </w:p>
        </w:tc>
      </w:tr>
      <w:tr>
        <w:trPr/>
        <w:tc>
          <w:tcPr>
            <w:tcW w:w="4772" w:type="dxa"/>
            <w:tcBorders/>
          </w:tcPr>
          <w:p>
            <w:pPr>
              <w:pStyle w:val="Normal"/>
              <w:rPr>
                <w:color w:val="000000"/>
                <w:sz w:val="24"/>
                <w:szCs w:val="24"/>
                <w:lang w:val="ru-RU"/>
              </w:rPr>
            </w:pPr>
            <w:r>
              <w:rPr>
                <w:color w:val="000000"/>
                <w:sz w:val="24"/>
                <w:szCs w:val="24"/>
                <w:lang w:val="ru-RU"/>
              </w:rPr>
            </w:r>
          </w:p>
          <w:p>
            <w:pPr>
              <w:pStyle w:val="Normal"/>
              <w:rPr>
                <w:color w:val="000000"/>
                <w:sz w:val="24"/>
                <w:szCs w:val="24"/>
                <w:lang w:val="ru-RU"/>
              </w:rPr>
            </w:pPr>
            <w:r>
              <w:rPr>
                <w:color w:val="000000"/>
                <w:sz w:val="24"/>
                <w:szCs w:val="24"/>
                <w:lang w:val="ru-RU"/>
              </w:rPr>
            </w:r>
          </w:p>
          <w:p>
            <w:pPr>
              <w:pStyle w:val="Normal"/>
              <w:ind w:hanging="5529" w:start="5529"/>
              <w:rPr>
                <w:color w:val="000000"/>
                <w:sz w:val="24"/>
                <w:szCs w:val="24"/>
                <w:lang w:val="ru-RU"/>
              </w:rPr>
            </w:pPr>
            <w:r>
              <w:rPr>
                <w:color w:val="000000"/>
                <w:sz w:val="24"/>
                <w:szCs w:val="24"/>
                <w:lang w:val="ru-RU"/>
              </w:rPr>
            </w:r>
          </w:p>
          <w:p>
            <w:pPr>
              <w:pStyle w:val="Normal"/>
              <w:rPr>
                <w:sz w:val="24"/>
                <w:szCs w:val="24"/>
              </w:rPr>
            </w:pPr>
            <w:r>
              <w:rPr>
                <w:color w:val="000000"/>
                <w:sz w:val="24"/>
                <w:szCs w:val="24"/>
                <w:lang w:val="ru-RU"/>
              </w:rPr>
              <w:t>___________</w:t>
            </w:r>
          </w:p>
          <w:p>
            <w:pPr>
              <w:pStyle w:val="Normal"/>
              <w:rPr>
                <w:sz w:val="24"/>
                <w:szCs w:val="24"/>
              </w:rPr>
            </w:pPr>
            <w:r>
              <w:rPr>
                <w:color w:val="000000"/>
                <w:sz w:val="24"/>
                <w:szCs w:val="24"/>
                <w:lang w:val="ru-RU"/>
              </w:rPr>
              <w:t>м.п.</w:t>
            </w:r>
          </w:p>
          <w:p>
            <w:pPr>
              <w:pStyle w:val="Normal"/>
              <w:ind w:hanging="5529" w:start="5529"/>
              <w:rPr>
                <w:color w:val="000000"/>
                <w:sz w:val="24"/>
                <w:szCs w:val="24"/>
                <w:lang w:val="ru-RU"/>
              </w:rPr>
            </w:pPr>
            <w:r>
              <w:rPr>
                <w:color w:val="000000"/>
                <w:sz w:val="24"/>
                <w:szCs w:val="24"/>
                <w:lang w:val="ru-RU"/>
              </w:rPr>
            </w:r>
          </w:p>
        </w:tc>
        <w:tc>
          <w:tcPr>
            <w:tcW w:w="5009" w:type="dxa"/>
            <w:tcBorders/>
          </w:tcPr>
          <w:p>
            <w:pPr>
              <w:pStyle w:val="Normal"/>
              <w:jc w:val="end"/>
              <w:rPr>
                <w:sz w:val="24"/>
                <w:szCs w:val="24"/>
              </w:rPr>
            </w:pPr>
            <w:r>
              <w:rPr>
                <w:color w:val="000000"/>
                <w:sz w:val="24"/>
                <w:szCs w:val="24"/>
                <w:lang w:val="ru-RU"/>
              </w:rPr>
              <w:t xml:space="preserve"> </w:t>
            </w:r>
            <w:r>
              <w:rPr>
                <w:color w:val="000000"/>
                <w:sz w:val="24"/>
                <w:szCs w:val="24"/>
                <w:lang w:val="ru-RU"/>
              </w:rPr>
              <w:t>Глава Сяськелевского</w:t>
            </w:r>
          </w:p>
          <w:p>
            <w:pPr>
              <w:pStyle w:val="Normal"/>
              <w:jc w:val="end"/>
              <w:rPr>
                <w:sz w:val="24"/>
                <w:szCs w:val="24"/>
              </w:rPr>
            </w:pPr>
            <w:r>
              <w:rPr>
                <w:color w:val="000000"/>
                <w:sz w:val="24"/>
                <w:szCs w:val="24"/>
                <w:lang w:val="ru-RU"/>
              </w:rPr>
              <w:t>Территориального управления</w:t>
            </w:r>
          </w:p>
          <w:p>
            <w:pPr>
              <w:pStyle w:val="Normal"/>
              <w:ind w:hanging="5529" w:start="5529"/>
              <w:jc w:val="end"/>
              <w:rPr>
                <w:color w:val="000000"/>
                <w:sz w:val="24"/>
                <w:szCs w:val="24"/>
                <w:lang w:val="ru-RU"/>
              </w:rPr>
            </w:pPr>
            <w:r>
              <w:rPr>
                <w:color w:val="000000"/>
                <w:sz w:val="24"/>
                <w:szCs w:val="24"/>
                <w:lang w:val="ru-RU"/>
              </w:rPr>
            </w:r>
          </w:p>
          <w:p>
            <w:pPr>
              <w:pStyle w:val="BodyTextIndent"/>
              <w:tabs>
                <w:tab w:val="clear" w:pos="708"/>
                <w:tab w:val="left" w:pos="1080" w:leader="none"/>
                <w:tab w:val="left" w:pos="3600" w:leader="none"/>
              </w:tabs>
              <w:ind w:start="0"/>
              <w:jc w:val="end"/>
              <w:rPr>
                <w:sz w:val="24"/>
                <w:szCs w:val="24"/>
              </w:rPr>
            </w:pPr>
            <w:r>
              <w:rPr>
                <w:color w:val="000000"/>
                <w:sz w:val="24"/>
                <w:szCs w:val="24"/>
              </w:rPr>
              <w:t xml:space="preserve">_______________ </w:t>
            </w:r>
            <w:r>
              <w:rPr>
                <w:b w:val="false"/>
                <w:color w:val="000000"/>
                <w:sz w:val="24"/>
                <w:szCs w:val="24"/>
              </w:rPr>
              <w:t>Федорова Е.Е.</w:t>
            </w:r>
          </w:p>
          <w:p>
            <w:pPr>
              <w:pStyle w:val="BodyTextIndent"/>
              <w:tabs>
                <w:tab w:val="clear" w:pos="708"/>
                <w:tab w:val="left" w:pos="1080" w:leader="none"/>
                <w:tab w:val="left" w:pos="3600" w:leader="none"/>
              </w:tabs>
              <w:ind w:start="0"/>
              <w:jc w:val="center"/>
              <w:rPr>
                <w:sz w:val="24"/>
                <w:szCs w:val="24"/>
              </w:rPr>
            </w:pPr>
            <w:r>
              <w:rPr>
                <w:b w:val="false"/>
                <w:color w:val="000000"/>
                <w:sz w:val="24"/>
                <w:szCs w:val="24"/>
              </w:rPr>
              <w:t>м.п.</w:t>
            </w:r>
          </w:p>
        </w:tc>
      </w:tr>
    </w:tbl>
    <w:p>
      <w:pPr>
        <w:pStyle w:val="Normal"/>
        <w:rPr>
          <w:sz w:val="24"/>
          <w:szCs w:val="24"/>
          <w:lang w:val="ru-RU"/>
        </w:rPr>
      </w:pPr>
      <w:r>
        <w:rPr>
          <w:sz w:val="24"/>
          <w:szCs w:val="24"/>
          <w:lang w:val="ru-RU"/>
        </w:rPr>
      </w:r>
    </w:p>
    <w:sectPr>
      <w:footerReference w:type="even" r:id="rId5"/>
      <w:footerReference w:type="default" r:id="rId6"/>
      <w:footerReference w:type="first" r:id="rId7"/>
      <w:type w:val="nextPage"/>
      <w:pgSz w:w="11906" w:h="16838"/>
      <w:pgMar w:left="1701" w:right="850" w:gutter="0" w:header="0" w:top="1134"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Times New Roman">
    <w:charset w:val="cc" w:characterSet="windows-1251"/>
    <w:family w:val="roman"/>
    <w:pitch w:val="variable"/>
  </w:font>
  <w:font w:name="Calibri Light">
    <w:charset w:val="cc" w:characterSet="windows-1251"/>
    <w:family w:val="roman"/>
    <w:pitch w:val="variable"/>
  </w:font>
  <w:font w:name="Segoe UI">
    <w:charset w:val="cc" w:characterSet="windows-1251"/>
    <w:family w:val="swiss"/>
    <w:pitch w:val="variable"/>
  </w:font>
  <w:font w:name="Calibri">
    <w:charset w:val="cc" w:characterSet="windows-1251"/>
    <w:family w:val="swiss"/>
    <w:pitch w:val="variable"/>
  </w:font>
  <w:font w:name="Liberation Sans">
    <w:altName w:val="Arial"/>
    <w:charset w:val="cc" w:characterSet="windows-1251"/>
    <w:family w:val="swiss"/>
    <w:pitch w:val="variable"/>
  </w:font>
  <w:font w:name="Courier New">
    <w:charset w:val="cc" w:characterSet="windows-1251"/>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w:rPr/>
      <mc:AlternateContent>
        <mc:Choice Requires="wps">
          <w:drawing>
            <wp:anchor distT="0" distB="0" distL="0" distR="0" simplePos="0" relativeHeight="18" behindDoc="1" locked="0" layoutInCell="0" allowOverlap="1" wp14:anchorId="1706DBE8">
              <wp:simplePos x="0" y="0"/>
              <wp:positionH relativeFrom="margin">
                <wp:align>right</wp:align>
              </wp:positionH>
              <wp:positionV relativeFrom="paragraph">
                <wp:posOffset>635</wp:posOffset>
              </wp:positionV>
              <wp:extent cx="14605" cy="14605"/>
              <wp:effectExtent l="0" t="0" r="0" b="0"/>
              <wp:wrapSquare wrapText="bothSides"/>
              <wp:docPr id="1" name="Врезка1"/>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0pt;margin-top:0.05pt;width:1.1pt;height:1.1pt;mso-wrap-style:square;v-text-anchor:top;mso-position-horizontal:right;mso-position-horizontal-relative:margin" wp14:anchorId="1706DBE8">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0</w:t>
                    </w:r>
                    <w:r>
                      <w:rPr>
                        <w:rStyle w:val="PageNumber"/>
                        <w:color w:val="000000"/>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mc:AlternateContent>
        <mc:Choice Requires="wps">
          <w:drawing>
            <wp:anchor distT="0" distB="0" distL="0" distR="0" simplePos="0" relativeHeight="11" behindDoc="1" locked="0" layoutInCell="0" allowOverlap="1" wp14:anchorId="13FFE5AA">
              <wp:simplePos x="0" y="0"/>
              <wp:positionH relativeFrom="margin">
                <wp:align>right</wp:align>
              </wp:positionH>
              <wp:positionV relativeFrom="paragraph">
                <wp:posOffset>635</wp:posOffset>
              </wp:positionV>
              <wp:extent cx="64135" cy="145415"/>
              <wp:effectExtent l="0" t="0" r="0" b="0"/>
              <wp:wrapSquare wrapText="bothSides"/>
              <wp:docPr id="2" name="Врезка2"/>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6</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507.7pt;margin-top:0.05pt;width:5pt;height:11.4pt;mso-wrap-style:square;v-text-anchor:top;mso-position-horizontal:right;mso-position-horizontal-relative:margin" wp14:anchorId="13FFE5AA">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6</w:t>
                    </w:r>
                    <w:r>
                      <w:rPr>
                        <w:rStyle w:val="PageNumber"/>
                        <w:color w:val="000000"/>
                      </w:rPr>
                      <w:fldChar w:fldCharType="end"/>
                    </w:r>
                  </w:p>
                </w:txbxContent>
              </v:textbox>
              <w10:wrap type="square"/>
            </v:rect>
          </w:pict>
        </mc:Fallback>
      </mc:AlternateContent>
    </w:r>
    <w:r>
      <w:rPr>
        <w:lang w:val="ru-RU"/>
      </w:rPr>
      <w:tab/>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mc:AlternateContent>
        <mc:Choice Requires="wps">
          <w:drawing>
            <wp:anchor distT="0" distB="0" distL="0" distR="0" simplePos="0" relativeHeight="11" behindDoc="1" locked="0" layoutInCell="0" allowOverlap="1" wp14:anchorId="13FFE5AA">
              <wp:simplePos x="0" y="0"/>
              <wp:positionH relativeFrom="margin">
                <wp:align>right</wp:align>
              </wp:positionH>
              <wp:positionV relativeFrom="paragraph">
                <wp:posOffset>635</wp:posOffset>
              </wp:positionV>
              <wp:extent cx="64135" cy="145415"/>
              <wp:effectExtent l="0" t="0" r="0" b="0"/>
              <wp:wrapSquare wrapText="bothSides"/>
              <wp:docPr id="3" name="Врезка2"/>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6</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507.7pt;margin-top:0.05pt;width:5pt;height:11.4pt;mso-wrap-style:square;v-text-anchor:top;mso-position-horizontal:right;mso-position-horizontal-relative:margin" wp14:anchorId="13FFE5AA">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6</w:t>
                    </w:r>
                    <w:r>
                      <w:rPr>
                        <w:rStyle w:val="PageNumber"/>
                        <w:color w:val="000000"/>
                      </w:rPr>
                      <w:fldChar w:fldCharType="end"/>
                    </w:r>
                  </w:p>
                </w:txbxContent>
              </v:textbox>
              <w10:wrap type="square"/>
            </v:rect>
          </w:pict>
        </mc:Fallback>
      </mc:AlternateContent>
    </w:r>
    <w:r>
      <w:rPr>
        <w:lang w:val="ru-RU"/>
      </w:rPr>
      <w:tab/>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mc:AlternateContent>
        <mc:Choice Requires="wps">
          <w:drawing>
            <wp:anchor distT="0" distB="0" distL="0" distR="0" simplePos="0" relativeHeight="14" behindDoc="1" locked="0" layoutInCell="0" allowOverlap="1" wp14:anchorId="74BA36D3">
              <wp:simplePos x="0" y="0"/>
              <wp:positionH relativeFrom="margin">
                <wp:align>right</wp:align>
              </wp:positionH>
              <wp:positionV relativeFrom="paragraph">
                <wp:posOffset>635</wp:posOffset>
              </wp:positionV>
              <wp:extent cx="64135" cy="145415"/>
              <wp:effectExtent l="0" t="0" r="0" b="0"/>
              <wp:wrapSquare wrapText="bothSides"/>
              <wp:docPr id="4" name="Врезка3"/>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7</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462.65pt;margin-top:0.05pt;width:5pt;height:11.4pt;mso-wrap-style:square;v-text-anchor:top;mso-position-horizontal:right;mso-position-horizontal-relative:margin" wp14:anchorId="74BA36D3">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7</w:t>
                    </w:r>
                    <w:r>
                      <w:rPr>
                        <w:rStyle w:val="PageNumber"/>
                        <w:color w:val="000000"/>
                      </w:rPr>
                      <w:fldChar w:fldCharType="end"/>
                    </w:r>
                  </w:p>
                </w:txbxContent>
              </v:textbox>
              <w10:wrap type="square"/>
            </v:rect>
          </w:pict>
        </mc:Fallback>
      </mc:AlternateContent>
    </w:r>
    <w:r>
      <w:rPr>
        <w:lang w:val="ru-RU"/>
      </w:rPr>
      <w:tab/>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360"/>
      <w:rPr/>
    </w:pPr>
    <w:r>
      <mc:AlternateContent>
        <mc:Choice Requires="wps">
          <w:drawing>
            <wp:anchor distT="0" distB="0" distL="0" distR="0" simplePos="0" relativeHeight="14" behindDoc="1" locked="0" layoutInCell="0" allowOverlap="1" wp14:anchorId="74BA36D3">
              <wp:simplePos x="0" y="0"/>
              <wp:positionH relativeFrom="margin">
                <wp:align>right</wp:align>
              </wp:positionH>
              <wp:positionV relativeFrom="paragraph">
                <wp:posOffset>635</wp:posOffset>
              </wp:positionV>
              <wp:extent cx="64135" cy="145415"/>
              <wp:effectExtent l="0" t="0" r="0" b="0"/>
              <wp:wrapSquare wrapText="bothSides"/>
              <wp:docPr id="5" name="Врезка3"/>
              <a:graphic xmlns:a="http://schemas.openxmlformats.org/drawingml/2006/main">
                <a:graphicData uri="http://schemas.microsoft.com/office/word/2010/wordprocessingShape">
                  <wps:wsp>
                    <wps:cNvSpPr/>
                    <wps:spPr>
                      <a:xfrm>
                        <a:off x="0" y="0"/>
                        <a:ext cx="64080" cy="145440"/>
                      </a:xfrm>
                      <a:prstGeom prst="rect">
                        <a:avLst/>
                      </a:prstGeom>
                      <a:noFill/>
                      <a:ln w="0">
                        <a:noFill/>
                      </a:ln>
                    </wps:spPr>
                    <wps:style>
                      <a:lnRef idx="0"/>
                      <a:fillRef idx="0"/>
                      <a:effectRef idx="0"/>
                      <a:fontRef idx="minor"/>
                    </wps:style>
                    <wps:txb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7</w:t>
                          </w:r>
                          <w:r>
                            <w:rPr>
                              <w:rStyle w:val="PageNumber"/>
                              <w:color w:val="000000"/>
                            </w:rPr>
                            <w:fldChar w:fldCharType="end"/>
                          </w:r>
                        </w:p>
                      </w:txbxContent>
                    </wps:txbx>
                    <wps:bodyPr lIns="0" tIns="0" rIns="0" bIns="0" anchor="t">
                      <a:spAutoFit/>
                    </wps:bodyPr>
                  </wps:wsp>
                </a:graphicData>
              </a:graphic>
            </wp:anchor>
          </w:drawing>
        </mc:Choice>
        <mc:Fallback>
          <w:pict>
            <v:rect id="shape_0" stroked="f" o:allowincell="f" style="position:absolute;margin-left:462.65pt;margin-top:0.05pt;width:5pt;height:11.4pt;mso-wrap-style:square;v-text-anchor:top;mso-position-horizontal:right;mso-position-horizontal-relative:margin" wp14:anchorId="74BA36D3">
              <v:fill o:detectmouseclick="t" on="false"/>
              <v:stroke color="#3465a4" joinstyle="round" endcap="flat"/>
              <v:textbox>
                <w:txbxContent>
                  <w:p>
                    <w:pPr>
                      <w:pStyle w:val="Footer"/>
                      <w:rPr>
                        <w:rStyle w:val="PageNumber"/>
                      </w:rPr>
                    </w:pPr>
                    <w:r>
                      <w:rPr>
                        <w:rStyle w:val="PageNumber"/>
                        <w:color w:val="000000"/>
                      </w:rPr>
                      <w:fldChar w:fldCharType="begin"/>
                    </w:r>
                    <w:r>
                      <w:rPr>
                        <w:rStyle w:val="PageNumber"/>
                        <w:color w:val="000000"/>
                      </w:rPr>
                      <w:instrText xml:space="preserve"> PAGE </w:instrText>
                    </w:r>
                    <w:r>
                      <w:rPr>
                        <w:rStyle w:val="PageNumber"/>
                        <w:color w:val="000000"/>
                      </w:rPr>
                      <w:fldChar w:fldCharType="separate"/>
                    </w:r>
                    <w:r>
                      <w:rPr>
                        <w:rStyle w:val="PageNumber"/>
                        <w:color w:val="000000"/>
                      </w:rPr>
                      <w:t>7</w:t>
                    </w:r>
                    <w:r>
                      <w:rPr>
                        <w:rStyle w:val="PageNumber"/>
                        <w:color w:val="000000"/>
                      </w:rPr>
                      <w:fldChar w:fldCharType="end"/>
                    </w:r>
                  </w:p>
                </w:txbxContent>
              </v:textbox>
              <w10:wrap type="square"/>
            </v:rect>
          </w:pict>
        </mc:Fallback>
      </mc:AlternateContent>
    </w:r>
    <w:r>
      <w:rPr>
        <w:lang w:val="ru-RU"/>
      </w:rPr>
      <w:tab/>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bullet"/>
      <w:lvlText w:val="o"/>
      <w:lvlJc w:val="start"/>
      <w:pPr>
        <w:tabs>
          <w:tab w:val="num" w:pos="1080"/>
        </w:tabs>
        <w:ind w:start="1080" w:hanging="360"/>
      </w:pPr>
      <w:rPr>
        <w:rFonts w:ascii="Courier New" w:hAnsi="Courier New" w:cs="Courier New" w:hint="default"/>
      </w:rPr>
    </w:lvl>
    <w:lvl w:ilvl="2">
      <w:start w:val="1"/>
      <w:numFmt w:val="bullet"/>
      <w:lvlText w:val=""/>
      <w:lvlJc w:val="start"/>
      <w:pPr>
        <w:tabs>
          <w:tab w:val="num" w:pos="1800"/>
        </w:tabs>
        <w:ind w:start="1800" w:hanging="360"/>
      </w:pPr>
      <w:rPr>
        <w:rFonts w:ascii="Wingdings" w:hAnsi="Wingdings" w:cs="Wingdings" w:hint="default"/>
      </w:rPr>
    </w:lvl>
    <w:lvl w:ilvl="3">
      <w:start w:val="1"/>
      <w:numFmt w:val="bullet"/>
      <w:lvlText w:val=""/>
      <w:lvlJc w:val="start"/>
      <w:pPr>
        <w:tabs>
          <w:tab w:val="num" w:pos="2520"/>
        </w:tabs>
        <w:ind w:start="2520" w:hanging="360"/>
      </w:pPr>
      <w:rPr>
        <w:rFonts w:ascii="Symbol" w:hAnsi="Symbol" w:cs="Symbol" w:hint="default"/>
      </w:rPr>
    </w:lvl>
    <w:lvl w:ilvl="4">
      <w:start w:val="1"/>
      <w:numFmt w:val="bullet"/>
      <w:lvlText w:val="o"/>
      <w:lvlJc w:val="start"/>
      <w:pPr>
        <w:tabs>
          <w:tab w:val="num" w:pos="3240"/>
        </w:tabs>
        <w:ind w:start="3240" w:hanging="360"/>
      </w:pPr>
      <w:rPr>
        <w:rFonts w:ascii="Courier New" w:hAnsi="Courier New" w:cs="Courier New" w:hint="default"/>
      </w:rPr>
    </w:lvl>
    <w:lvl w:ilvl="5">
      <w:start w:val="1"/>
      <w:numFmt w:val="bullet"/>
      <w:lvlText w:val=""/>
      <w:lvlJc w:val="start"/>
      <w:pPr>
        <w:tabs>
          <w:tab w:val="num" w:pos="3960"/>
        </w:tabs>
        <w:ind w:start="3960" w:hanging="360"/>
      </w:pPr>
      <w:rPr>
        <w:rFonts w:ascii="Wingdings" w:hAnsi="Wingdings" w:cs="Wingdings" w:hint="default"/>
      </w:rPr>
    </w:lvl>
    <w:lvl w:ilvl="6">
      <w:start w:val="1"/>
      <w:numFmt w:val="bullet"/>
      <w:lvlText w:val=""/>
      <w:lvlJc w:val="start"/>
      <w:pPr>
        <w:tabs>
          <w:tab w:val="num" w:pos="4680"/>
        </w:tabs>
        <w:ind w:start="4680" w:hanging="360"/>
      </w:pPr>
      <w:rPr>
        <w:rFonts w:ascii="Symbol" w:hAnsi="Symbol" w:cs="Symbol" w:hint="default"/>
      </w:rPr>
    </w:lvl>
    <w:lvl w:ilvl="7">
      <w:start w:val="1"/>
      <w:numFmt w:val="bullet"/>
      <w:lvlText w:val="o"/>
      <w:lvlJc w:val="start"/>
      <w:pPr>
        <w:tabs>
          <w:tab w:val="num" w:pos="5400"/>
        </w:tabs>
        <w:ind w:start="5400" w:hanging="360"/>
      </w:pPr>
      <w:rPr>
        <w:rFonts w:ascii="Courier New" w:hAnsi="Courier New" w:cs="Courier New" w:hint="default"/>
      </w:rPr>
    </w:lvl>
    <w:lvl w:ilvl="8">
      <w:start w:val="1"/>
      <w:numFmt w:val="bullet"/>
      <w:lvlText w:val=""/>
      <w:lvlJc w:val="start"/>
      <w:pPr>
        <w:tabs>
          <w:tab w:val="num" w:pos="6120"/>
        </w:tabs>
        <w:ind w:start="6120" w:hanging="360"/>
      </w:pPr>
      <w:rPr>
        <w:rFonts w:ascii="Wingdings" w:hAnsi="Wingdings" w:cs="Wingdings" w:hint="default"/>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ru-RU"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uiPriority="0"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2f44"/>
    <w:pPr>
      <w:widowControl/>
      <w:suppressAutoHyphens w:val="true"/>
      <w:bidi w:val="0"/>
      <w:spacing w:before="0" w:after="0"/>
      <w:jc w:val="start"/>
    </w:pPr>
    <w:rPr>
      <w:rFonts w:ascii="Times New Roman" w:hAnsi="Times New Roman" w:eastAsia="Times New Roman" w:cs="Times New Roman"/>
      <w:color w:val="auto"/>
      <w:kern w:val="0"/>
      <w:sz w:val="20"/>
      <w:szCs w:val="20"/>
      <w:lang w:val="en-US" w:eastAsia="en-US" w:bidi="ar-SA"/>
      <w14:ligatures w14:val="none"/>
    </w:rPr>
  </w:style>
  <w:style w:type="paragraph" w:styleId="Heading1">
    <w:name w:val="heading 1"/>
    <w:basedOn w:val="Normal"/>
    <w:next w:val="Normal"/>
    <w:link w:val="1"/>
    <w:uiPriority w:val="9"/>
    <w:qFormat/>
    <w:rsid w:val="00c93087"/>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2"/>
    <w:uiPriority w:val="9"/>
    <w:semiHidden/>
    <w:unhideWhenUsed/>
    <w:qFormat/>
    <w:rsid w:val="00c93087"/>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3"/>
    <w:unhideWhenUsed/>
    <w:qFormat/>
    <w:rsid w:val="00c93087"/>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4"/>
    <w:uiPriority w:val="9"/>
    <w:semiHidden/>
    <w:unhideWhenUsed/>
    <w:qFormat/>
    <w:rsid w:val="00c93087"/>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5"/>
    <w:uiPriority w:val="9"/>
    <w:semiHidden/>
    <w:unhideWhenUsed/>
    <w:qFormat/>
    <w:rsid w:val="00c93087"/>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6"/>
    <w:uiPriority w:val="9"/>
    <w:semiHidden/>
    <w:unhideWhenUsed/>
    <w:qFormat/>
    <w:rsid w:val="00c93087"/>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7"/>
    <w:uiPriority w:val="9"/>
    <w:semiHidden/>
    <w:unhideWhenUsed/>
    <w:qFormat/>
    <w:rsid w:val="00c93087"/>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8"/>
    <w:unhideWhenUsed/>
    <w:qFormat/>
    <w:rsid w:val="00c93087"/>
    <w:pPr>
      <w:keepNext w:val="true"/>
      <w:keepLines/>
      <w:outlineLvl w:val="7"/>
    </w:pPr>
    <w:rPr>
      <w:rFonts w:eastAsia="" w:cs="" w:cstheme="majorBidi" w:eastAsiaTheme="majorEastAsia"/>
      <w:i/>
      <w:iCs/>
      <w:color w:themeColor="text1" w:themeTint="d8" w:val="272727"/>
    </w:rPr>
  </w:style>
  <w:style w:type="paragraph" w:styleId="Heading9">
    <w:name w:val="heading 9"/>
    <w:basedOn w:val="Normal"/>
    <w:next w:val="Normal"/>
    <w:link w:val="9"/>
    <w:unhideWhenUsed/>
    <w:qFormat/>
    <w:rsid w:val="00c93087"/>
    <w:pPr>
      <w:keepNext w:val="true"/>
      <w:keepLines/>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uiPriority w:val="9"/>
    <w:qFormat/>
    <w:rsid w:val="00c93087"/>
    <w:rPr>
      <w:rFonts w:ascii="Calibri Light" w:hAnsi="Calibri Light" w:eastAsia="" w:cs="" w:asciiTheme="majorHAnsi" w:cstheme="majorBidi" w:eastAsiaTheme="majorEastAsia" w:hAnsiTheme="majorHAnsi"/>
      <w:color w:themeColor="accent1" w:themeShade="bf" w:val="2F5496"/>
      <w:sz w:val="40"/>
      <w:szCs w:val="40"/>
    </w:rPr>
  </w:style>
  <w:style w:type="character" w:styleId="2" w:customStyle="1">
    <w:name w:val="Заголовок 2 Знак"/>
    <w:basedOn w:val="DefaultParagraphFont"/>
    <w:uiPriority w:val="9"/>
    <w:semiHidden/>
    <w:qFormat/>
    <w:rsid w:val="00c93087"/>
    <w:rPr>
      <w:rFonts w:ascii="Calibri Light" w:hAnsi="Calibri Light" w:eastAsia="" w:cs="" w:asciiTheme="majorHAnsi" w:cstheme="majorBidi" w:eastAsiaTheme="majorEastAsia" w:hAnsiTheme="majorHAnsi"/>
      <w:color w:themeColor="accent1" w:themeShade="bf" w:val="2F5496"/>
      <w:sz w:val="32"/>
      <w:szCs w:val="32"/>
    </w:rPr>
  </w:style>
  <w:style w:type="character" w:styleId="3" w:customStyle="1">
    <w:name w:val="Заголовок 3 Знак"/>
    <w:basedOn w:val="DefaultParagraphFont"/>
    <w:semiHidden/>
    <w:qFormat/>
    <w:rsid w:val="00c93087"/>
    <w:rPr>
      <w:rFonts w:eastAsia="" w:cs="" w:cstheme="majorBidi" w:eastAsiaTheme="majorEastAsia"/>
      <w:color w:themeColor="accent1" w:themeShade="bf" w:val="2F5496"/>
      <w:sz w:val="28"/>
      <w:szCs w:val="28"/>
    </w:rPr>
  </w:style>
  <w:style w:type="character" w:styleId="4" w:customStyle="1">
    <w:name w:val="Заголовок 4 Знак"/>
    <w:basedOn w:val="DefaultParagraphFont"/>
    <w:uiPriority w:val="9"/>
    <w:semiHidden/>
    <w:qFormat/>
    <w:rsid w:val="00c93087"/>
    <w:rPr>
      <w:rFonts w:eastAsia="" w:cs="" w:cstheme="majorBidi" w:eastAsiaTheme="majorEastAsia"/>
      <w:i/>
      <w:iCs/>
      <w:color w:themeColor="accent1" w:themeShade="bf" w:val="2F5496"/>
    </w:rPr>
  </w:style>
  <w:style w:type="character" w:styleId="5" w:customStyle="1">
    <w:name w:val="Заголовок 5 Знак"/>
    <w:basedOn w:val="DefaultParagraphFont"/>
    <w:uiPriority w:val="9"/>
    <w:semiHidden/>
    <w:qFormat/>
    <w:rsid w:val="00c93087"/>
    <w:rPr>
      <w:rFonts w:eastAsia="" w:cs="" w:cstheme="majorBidi" w:eastAsiaTheme="majorEastAsia"/>
      <w:color w:themeColor="accent1" w:themeShade="bf" w:val="2F5496"/>
    </w:rPr>
  </w:style>
  <w:style w:type="character" w:styleId="6" w:customStyle="1">
    <w:name w:val="Заголовок 6 Знак"/>
    <w:basedOn w:val="DefaultParagraphFont"/>
    <w:uiPriority w:val="9"/>
    <w:semiHidden/>
    <w:qFormat/>
    <w:rsid w:val="00c93087"/>
    <w:rPr>
      <w:rFonts w:eastAsia="" w:cs="" w:cstheme="majorBidi" w:eastAsiaTheme="majorEastAsia"/>
      <w:i/>
      <w:iCs/>
      <w:color w:themeColor="text1" w:themeTint="a6" w:val="595959"/>
    </w:rPr>
  </w:style>
  <w:style w:type="character" w:styleId="7" w:customStyle="1">
    <w:name w:val="Заголовок 7 Знак"/>
    <w:basedOn w:val="DefaultParagraphFont"/>
    <w:uiPriority w:val="9"/>
    <w:semiHidden/>
    <w:qFormat/>
    <w:rsid w:val="00c93087"/>
    <w:rPr>
      <w:rFonts w:eastAsia="" w:cs="" w:cstheme="majorBidi" w:eastAsiaTheme="majorEastAsia"/>
      <w:color w:themeColor="text1" w:themeTint="a6" w:val="595959"/>
    </w:rPr>
  </w:style>
  <w:style w:type="character" w:styleId="8" w:customStyle="1">
    <w:name w:val="Заголовок 8 Знак"/>
    <w:basedOn w:val="DefaultParagraphFont"/>
    <w:semiHidden/>
    <w:qFormat/>
    <w:rsid w:val="00c93087"/>
    <w:rPr>
      <w:rFonts w:eastAsia="" w:cs="" w:cstheme="majorBidi" w:eastAsiaTheme="majorEastAsia"/>
      <w:i/>
      <w:iCs/>
      <w:color w:themeColor="text1" w:themeTint="d8" w:val="272727"/>
    </w:rPr>
  </w:style>
  <w:style w:type="character" w:styleId="9" w:customStyle="1">
    <w:name w:val="Заголовок 9 Знак"/>
    <w:basedOn w:val="DefaultParagraphFont"/>
    <w:semiHidden/>
    <w:qFormat/>
    <w:rsid w:val="00c93087"/>
    <w:rPr>
      <w:rFonts w:eastAsia="" w:cs="" w:cstheme="majorBidi" w:eastAsiaTheme="majorEastAsia"/>
      <w:color w:themeColor="text1" w:themeTint="d8" w:val="272727"/>
    </w:rPr>
  </w:style>
  <w:style w:type="character" w:styleId="Style5" w:customStyle="1">
    <w:name w:val="Заголовок Знак"/>
    <w:basedOn w:val="DefaultParagraphFont"/>
    <w:uiPriority w:val="10"/>
    <w:qFormat/>
    <w:rsid w:val="00c93087"/>
    <w:rPr>
      <w:rFonts w:ascii="Calibri Light" w:hAnsi="Calibri Light" w:eastAsia="" w:cs="" w:asciiTheme="majorHAnsi" w:cstheme="majorBidi" w:eastAsiaTheme="majorEastAsia" w:hAnsiTheme="majorHAnsi"/>
      <w:spacing w:val="-10"/>
      <w:kern w:val="2"/>
      <w:sz w:val="56"/>
      <w:szCs w:val="56"/>
    </w:rPr>
  </w:style>
  <w:style w:type="character" w:styleId="Style6" w:customStyle="1">
    <w:name w:val="Подзаголовок Знак"/>
    <w:basedOn w:val="DefaultParagraphFont"/>
    <w:uiPriority w:val="11"/>
    <w:qFormat/>
    <w:rsid w:val="00c93087"/>
    <w:rPr>
      <w:rFonts w:eastAsia="" w:cs="" w:cstheme="majorBidi" w:eastAsiaTheme="majorEastAsia"/>
      <w:color w:themeColor="text1" w:themeTint="a6" w:val="595959"/>
      <w:spacing w:val="15"/>
      <w:sz w:val="28"/>
      <w:szCs w:val="28"/>
    </w:rPr>
  </w:style>
  <w:style w:type="character" w:styleId="21" w:customStyle="1">
    <w:name w:val="Цитата 2 Знак"/>
    <w:basedOn w:val="DefaultParagraphFont"/>
    <w:link w:val="Quote"/>
    <w:uiPriority w:val="29"/>
    <w:qFormat/>
    <w:rsid w:val="00c93087"/>
    <w:rPr>
      <w:i/>
      <w:iCs/>
      <w:color w:themeColor="text1" w:themeTint="bf" w:val="404040"/>
    </w:rPr>
  </w:style>
  <w:style w:type="character" w:styleId="IntenseEmphasis">
    <w:name w:val="Intense Emphasis"/>
    <w:basedOn w:val="DefaultParagraphFont"/>
    <w:uiPriority w:val="21"/>
    <w:qFormat/>
    <w:rsid w:val="00c93087"/>
    <w:rPr>
      <w:i/>
      <w:iCs/>
      <w:color w:themeColor="accent1" w:themeShade="bf" w:val="2F5496"/>
    </w:rPr>
  </w:style>
  <w:style w:type="character" w:styleId="Style7" w:customStyle="1">
    <w:name w:val="Выделенная цитата Знак"/>
    <w:basedOn w:val="DefaultParagraphFont"/>
    <w:link w:val="IntenseQuote"/>
    <w:uiPriority w:val="30"/>
    <w:qFormat/>
    <w:rsid w:val="00c93087"/>
    <w:rPr>
      <w:i/>
      <w:iCs/>
      <w:color w:themeColor="accent1" w:themeShade="bf" w:val="2F5496"/>
    </w:rPr>
  </w:style>
  <w:style w:type="character" w:styleId="IntenseReference">
    <w:name w:val="Intense Reference"/>
    <w:basedOn w:val="DefaultParagraphFont"/>
    <w:uiPriority w:val="32"/>
    <w:qFormat/>
    <w:rsid w:val="00c93087"/>
    <w:rPr>
      <w:b/>
      <w:bCs/>
      <w:smallCaps/>
      <w:color w:themeColor="accent1" w:themeShade="bf" w:val="2F5496"/>
      <w:spacing w:val="5"/>
    </w:rPr>
  </w:style>
  <w:style w:type="character" w:styleId="Style8" w:customStyle="1">
    <w:name w:val="Основной текст Знак"/>
    <w:basedOn w:val="DefaultParagraphFont"/>
    <w:qFormat/>
    <w:rsid w:val="00e42f44"/>
    <w:rPr>
      <w:rFonts w:ascii="Times New Roman" w:hAnsi="Times New Roman" w:eastAsia="Times New Roman" w:cs="Times New Roman"/>
      <w:kern w:val="0"/>
      <w:szCs w:val="20"/>
      <w14:ligatures w14:val="none"/>
    </w:rPr>
  </w:style>
  <w:style w:type="character" w:styleId="Style9" w:customStyle="1">
    <w:name w:val="Основной текст с отступом Знак"/>
    <w:basedOn w:val="DefaultParagraphFont"/>
    <w:qFormat/>
    <w:rsid w:val="00e42f44"/>
    <w:rPr>
      <w:rFonts w:ascii="Times New Roman" w:hAnsi="Times New Roman" w:eastAsia="Times New Roman" w:cs="Times New Roman"/>
      <w:b/>
      <w:kern w:val="0"/>
      <w:szCs w:val="20"/>
      <w14:ligatures w14:val="none"/>
    </w:rPr>
  </w:style>
  <w:style w:type="character" w:styleId="Style10" w:customStyle="1">
    <w:name w:val="Нижний колонтитул Знак"/>
    <w:basedOn w:val="DefaultParagraphFont"/>
    <w:qFormat/>
    <w:rsid w:val="00e42f44"/>
    <w:rPr>
      <w:rFonts w:ascii="Times New Roman" w:hAnsi="Times New Roman" w:eastAsia="Times New Roman" w:cs="Times New Roman"/>
      <w:kern w:val="0"/>
      <w:sz w:val="20"/>
      <w:szCs w:val="20"/>
      <w:lang w:val="en-US"/>
      <w14:ligatures w14:val="none"/>
    </w:rPr>
  </w:style>
  <w:style w:type="character" w:styleId="PageNumber">
    <w:name w:val="page number"/>
    <w:rsid w:val="00e42f44"/>
    <w:rPr>
      <w:rFonts w:cs="Times New Roman"/>
    </w:rPr>
  </w:style>
  <w:style w:type="character" w:styleId="22" w:customStyle="1">
    <w:name w:val="Основной текст 2 Знак"/>
    <w:basedOn w:val="DefaultParagraphFont"/>
    <w:link w:val="BodyText2"/>
    <w:qFormat/>
    <w:rsid w:val="00e42f44"/>
    <w:rPr>
      <w:rFonts w:ascii="Times New Roman" w:hAnsi="Times New Roman" w:eastAsia="Times New Roman" w:cs="Times New Roman"/>
      <w:kern w:val="0"/>
      <w:szCs w:val="20"/>
      <w14:ligatures w14:val="none"/>
    </w:rPr>
  </w:style>
  <w:style w:type="character" w:styleId="31" w:customStyle="1">
    <w:name w:val="Основной текст с отступом 3 Знак"/>
    <w:basedOn w:val="DefaultParagraphFont"/>
    <w:link w:val="BodyTextIndent3"/>
    <w:qFormat/>
    <w:rsid w:val="00e42f44"/>
    <w:rPr>
      <w:rFonts w:ascii="Times New Roman" w:hAnsi="Times New Roman" w:eastAsia="Times New Roman" w:cs="Times New Roman"/>
      <w:b/>
      <w:bCs/>
      <w:kern w:val="0"/>
      <w:sz w:val="20"/>
      <w:szCs w:val="20"/>
      <w14:ligatures w14:val="none"/>
    </w:rPr>
  </w:style>
  <w:style w:type="character" w:styleId="Hyperlink">
    <w:name w:val="Hyperlink"/>
    <w:rsid w:val="00e42f44"/>
    <w:rPr>
      <w:color w:val="0000FF"/>
      <w:u w:val="single"/>
    </w:rPr>
  </w:style>
  <w:style w:type="character" w:styleId="Style11" w:customStyle="1">
    <w:name w:val="Текст выноски Знак"/>
    <w:basedOn w:val="DefaultParagraphFont"/>
    <w:qFormat/>
    <w:rPr>
      <w:rFonts w:ascii="Segoe UI" w:hAnsi="Segoe UI" w:eastAsia="Times New Roman" w:cs="Segoe UI"/>
      <w:sz w:val="18"/>
      <w:szCs w:val="18"/>
      <w:lang w:eastAsia="ru-RU"/>
    </w:rPr>
  </w:style>
  <w:style w:type="character" w:styleId="Style12" w:customStyle="1">
    <w:name w:val="Верхний колонтитул Знак"/>
    <w:basedOn w:val="DefaultParagraphFont"/>
    <w:qFormat/>
    <w:rPr>
      <w:rFonts w:ascii="Calibri" w:hAnsi="Calibri" w:eastAsia="Times New Roman" w:cs="Times New Roman"/>
      <w:lang w:eastAsia="ru-RU"/>
    </w:rPr>
  </w:style>
  <w:style w:type="character" w:styleId="copytarget" w:customStyle="1">
    <w:name w:val="copy_target"/>
    <w:basedOn w:val="DefaultParagraphFont"/>
    <w:qFormat/>
    <w:rPr/>
  </w:style>
  <w:style w:type="character" w:styleId="copytitle" w:customStyle="1">
    <w:name w:val="copy_title"/>
    <w:basedOn w:val="DefaultParagraphFont"/>
    <w:qFormat/>
    <w:rPr/>
  </w:style>
  <w:style w:type="character" w:styleId="company-infotitle" w:customStyle="1">
    <w:name w:val="company-info__title"/>
    <w:basedOn w:val="DefaultParagraphFont"/>
    <w:qFormat/>
    <w:rPr/>
  </w:style>
  <w:style w:type="character" w:styleId="FootnoteCharacters" w:customStyle="1">
    <w:name w:val="Footnote Characters"/>
    <w:qFormat/>
    <w:rPr>
      <w:vertAlign w:val="superscript"/>
    </w:rPr>
  </w:style>
  <w:style w:type="character" w:styleId="Style13" w:customStyle="1">
    <w:name w:val="Символ сноски"/>
    <w:qFormat/>
    <w:rPr>
      <w:vertAlign w:val="superscript"/>
    </w:rPr>
  </w:style>
  <w:style w:type="character" w:styleId="user" w:customStyle="1">
    <w:name w:val="Символ сноски (user)"/>
    <w:qFormat/>
    <w:rPr>
      <w:vertAlign w:val="superscript"/>
    </w:rPr>
  </w:style>
  <w:style w:type="character" w:styleId="FootnoteReference">
    <w:name w:val="footnote reference"/>
    <w:rPr>
      <w:vertAlign w:val="superscript"/>
    </w:rPr>
  </w:style>
  <w:style w:type="character" w:styleId="Style14" w:customStyle="1">
    <w:name w:val="Текст сноски Знак"/>
    <w:basedOn w:val="DefaultParagraphFont"/>
    <w:qFormat/>
    <w:rPr>
      <w:rFonts w:ascii="Times New Roman" w:hAnsi="Times New Roman" w:eastAsia="Times New Roman" w:cs="Times New Roman"/>
      <w:sz w:val="20"/>
      <w:szCs w:val="20"/>
      <w:lang w:eastAsia="ru-RU"/>
    </w:rPr>
  </w:style>
  <w:style w:type="paragraph" w:styleId="Style15" w:customStyle="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8"/>
    <w:rsid w:val="00e42f44"/>
    <w:pPr/>
    <w:rPr>
      <w:sz w:val="24"/>
      <w:lang w:val="ru-RU"/>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6" w:customStyle="1">
    <w:name w:val="Указатель"/>
    <w:basedOn w:val="Normal"/>
    <w:qFormat/>
    <w:pPr>
      <w:suppressLineNumbers/>
    </w:pPr>
    <w:rPr>
      <w:rFonts w:cs="Arial"/>
    </w:rPr>
  </w:style>
  <w:style w:type="paragraph" w:styleId="Title">
    <w:name w:val="Title"/>
    <w:basedOn w:val="Normal"/>
    <w:next w:val="BodyText"/>
    <w:link w:val="Style5"/>
    <w:uiPriority w:val="10"/>
    <w:qFormat/>
    <w:rsid w:val="00c93087"/>
    <w:pPr>
      <w:spacing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IndexHeading">
    <w:name w:val="index heading"/>
    <w:basedOn w:val="Normal"/>
    <w:pPr>
      <w:suppressLineNumbers/>
    </w:pPr>
    <w:rPr>
      <w:rFonts w:cs="Arial"/>
    </w:rPr>
  </w:style>
  <w:style w:type="paragraph" w:styleId="Subtitle">
    <w:name w:val="Subtitle"/>
    <w:basedOn w:val="Normal"/>
    <w:next w:val="Normal"/>
    <w:link w:val="Style6"/>
    <w:uiPriority w:val="11"/>
    <w:qFormat/>
    <w:rsid w:val="00c93087"/>
    <w:pPr/>
    <w:rPr>
      <w:rFonts w:eastAsia="" w:cs="" w:cstheme="majorBidi" w:eastAsiaTheme="majorEastAsia"/>
      <w:color w:themeColor="text1" w:themeTint="a6" w:val="595959"/>
      <w:spacing w:val="15"/>
      <w:sz w:val="28"/>
      <w:szCs w:val="28"/>
    </w:rPr>
  </w:style>
  <w:style w:type="paragraph" w:styleId="Quote">
    <w:name w:val="Quote"/>
    <w:basedOn w:val="Normal"/>
    <w:next w:val="Normal"/>
    <w:link w:val="21"/>
    <w:uiPriority w:val="29"/>
    <w:qFormat/>
    <w:rsid w:val="00c93087"/>
    <w:pPr>
      <w:spacing w:before="160" w:after="0"/>
      <w:jc w:val="center"/>
    </w:pPr>
    <w:rPr>
      <w:i/>
      <w:iCs/>
      <w:color w:themeColor="text1" w:themeTint="bf" w:val="404040"/>
    </w:rPr>
  </w:style>
  <w:style w:type="paragraph" w:styleId="ListParagraph">
    <w:name w:val="List Paragraph"/>
    <w:basedOn w:val="Normal"/>
    <w:uiPriority w:val="34"/>
    <w:qFormat/>
    <w:rsid w:val="00c93087"/>
    <w:pPr>
      <w:spacing w:before="0" w:after="0"/>
      <w:ind w:start="720"/>
      <w:contextualSpacing/>
    </w:pPr>
    <w:rPr/>
  </w:style>
  <w:style w:type="paragraph" w:styleId="IntenseQuote">
    <w:name w:val="Intense Quote"/>
    <w:basedOn w:val="Normal"/>
    <w:next w:val="Normal"/>
    <w:link w:val="Style7"/>
    <w:uiPriority w:val="30"/>
    <w:qFormat/>
    <w:rsid w:val="00c93087"/>
    <w:pPr>
      <w:pBdr>
        <w:top w:val="single" w:sz="4" w:space="10" w:color="2F5496" w:themeColor="accent1" w:themeShade="bf"/>
        <w:bottom w:val="single" w:sz="4" w:space="10" w:color="2F5496" w:themeColor="accent1" w:themeShade="bf"/>
      </w:pBdr>
      <w:spacing w:before="360" w:after="360"/>
      <w:ind w:start="864" w:end="864"/>
      <w:jc w:val="center"/>
    </w:pPr>
    <w:rPr>
      <w:i/>
      <w:iCs/>
      <w:color w:themeColor="accent1" w:themeShade="bf" w:val="2F5496"/>
    </w:rPr>
  </w:style>
  <w:style w:type="paragraph" w:styleId="BodyTextIndent">
    <w:name w:val="Body Text Indent"/>
    <w:basedOn w:val="Normal"/>
    <w:link w:val="Style9"/>
    <w:rsid w:val="00e42f44"/>
    <w:pPr>
      <w:ind w:start="5529"/>
      <w:jc w:val="both"/>
    </w:pPr>
    <w:rPr>
      <w:b/>
      <w:sz w:val="24"/>
      <w:lang w:val="ru-RU"/>
    </w:rPr>
  </w:style>
  <w:style w:type="paragraph" w:styleId="user1" w:customStyle="1">
    <w:name w:val="Колонтитулы (user)"/>
    <w:basedOn w:val="Normal"/>
    <w:qFormat/>
    <w:pPr/>
    <w:rPr/>
  </w:style>
  <w:style w:type="paragraph" w:styleId="Style17" w:customStyle="1">
    <w:name w:val="Колонтитулы"/>
    <w:basedOn w:val="Normal"/>
    <w:qFormat/>
    <w:pPr/>
    <w:rPr/>
  </w:style>
  <w:style w:type="paragraph" w:styleId="Footer">
    <w:name w:val="footer"/>
    <w:basedOn w:val="Normal"/>
    <w:link w:val="Style10"/>
    <w:rsid w:val="00e42f44"/>
    <w:pPr>
      <w:tabs>
        <w:tab w:val="clear" w:pos="708"/>
        <w:tab w:val="center" w:pos="4844" w:leader="none"/>
        <w:tab w:val="right" w:pos="9689" w:leader="none"/>
      </w:tabs>
    </w:pPr>
    <w:rPr/>
  </w:style>
  <w:style w:type="paragraph" w:styleId="BodyText2">
    <w:name w:val="Body Text 2"/>
    <w:basedOn w:val="Normal"/>
    <w:link w:val="22"/>
    <w:qFormat/>
    <w:rsid w:val="00e42f44"/>
    <w:pPr>
      <w:spacing w:before="40" w:after="40"/>
      <w:jc w:val="both"/>
    </w:pPr>
    <w:rPr>
      <w:sz w:val="24"/>
      <w:lang w:val="ru-RU"/>
    </w:rPr>
  </w:style>
  <w:style w:type="paragraph" w:styleId="BodyTextIndent3">
    <w:name w:val="Body Text Indent 3"/>
    <w:basedOn w:val="Normal"/>
    <w:link w:val="31"/>
    <w:qFormat/>
    <w:rsid w:val="00e42f44"/>
    <w:pPr>
      <w:ind w:hanging="1276" w:start="1276"/>
      <w:jc w:val="both"/>
    </w:pPr>
    <w:rPr>
      <w:b/>
      <w:bCs/>
      <w:lang w:val="ru-RU"/>
    </w:rPr>
  </w:style>
  <w:style w:type="paragraph" w:styleId="user2" w:customStyle="1">
    <w:name w:val="Содержимое врезки (user)"/>
    <w:basedOn w:val="Normal"/>
    <w:qFormat/>
    <w:pPr/>
    <w:rPr/>
  </w:style>
  <w:style w:type="paragraph" w:styleId="user3" w:customStyle="1">
    <w:name w:val="Содержимое таблицы (user)"/>
    <w:basedOn w:val="Normal"/>
    <w:qFormat/>
    <w:pPr>
      <w:widowControl w:val="false"/>
      <w:suppressLineNumbers/>
    </w:pPr>
    <w:rPr/>
  </w:style>
  <w:style w:type="paragraph" w:styleId="user4" w:customStyle="1">
    <w:name w:val="Заголовок таблицы (user)"/>
    <w:basedOn w:val="user3"/>
    <w:qFormat/>
    <w:pPr>
      <w:jc w:val="center"/>
    </w:pPr>
    <w:rPr>
      <w:b/>
      <w:bCs/>
    </w:rPr>
  </w:style>
  <w:style w:type="paragraph" w:styleId="Style18" w:customStyle="1">
    <w:name w:val="Содержимое врезки"/>
    <w:basedOn w:val="Normal"/>
    <w:qFormat/>
    <w:pPr/>
    <w:rPr/>
  </w:style>
  <w:style w:type="paragraph" w:styleId="NoSpacing">
    <w:name w:val="No Spacing"/>
    <w:qFormat/>
    <w:pPr>
      <w:widowControl/>
      <w:suppressAutoHyphens w:val="false"/>
      <w:bidi w:val="0"/>
      <w:spacing w:before="0" w:after="0"/>
      <w:jc w:val="start"/>
    </w:pPr>
    <w:rPr>
      <w:rFonts w:ascii="Calibri" w:hAnsi="Calibri" w:eastAsia="Calibri" w:cs="" w:asciiTheme="minorHAnsi" w:cstheme="minorBidi" w:eastAsiaTheme="minorHAnsi" w:hAnsiTheme="minorHAnsi"/>
      <w:color w:val="auto"/>
      <w:kern w:val="0"/>
      <w:sz w:val="22"/>
      <w:szCs w:val="22"/>
      <w:lang w:val="ru-RU" w:eastAsia="en-US" w:bidi="ar-SA"/>
      <w14:ligatures w14:val="standardContextual"/>
    </w:rPr>
  </w:style>
  <w:style w:type="paragraph" w:styleId="ConsPlusNonformat" w:customStyle="1">
    <w:name w:val="ConsPlusNonformat"/>
    <w:qFormat/>
    <w:pPr>
      <w:widowControl/>
      <w:suppressAutoHyphens w:val="true"/>
      <w:bidi w:val="0"/>
      <w:spacing w:before="0" w:after="0"/>
      <w:jc w:val="start"/>
    </w:pPr>
    <w:rPr>
      <w:rFonts w:ascii="Courier New" w:hAnsi="Courier New" w:eastAsia="Times New Roman" w:cs="Courier New"/>
      <w:color w:val="auto"/>
      <w:kern w:val="0"/>
      <w:sz w:val="20"/>
      <w:szCs w:val="20"/>
      <w:lang w:eastAsia="ru-RU" w:val="ru-RU" w:bidi="ar-SA"/>
      <w14:ligatures w14:val="standardContextual"/>
    </w:rPr>
  </w:style>
  <w:style w:type="paragraph" w:styleId="BalloonText">
    <w:name w:val="Balloon Text"/>
    <w:basedOn w:val="Normal"/>
    <w:qFormat/>
    <w:pPr/>
    <w:rPr>
      <w:rFonts w:ascii="Segoe UI" w:hAnsi="Segoe UI" w:cs="Segoe UI"/>
      <w:sz w:val="18"/>
      <w:szCs w:val="18"/>
    </w:rPr>
  </w:style>
  <w:style w:type="paragraph" w:styleId="Header">
    <w:name w:val="header"/>
    <w:basedOn w:val="Normal"/>
    <w:pPr>
      <w:tabs>
        <w:tab w:val="clear" w:pos="708"/>
        <w:tab w:val="center" w:pos="4677" w:leader="none"/>
        <w:tab w:val="right" w:pos="9355" w:leader="none"/>
      </w:tabs>
    </w:pPr>
    <w:rPr/>
  </w:style>
  <w:style w:type="paragraph" w:styleId="Style19" w:customStyle="1">
    <w:name w:val="Колонтитул"/>
    <w:basedOn w:val="Normal"/>
    <w:qFormat/>
    <w:pPr/>
    <w:rPr/>
  </w:style>
  <w:style w:type="paragraph" w:styleId="TableParagraph" w:customStyle="1">
    <w:name w:val="Table Paragraph"/>
    <w:basedOn w:val="Normal"/>
    <w:qFormat/>
    <w:pPr>
      <w:widowControl w:val="false"/>
      <w:spacing w:before="109" w:after="0"/>
      <w:ind w:start="110"/>
    </w:pPr>
    <w:rPr>
      <w:lang w:bidi="ru-RU"/>
    </w:rPr>
  </w:style>
  <w:style w:type="paragraph" w:styleId="FootnoteText">
    <w:name w:val="footnote text"/>
    <w:basedOn w:val="Normal"/>
    <w:pPr>
      <w:spacing w:before="0" w:after="60"/>
      <w:jc w:val="both"/>
    </w:pPr>
    <w:rPr/>
  </w:style>
  <w:style w:type="paragraph" w:styleId="11" w:customStyle="1">
    <w:name w:val="Абзац списка1"/>
    <w:basedOn w:val="Normal"/>
    <w:qFormat/>
    <w:pPr>
      <w:spacing w:before="0" w:after="0"/>
      <w:ind w:start="720"/>
      <w:contextualSpacing/>
    </w:pPr>
    <w:rPr>
      <w:sz w:val="24"/>
      <w:szCs w:val="28"/>
    </w:rPr>
  </w:style>
  <w:style w:type="paragraph" w:styleId="Preformat" w:customStyle="1">
    <w:name w:val="Preformat"/>
    <w:qFormat/>
    <w:pPr>
      <w:widowControl w:val="false"/>
      <w:suppressAutoHyphens w:val="true"/>
      <w:bidi w:val="0"/>
      <w:spacing w:before="0" w:after="0"/>
      <w:jc w:val="start"/>
    </w:pPr>
    <w:rPr>
      <w:rFonts w:ascii="Courier New" w:hAnsi="Courier New" w:eastAsia="Times New Roman" w:cs="Courier New"/>
      <w:color w:val="auto"/>
      <w:kern w:val="0"/>
      <w:sz w:val="20"/>
      <w:szCs w:val="20"/>
      <w:lang w:eastAsia="ru-RU" w:val="ru-RU" w:bidi="ar-SA"/>
      <w14:ligatures w14:val="standardContextual"/>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 w:type="numbering" w:styleId="Style22" w:customStyle="1">
    <w:name w:val="Без списка"/>
    <w:uiPriority w:val="99"/>
    <w:semiHidden/>
    <w:unhideWhenUsed/>
    <w:qFormat/>
  </w:style>
  <w:style w:type="numbering" w:styleId="user5" w:customStyle="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6">
    <w:name w:val="Table Grid"/>
    <w:basedOn w:val="a1"/>
    <w:rsid w:val="00e42f44"/>
    <w:rPr>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footer" Target="footer6.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75583-E271-465D-9E27-B13FC72CE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Application>LibreOffice/26.2.5.2$Windows_X86_64 LibreOffice_project/cd7284b4cbbfeb507e630c1aac019f4157393acb</Application>
  <AppVersion>15.0000</AppVersion>
  <Pages>7</Pages>
  <Words>2151</Words>
  <Characters>15445</Characters>
  <CharactersWithSpaces>17926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2026-09-01T13:00:00Z</dcterms:created>
  <dc:creator>User</dc:creator>
  <dc:description/>
  <dc:language>ru-RU</dc:language>
  <cp:lastModifiedBy/>
  <cp:lastPrinted>2026-09-01T12:31:00Z</cp:lastPrinted>
  <dcterms:modified xsi:type="dcterms:W3CDTF">2026-09-07T16:58:46Z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