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Look w:firstColumn="1" w:firstRow="1" w:lastColumn="0" w:lastRow="0" w:noHBand="0" w:noVBand="1" w:val="04A0"/>
        <w:tblLayout w:type="fixed"/>
        <w:tblW w:w="14397" w:type="dxa"/>
      </w:tblPr>
      <w:tblGrid>
        <w:gridCol w:w="752"/>
        <w:gridCol w:w="3294"/>
        <w:gridCol w:w="3011"/>
        <w:gridCol w:w="3011"/>
        <w:gridCol w:w="1694"/>
        <w:gridCol w:w="2635"/>
      </w:tblGrid>
      <w:tr>
        <w:trPr>
          <w:trHeight w:val="227" w:hRule="atLeast"/>
        </w:trPr>
        <w:tc>
          <w:tcPr>
            <w:tcW w:type="dxa" w:w="752"/>
            <w:vMerge w:val="restart"/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/>
                <w:b/>
                <w:sz w:val="20"/>
              </w:rPr>
              <w:t>№ п/п</w:t>
            </w:r>
          </w:p>
        </w:tc>
        <w:tc>
          <w:tcPr>
            <w:tcW w:type="dxa" w:w="3294"/>
            <w:vMerge w:val="restart"/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/>
                <w:b/>
                <w:sz w:val="20"/>
              </w:rPr>
              <w:t>Наименование объекта закупки</w:t>
            </w:r>
          </w:p>
        </w:tc>
        <w:tc>
          <w:tcPr>
            <w:tcW w:type="dxa" w:w="7716"/>
            <w:gridSpan w:val="3"/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/>
                <w:b/>
                <w:sz w:val="20"/>
              </w:rPr>
              <w:t>Функциональные, технические и качественные характеристики товара</w:t>
            </w:r>
          </w:p>
        </w:tc>
        <w:tc>
          <w:tcPr>
            <w:tcW w:type="dxa" w:w="2635"/>
            <w:vMerge w:val="restart"/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/>
                <w:b/>
                <w:sz w:val="20"/>
              </w:rPr>
              <w:t>Обоснование дополнительных характеристик объекта закупки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/>
                <w:b/>
                <w:sz w:val="20"/>
              </w:rPr>
              <w:t>Наименование характеристики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/>
                <w:b/>
                <w:sz w:val="20"/>
              </w:rPr>
              <w:t>Значение характеристики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/>
                <w:b/>
                <w:sz w:val="20"/>
              </w:rPr>
              <w:t>Единица измерения показателей</w:t>
            </w:r>
          </w:p>
        </w:tc>
        <w:tc>
          <w:tcPr>
            <w:tcW w:type="dxa" w:w="2400"/>
            <w:vMerge/>
          </w:tcPr>
          <w:p/>
        </w:tc>
      </w:tr>
      <w:tr>
        <w:trPr>
          <w:trHeight w:val="227" w:hRule="atLeast"/>
        </w:trPr>
        <w:tc>
          <w:tcPr>
            <w:tcW w:type="dxa" w:w="752"/>
            <w:vMerge w:val="restart"/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1</w:t>
            </w:r>
          </w:p>
        </w:tc>
        <w:tc>
          <w:tcPr>
            <w:tcW w:type="dxa" w:w="3294"/>
            <w:vMerge w:val="restart"/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32.40.42.199-00000013</w:t>
              <w:br/>
              <w:t>Интерактивный пол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Комплектация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- Датчик камер глубины</w:t>
              <w:br/>
              <w:t>- Клавиатура</w:t>
              <w:br/>
              <w:t>- Компьютер</w:t>
              <w:br/>
              <w:t>- Методическое пособие</w:t>
              <w:br/>
              <w:t>- Проектор</w:t>
              <w:br/>
              <w:t>- Специальное напольное покрытие</w:t>
              <w:br/>
              <w:t>- Программное обеспечение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Высота оборудования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≥ 1500 и &lt; 1800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Миллиметр</w:t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Количество колес с тормозом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≥ 4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Штук</w:t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Работа в режиме стена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Нет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Тип оборудования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Мобильный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Датчик камер глубины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Клавиатура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Компьютер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Объем оперативной памяти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≥ 8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Гигабайт</w:t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Тип процессора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4-ядерный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Методическое пособие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Проектор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Длина проецируемого изображения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&lt; 2.5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Метр</w:t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Контрастность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≥30 000:1 и &lt;50 000:1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Максимальный формат изображения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16:10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 входа HDMI у проектора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Да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Тип проектора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Ламповый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Ширина проецируемого изображения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&lt; 2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Метр</w:t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Яркость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≥ 3000  и  &lt; 4000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Люмен</w:t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Специальное напольное покрытие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Материал напольного покрытия</w:t>
              <w:br/>
              <w:br/>
              <w:t>Вспененный полимер: мягкий, обеспечивает амортизацию; гипоаллергенный; устойчив к дезинфекции; не впитывает влагу; имеет нескользящее покрытие для безопасного выполнения двигательных заданий воспитанниками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вспененный полимер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требованиями санитарно-эпидемиологических правил СП 2.4.3648-20 (п. 3.8) к материалам детских игровых принадлежностей и напольных покрытий в ДОО: отсутствие острых кромок, гипоаллергенность, амортизирующие свойства, возможность дезинфекции. Вспененный полимер обеспечивает безопасное выполнение двигательных заданий (прыжки, бег, ходьба) и соответствует требованиям п. 3.3.4 ФГОС ДО о безопасности развивающей предметно-пространственной среды. Для детей с НОДА и РАС амортизирующие свойства покрытия минимизируют риск травматизма согласно ФАОП ДО (п. 47.6)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Площадь напольного покрытия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≥ 2.5  и  &lt; 5.0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Квадратный метр</w:t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Программное обеспечение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Автоматическая калибровка и настройка проекционного оборудования</w:t>
              <w:br/>
              <w:br/>
              <w:br/>
              <w:br/>
              <w:t>Автоматическое выравнивание и коррекция искажений проецируемого изображения; Калибровка выполняется без инструментов, за 1–3 минуты, без участия технического специалиста.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требованием п. 30 ФОП ДО о психолого-педагогических условиях реализации программы: автоматическая калибровка сокращает непродуктивные временные затраты педагога на техническую настройку и максимизирует время непосредственной образовательной деятельности.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Бесплатное обновление занятий на весь срок эксплуатации</w:t>
              <w:br/>
              <w:br/>
              <w:br/>
              <w:br/>
              <w:t>Количество обновлений не ограничено. Обновления предоставляются производителем без заключения дополнительных договоров и без оплаты абонентского сбора.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обязанностью организации обеспечивать актуальность содержания образовательной деятельности по пяти образовательным областям в соответствии с п. 18–22 ФОП ДО (Приказ Минпросвещения России от 25.11.2022 № 1028). Бесплатное обновление гарантирует соответствие контента ПО планируемым результатам, описанным в Разделе II ФОП ДО, без дополнительной финансовой нагрузки на организацию в течение всего срока эксплуатации.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Возможность обновления ПО в офлайн-режиме (без прямого подключения к сети Интернет)</w:t>
              <w:br/>
              <w:br/>
              <w:br/>
              <w:br/>
              <w:t>Обновление осуществляется посредством переноса файлов обновления с USB-накопителя или через локальную сеть организации (без выхода в Интернет). Весь процесс выполняется педагогом или методистом без привлечения IT-специалиста.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необходимостью обеспечения равного доступа к современному образовательному оборудованию для организаций, расположенных в отдалённых и малонаселённых пунктах, что соответствует принципам доступности и равных возможностей, закреплённым в п. 1.4 ФГОС ДО (Приказ Минобрнауки РФ от 17.10.2013 № 1155). Офлайн-режим обновления гарантирует бесперебойную реализацию основной образовательной программы ДОО вне зависимости от качества интернет-соединения.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Все занятия имеют возможность настройки в зависимости от возраста игрока</w:t>
              <w:br/>
              <w:br/>
              <w:t>Функционал: выбор возрастной группы в интерфейсе занятия; автоматическая адаптация сложности заданий, темпа подачи материала и лексики под выбранную возрастную категорию; возможность ручной регулировки уровня сложности педагогом.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требованием п. 1.4 ФГОС ДО о построении образовательной деятельности с учётом возрастных и индивидуальных особенностей детей, а также п. 30 ФОП ДО о психолого-педагогических условиях, предполагающих построение деятельности на основе индивидуальных особенностей каждого ребёнка. Возрастная настройка обеспечивает преемственность при переходе воспитанника между возрастными группами и соответствие содержания занятия возрастным нормам развития согласно Разделу IV ФОП ДО (планируемые результаты по возрастам). Для детей с ОВЗ функция реализует требование ФАОП ДО (п. 10.1) о соответствии содержания уровню актуального развития ребёнка.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 xml:space="preserve">Деление игрового поля на несколько независимых игровых зон </w:t>
              <w:br/>
              <w:br/>
              <w:br/>
              <w:br/>
              <w:t>Программное разделение единого проекционного поля на 2 или 4 независимых сегмента; в каждом сегменте одновременно запускается отдельная игра или задание.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Соответствует п. 3.3.2 ФГОС ДО (трансформируемость среды) и п. 3.3.3 (полифункциональность). Обеспечивает организацию подгрупповой и индивидуальной деятельности согласно п. 24 ФОП ДО об особенностях образовательной деятельности разных видов, предусматривающем использование подгрупповых и индивидуальных форм работы.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Командные игровые режимы для одновременного участия большего количества детей</w:t>
              <w:br/>
              <w:br/>
              <w:br/>
              <w:br/>
              <w:t>Распределение участников на команды внутри интерфейса ПО; совместное управление игровыми объектами несколькими игроками одновременно; отображение командного счёта и прогресса.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задачами социально-коммуникативного развития, установленными п. 18.6, 18.7 ФОП ДО (Социально-коммуникативное развитие, дети 5–7 лет): формирование умения договариваться, взаимодействовать в группе, распределять роли. Для детей с ОВЗ командные режимы реализуют требования ФАОП ДО (п. 10.3.2) о создании условий для включения таких детей в коллективное взаимодействие со сверстниками.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 xml:space="preserve">Конструктор занятий </w:t>
              <w:br/>
              <w:br/>
              <w:t>Функционал: педагог самостоятельно создает игры, подгружая свои файлы в ПО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Реализует требование п. 30 ФОП ДО о психолого-педагогических условиях, предполагающих построение образовательной деятельности на основе индивидуальных особенностей каждого ребёнка. Для детей с ОВЗ конструктор занятий соответствует обязательному требованию ФАОП ДО (п. 10.1) о разработке и реализации индивидуального образовательного маршрута для каждого воспитанника с ограниченными возможностями здоровья.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Программное обеспечение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 xml:space="preserve">- Плейлист (индивидуальный маршрут)        </w:t>
              <w:br/>
              <w:br/>
              <w:t xml:space="preserve">- Комплекс занятий на физическое развитие        </w:t>
              <w:br/>
              <w:br/>
              <w:t xml:space="preserve">- Комплекс занятий на речевое развитие        </w:t>
              <w:br/>
              <w:br/>
              <w:t xml:space="preserve">- Комлпекс занятий на познавательное развитие        </w:t>
              <w:br/>
              <w:br/>
              <w:t xml:space="preserve">- Комлпекс занятий на художественно-эстетическое развитие        </w:t>
              <w:br/>
              <w:br/>
              <w:t xml:space="preserve">- Комлпекс занятий на социально-коммуникативное развитие        </w:t>
              <w:br/>
              <w:br/>
              <w:t xml:space="preserve">- Комлпекс занятий для снятия психо-эмоционального напряжения        </w:t>
              <w:br/>
              <w:br/>
              <w:t xml:space="preserve">- Дидактические игры        </w:t>
              <w:br/>
              <w:br/>
              <w:t>- Конструктор занятий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Работа без подключения к сети Интернет</w:t>
              <w:br/>
              <w:br/>
              <w:br/>
              <w:br/>
              <w:t>Полный функционал ПО доступен без интернет-соединения; не требуется постоянная авторизация на сервере производителя; все данные и контент хранятся локально на устройстве.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Обеспечивает доступность образовательного оборудования для всех ДОО страны вне зависимости от уровня цифровой инфраструктуры — реализует принцип равных возможностей (ФГОС ДО п. 1.4).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распознавание спортивных палок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задачами физического развития согласно п. 22.5–22.7 ФОП ДО: освоение элементов спортивных упражнений и снарядов, развитие координации движений, зрительно-моторной интеграции и точности действий с предметом. Использование палок расширяет арсенал способов взаимодействия с интерактивной средой, что соответствует требованию п. 3.3.1 ФГОС ДО о насыщенности РППС различными средствами физического развития.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Функциональность ПО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 xml:space="preserve">- Считывание нажатий человеком на поверхность пола               </w:t>
              <w:br/>
              <w:br/>
              <w:t xml:space="preserve">- Командные режимы           </w:t>
              <w:br/>
              <w:br/>
              <w:t xml:space="preserve">- Распознавание звуков        </w:t>
              <w:br/>
              <w:br/>
              <w:t>- Возможность создания и редактирования заданий с помощью редактора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Занятия на развитие физических навыков и профилактику гиподинамии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задачами физического развития согласно п. 22.5–22.7 ФОП ДО (Физическое развитие, дети 4–7 лет): формирование правильной осанки, развитие координации движений, быстроты реакции и ловкости; обеспечение оптимального двигательного режима. Для детей с НОДА и ЗПР данный функционал реализует требования ФАОП ДО (п. 47.3, п. 24.3.2) о создании условий для двигательной реабилитации через игровую деятельность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Количество занятий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≥ 12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Штук</w:t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библиотека картинок на тему "Животные"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необходимостью обеспечения информационной наполненности образовательной среды и автономности работы без использования сети Интернет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Библиотека предустановленных игр по тематическому направлению «Сказки»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≥ 2 игры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необходимостью выполнения целевых показателей ФОП ДО в части познавательного, речевого, социально-коммуникативного, художественно-эстетического и физического развития воспитанников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ИИ-помощник для генерации слов к шаблону «Пропущенные буквы» Функционал и механика:Педагог голосом или текстом задаёт тему — встроенный ИИ-модуль сразу подбирает слова по теме и отмечает буквы для пропуска, формируя готовое задание; педагог просматривает и при необходимости правит список перед занятием; работает офлайн, без передачи данных во внешние сервисы.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п. 20 ФОП ДО (обогащение словаря, сокращение времени педагога на подготовку материалов) и требованиями Федерального закона от 27.07.2006 № 152-ФЗ «О персональных данных» (локальная обработка без передачи данных вовне)._x000D_</w:t>
              <w:br/>
              <w:br/>
              <w:t>Обязательная проверка педагогом сгенерированного контента соответствует Федеральному закону от 29.12.2010 № 436-ФЗ «О защите детей от информации, причиняющей вред их здоровью и развитию».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Применение искусственного интеллекта в образовательных играх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Да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Функционал и механика шаблона:</w:t>
              <w:br/>
              <w:br/>
              <w:t>Изображение делится на 9 квадратных фрагментов; ребёнок собирает картинку, перетаскивая фрагменты на поле с полупрозрачной подложкой; при успешном выполнении картинка становится яркой, звучит похвала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задачами познавательного развития согласно п. 19 ФОП ДО: развитие логического и пространственного мышления, зрительного восприятия, умения работать по образцу; соответствует образовательной области «Познавательное развитие» (п. 2.6 ФГОС ДО).</w:t>
              <w:br/>
              <w:br/>
              <w:t>Для детей с ОВЗ (ЗПР, РАС) пошаговая визуальная поддержка и подложка-образец реализуют принцип наглядности и структурированности обучения согласно ФАОП ДО</w:t>
            </w:r>
          </w:p>
        </w:tc>
      </w:tr>
      <w:tr>
        <w:trPr>
          <w:trHeight w:val="227" w:hRule="atLeast"/>
        </w:trPr>
        <w:tc>
          <w:tcPr>
            <w:tcW w:type="dxa" w:w="2400"/>
            <w:vMerge/>
          </w:tcPr>
          <w:p/>
        </w:tc>
        <w:tc>
          <w:tcPr>
            <w:tcW w:type="dxa" w:w="2400"/>
            <w:vMerge/>
          </w:tcPr>
          <w:p/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Функционал и механика шаблона:</w:t>
              <w:br/>
              <w:br/>
              <w:t>Педагог вводит слова с пропущенной буквой; ребёнок выбирает из предложенных вариантов правильную букву; при верном ответе — положительная подсветка и звуковая обратная связь, при ошибке — визуальная подсказка; количество правильных ответов выводится на экран</w:t>
            </w:r>
          </w:p>
        </w:tc>
        <w:tc>
          <w:tcPr>
            <w:tcW w:type="dxa" w:w="3011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/>
                <w:sz w:val="20"/>
              </w:rPr>
              <w:t>наличие</w:t>
            </w:r>
          </w:p>
        </w:tc>
        <w:tc>
          <w:tcPr>
            <w:tcW w:type="dxa" w:w="1694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</w:r>
          </w:p>
        </w:tc>
        <w:tc>
          <w:tcPr>
            <w:tcW w:type="dxa" w:w="2635"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Times New Roman" w:hAnsi="Times New Roman"/>
                <w:b w:val="0"/>
                <w:sz w:val="20"/>
              </w:rPr>
              <w:t>Обусловлено задачами речевого развития согласно п. 20 ФОП ДО: формирование графомоторных навыков, закрепление орфографических правил, развитие звуковой аналитико-синтетической активности как предпосылки обучения грамоте (формулировка образовательной области «Речевое развитие», п. 2.6 ФГОС ДО).</w:t>
              <w:br/>
              <w:br/>
              <w:t>Актуально для обучающихся 1–2 классов при закреплении орфографических правил в рамках преемственности дошкольного и начального общего образования</w:t>
            </w:r>
          </w:p>
        </w:tc>
      </w:tr>
    </w:tbl>
    <w:sectPr w:rsidR="00FC693F" w:rsidRPr="0006063C" w:rsidSect="00034616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