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tabs>
          <w:tab w:leader="none" w:pos="1800" w:val="clear"/>
        </w:tabs>
        <w:ind w:firstLine="284" w:left="0"/>
        <w:jc w:val="center"/>
        <w:rPr>
          <w:b w:val="1"/>
          <w:sz w:val="22"/>
        </w:rPr>
      </w:pPr>
      <w:r>
        <w:rPr>
          <w:b w:val="1"/>
          <w:sz w:val="22"/>
        </w:rPr>
        <w:t xml:space="preserve">ДОГОВОР № </w:t>
      </w:r>
    </w:p>
    <w:p w14:paraId="02000000">
      <w:pPr>
        <w:tabs>
          <w:tab w:leader="none" w:pos="1800" w:val="clear"/>
        </w:tabs>
        <w:ind w:firstLine="0" w:left="0"/>
        <w:jc w:val="center"/>
        <w:rPr>
          <w:sz w:val="22"/>
        </w:rPr>
      </w:pPr>
      <w:r>
        <w:t>Оказание услуг по аренде подъемно-транспортного оборудования для нужд ЛОГБУ "Сясьстройский ДСП"</w:t>
      </w:r>
    </w:p>
    <w:p w14:paraId="03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p w14:paraId="04000000">
      <w:pPr>
        <w:tabs>
          <w:tab w:leader="none" w:pos="1800" w:val="clear"/>
        </w:tabs>
        <w:ind w:firstLine="0" w:left="0"/>
        <w:rPr>
          <w:sz w:val="22"/>
        </w:rPr>
      </w:pPr>
      <w:r>
        <w:rPr>
          <w:sz w:val="22"/>
        </w:rPr>
        <w:t xml:space="preserve">г. Сясьстрой                                                                                                                            </w:t>
      </w:r>
      <w:r>
        <w:rPr>
          <w:sz w:val="22"/>
        </w:rPr>
        <w:t xml:space="preserve">   «</w:t>
      </w:r>
      <w:r>
        <w:rPr>
          <w:sz w:val="22"/>
        </w:rPr>
        <w:t xml:space="preserve">  </w:t>
      </w:r>
      <w:r>
        <w:rPr>
          <w:sz w:val="22"/>
        </w:rPr>
        <w:t>»</w:t>
      </w:r>
      <w:r>
        <w:rPr>
          <w:sz w:val="22"/>
        </w:rPr>
        <w:t xml:space="preserve"> ноября 2026 г.</w:t>
      </w:r>
    </w:p>
    <w:p w14:paraId="05000000">
      <w:pPr>
        <w:tabs>
          <w:tab w:leader="none" w:pos="1800" w:val="clear"/>
        </w:tabs>
        <w:ind w:firstLine="0" w:left="0"/>
        <w:rPr>
          <w:sz w:val="22"/>
        </w:rPr>
      </w:pPr>
    </w:p>
    <w:p w14:paraId="06000000">
      <w:pPr>
        <w:pStyle w:val="Style_1"/>
        <w:spacing w:after="0" w:before="0"/>
        <w:ind w:firstLine="284" w:left="0"/>
      </w:pPr>
      <w:r>
        <w:t>Ленинградское областное государственное стационарное бюджетное учреждение социального обслуживания «Сясьстройский дом социального проживания», именуемое в дальнейшем «Заказчик», в лице директора Журавель Марии Борисовны, действующего на основании Устава, с одной стороны, и ____________, в лице генерального ______________, действующего на основании _____ (далее – «Исполнитель») с другой стороны,, далее совместно именуемые «Стороны», а по от</w:t>
      </w:r>
      <w:r>
        <w:t xml:space="preserve">дельности «Сторона», </w:t>
      </w:r>
      <w:r>
        <w:rPr>
          <w:sz w:val="28"/>
        </w:rPr>
        <w:t xml:space="preserve"> </w:t>
      </w:r>
      <w:r>
        <w:t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нужд»), заключили настоящий договор (далее – «Договор») о нижеследующем:</w:t>
      </w:r>
    </w:p>
    <w:p w14:paraId="07000000">
      <w:pPr>
        <w:pStyle w:val="Style_1"/>
        <w:spacing w:after="0" w:before="0"/>
        <w:ind w:firstLine="0" w:left="0"/>
        <w:rPr>
          <w:b w:val="1"/>
        </w:rPr>
      </w:pPr>
    </w:p>
    <w:p w14:paraId="08000000">
      <w:pPr>
        <w:tabs>
          <w:tab w:leader="none" w:pos="1800" w:val="clear"/>
        </w:tabs>
        <w:ind w:firstLine="284" w:left="0"/>
        <w:jc w:val="center"/>
        <w:rPr>
          <w:b w:val="1"/>
          <w:sz w:val="22"/>
        </w:rPr>
      </w:pPr>
      <w:r>
        <w:rPr>
          <w:b w:val="1"/>
          <w:sz w:val="22"/>
        </w:rPr>
        <w:t>1. ПРЕДМЕТ ДОГОВОРА</w:t>
      </w:r>
    </w:p>
    <w:p w14:paraId="09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1.1. Исполнитель</w:t>
      </w:r>
      <w:r>
        <w:rPr>
          <w:sz w:val="22"/>
        </w:rPr>
        <w:t xml:space="preserve"> принимает на себя обязательство по оказанию услуг </w:t>
      </w:r>
      <w:r>
        <w:rPr>
          <w:sz w:val="22"/>
        </w:rPr>
        <w:t>по</w:t>
      </w:r>
      <w:r>
        <w:rPr>
          <w:sz w:val="22"/>
        </w:rPr>
        <w:t>разработке рабочего проекта системы автоматической пожарной сигнализации и системы оповещения людей о пожаре в здании пищеблока со столовой и производственными складами при проведении работ по капитальному ремонту</w:t>
      </w:r>
      <w:r>
        <w:rPr>
          <w:sz w:val="22"/>
        </w:rPr>
        <w:t xml:space="preserve"> (далее – услуга), а Заказчик обязуется принять и оплатить услугу, оказанную надлежащим образом.</w:t>
      </w:r>
    </w:p>
    <w:p w14:paraId="0A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1.2. Услуга</w:t>
      </w:r>
      <w:r>
        <w:rPr>
          <w:sz w:val="22"/>
        </w:rPr>
        <w:t xml:space="preserve"> по настоящему Договору оказывается в соответствии с описанием объекта закупки (Приложение № 1 к Договору).</w:t>
      </w:r>
    </w:p>
    <w:p w14:paraId="0B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1.3. Сроки исполнения Договора: не позднее 16.11.2026 года.</w:t>
      </w:r>
    </w:p>
    <w:p w14:paraId="0C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p w14:paraId="0D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2. ЦЕНА ДОГОВОРА И ПОРЯДОК РАСЧЕТОВ</w:t>
      </w:r>
    </w:p>
    <w:p w14:paraId="0E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bookmarkStart w:id="1" w:name="_Hlk91511660"/>
      <w:r>
        <w:rPr>
          <w:sz w:val="22"/>
        </w:rPr>
        <w:t xml:space="preserve">2.1. Цена Договора составляет _____,____ (_________) руб. __ коп., </w:t>
      </w:r>
      <w:bookmarkEnd w:id="1"/>
      <w:r>
        <w:rPr>
          <w:sz w:val="22"/>
        </w:rPr>
        <w:t xml:space="preserve">НДС __% / не облагается. </w:t>
      </w:r>
    </w:p>
    <w:p w14:paraId="0F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2.2. Цена Договора является твердой, определяется на весь срок исполнения Договора и не подлежит изменению, за исключением случаев, установленных Федеральным законом о Договорной системе и иным действующим законодательством Российской Федерации.</w:t>
      </w:r>
    </w:p>
    <w:p w14:paraId="10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2.3. Цена Договора уменьшается на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</w:t>
      </w:r>
      <w:r>
        <w:rPr>
          <w:sz w:val="22"/>
        </w:rPr>
        <w:t>и Заказчиком.</w:t>
      </w:r>
    </w:p>
    <w:p w14:paraId="11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2.4. Источник финансирования: средства бюджетных</w:t>
      </w:r>
      <w:r>
        <w:rPr>
          <w:sz w:val="22"/>
        </w:rPr>
        <w:t xml:space="preserve"> учреждений (собственные средства). </w:t>
      </w:r>
    </w:p>
    <w:p w14:paraId="12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2.5. Цена Договора может быть снижена по соглашению сторон без изменения объема услуги, предусмотренных Описанием объекта закупки и иных условий исполнения Договора.</w:t>
      </w:r>
    </w:p>
    <w:p w14:paraId="13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2.6. Оплата за оказанные услуги производится заказчиком в течение 7 (семи) рабочих дней с момента подписания сторонами акта оказанных услуг и предоставления Исполнителем счета, по безналичному расчету в соответствии с порядком казначейской системы исполнения бюджета Ленинградской области путем перечисления денежных средств на расчетный счет Исполнителя.</w:t>
      </w:r>
    </w:p>
    <w:p w14:paraId="14000000">
      <w:pPr>
        <w:tabs>
          <w:tab w:leader="none" w:pos="1800" w:val="clear"/>
        </w:tabs>
        <w:ind w:firstLine="284" w:left="0"/>
        <w:jc w:val="both"/>
      </w:pPr>
      <w:r>
        <w:rPr>
          <w:sz w:val="22"/>
        </w:rPr>
        <w:t xml:space="preserve">2.7. </w:t>
      </w:r>
      <w:r>
        <w:rPr>
          <w:rStyle w:val="Style_2_ch"/>
          <w:sz w:val="22"/>
        </w:rPr>
        <w:t xml:space="preserve">Заказчик выплачивает Подрядчику аванс в размере 30 % (тридцати процентов) от цены договора в течение 5 (пяти) рабочих дней с даты подписания настоящего договора. Погашение авансового платежа производится путем вычетов из сумм платежей, причитающихся Подрядчику за фактически выполненные работы. Подрядчик в течение 5 (пяти) дней после получения авансового платежа выставляет Заказчику счет-фактуру на аванс. </w:t>
      </w:r>
    </w:p>
    <w:p w14:paraId="15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2.8</w:t>
      </w:r>
      <w:r>
        <w:rPr>
          <w:sz w:val="22"/>
        </w:rPr>
        <w:t>. Оплата по Договору осуществляется по безналичному расчету путем перечисления Заказчиком денежных средств на расчетный счет Исполнителя, указанный в настоящем Договоре. В случае изменения реквизитов расчетного счета, Исполнитель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расчетный счет Исполнителя, несет Исполнитель.</w:t>
      </w:r>
    </w:p>
    <w:p w14:paraId="16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17000000">
      <w:pPr>
        <w:tabs>
          <w:tab w:leader="none" w:pos="1800" w:val="clear"/>
        </w:tabs>
        <w:ind w:firstLine="284" w:left="0"/>
        <w:jc w:val="center"/>
        <w:rPr>
          <w:b w:val="1"/>
          <w:sz w:val="22"/>
        </w:rPr>
      </w:pPr>
      <w:r>
        <w:rPr>
          <w:b w:val="1"/>
          <w:sz w:val="22"/>
        </w:rPr>
        <w:t>3. ОБЯЗАННОСТИ СТОРОН</w:t>
      </w:r>
    </w:p>
    <w:p w14:paraId="18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3.1. Исполнитель обязан:</w:t>
      </w:r>
    </w:p>
    <w:p w14:paraId="19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3.1.1. Оказывать услуги в соответствии с Описанием объекта закупки, представленным в Приложении №1 к Договору.</w:t>
      </w:r>
    </w:p>
    <w:p w14:paraId="1A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3.2 Заказчик обязан:</w:t>
      </w:r>
    </w:p>
    <w:p w14:paraId="1B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3.2.1. Принять и оплатить услуги Исполнителя, в соответствии с условиями настоящего Договора.</w:t>
      </w:r>
    </w:p>
    <w:p w14:paraId="1C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3.3. Исполнитель вправе:</w:t>
      </w:r>
    </w:p>
    <w:p w14:paraId="1D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 xml:space="preserve">3.3.1. Исполнитель вправе привлекать для оказания услуги соисполнителей.               </w:t>
      </w:r>
    </w:p>
    <w:p w14:paraId="1E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В случае привлечения соисполнителей, Исполнитель несет ответственность за их действия перед Заказчиком.</w:t>
      </w:r>
    </w:p>
    <w:p w14:paraId="1F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3.4. Заказчик вправе:</w:t>
      </w:r>
    </w:p>
    <w:p w14:paraId="20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3.4.1. В любое время проверять соответствие качества оказываемой Исполнителем услуги, установленной настоящим Договором и другими обязательными для Исполнителя требованиями, предусмотренными законодательством Российской Федерации, без вмешательства в оперативно-хозяйственную деятельность Исполнителя. Если в результате такой проверки станет очевидным, что услуга не будет оказана надлежащим образом и (или) в установленные Договором сроки, Заказчик вправе направить Исполнителю требование об устранении недостат</w:t>
      </w:r>
      <w:r>
        <w:rPr>
          <w:sz w:val="22"/>
        </w:rPr>
        <w:t>ков с указанием срока для их устранения.</w:t>
      </w:r>
    </w:p>
    <w:p w14:paraId="21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p w14:paraId="22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4. ПОРЯДОК СДАЧИ И ПРИЕМКИ УСЛУГ</w:t>
      </w:r>
    </w:p>
    <w:p w14:paraId="23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4.1.    Исполнитель направляет Заказчику акт сдачи-приемки услуг в течение 5 рабочих дней с даты проведения мероприятия.</w:t>
      </w:r>
    </w:p>
    <w:p w14:paraId="24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4.2. Моментом сдачи-приемки услуг считается день подписания акта, если иное не предусмотрено в пункте 4.3 настоящего Договора.</w:t>
      </w:r>
    </w:p>
    <w:p w14:paraId="25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4.3. В случае претензий со стороны Заказчика по объему и качеству услуг, указанных в акте сдачи-приемки работ, Заказчик в течение пяти рабочих дней со дня предоставления акта обязан направить Исполнителю в письменной форме мотивированный отказ от принятия услуг. В противном случае услуги считаются выполненными Исполнителем и принятыми Заказчиком по истечении пяти рабочих дней с момента получения Заказчиком акта приемки услуг.</w:t>
      </w:r>
    </w:p>
    <w:p w14:paraId="26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27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5. ПОРЯДОК РАЗРЕШЕНИЯ СПОРОВ</w:t>
      </w:r>
    </w:p>
    <w:p w14:paraId="28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5.1. Стороны пришли к соглашению о том, что спорные вопросы, которые могут возникнуть в ходе реализации Договора или в связи с ним, решаются путем переговоров.</w:t>
      </w:r>
    </w:p>
    <w:p w14:paraId="29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5.2. Письма, уведомления и претензии в письменной форме направляются стороне, допустившей нарушение условий настоящего Договора. В документах указываются допущенные нарушения со ссылкой на соответствующее положение Договора или его приложений, пени, штрафы, а также действия, которые должны быть произведены для устранения нарушений.</w:t>
      </w:r>
    </w:p>
    <w:p w14:paraId="2A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5.3. Срок рассмотрения писем, уведомлений или претензий не может превышать 10 рабочих дней со дня их получения. Переписка сторон может осуществляться в виде письма, телеграммы, электронного сообщения с последующим предоставлением оригинала документа.</w:t>
      </w:r>
    </w:p>
    <w:p w14:paraId="2B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 xml:space="preserve">5.4. Споры, по которым стороны не достигли соглашения, рассматриваются в Арбитражном суде города Санкт-Петербурга и Ленинградской области. </w:t>
      </w:r>
    </w:p>
    <w:p w14:paraId="2C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2D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6. ПОРЯДОК ИЗМЕНЕНИЯ И РАСТОРЖЕНИЯ ДОГОВОРА</w:t>
      </w:r>
    </w:p>
    <w:p w14:paraId="2E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6.1. Расторжение настоящего Договор</w:t>
      </w:r>
      <w:r>
        <w:rPr>
          <w:sz w:val="22"/>
        </w:rPr>
        <w:t xml:space="preserve">а допускается по соглашению Сторон, по решению суда, или в связи с односторонним отказом Стороны Договора от исполнения Договора в соответствии с Гражданским кодексом Российской Федерации. </w:t>
      </w:r>
    </w:p>
    <w:p w14:paraId="2F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6.2. Условием для одностороннего отказа является неоднократное (более двух раз) невыполнение и/или ненадлежащее выполнение условий настоящего Договора одной стороной, о чем эта Сторона была письменно уведомлена более двух раз другой Стороной Договора, которая инициировала одностороннее расторжение Договора.</w:t>
      </w:r>
    </w:p>
    <w:p w14:paraId="30000000">
      <w:pPr>
        <w:tabs>
          <w:tab w:leader="none" w:pos="1800" w:val="clear"/>
        </w:tabs>
        <w:ind w:firstLine="0" w:left="0"/>
        <w:jc w:val="center"/>
        <w:rPr>
          <w:sz w:val="22"/>
        </w:rPr>
      </w:pPr>
    </w:p>
    <w:p w14:paraId="31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7. ОТВЕТСТВЕННОСТЬ СТОРОН</w:t>
      </w:r>
    </w:p>
    <w:p w14:paraId="32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7.1. Стороны несут ответственность за неисполнение и ненадлежащее исполнение Договора, в том числе за неполное и несвоевременное исполнение своих обязательств по Договору, в соответствии с положениями гражданского законодательства, действующего на территории России.</w:t>
      </w:r>
    </w:p>
    <w:p w14:paraId="33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7.2. За нарушение срока оказания Услуг, указанного в п. 1.2 настоящего договора, Исполнитель уплачивает пеню из расчета 0,5 % от суммы договора за каждый день просрочки.</w:t>
      </w:r>
    </w:p>
    <w:p w14:paraId="34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7.3. За нарушение срока оплаты Услуг, указанного в п. 2.3 настоящего договора, Заказчик уплачивает пеню из расчета 0,5 % от суммы договора за каждый день просрочки.</w:t>
      </w:r>
    </w:p>
    <w:p w14:paraId="35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7.4.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России.</w:t>
      </w:r>
    </w:p>
    <w:p w14:paraId="36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7.5. Уплата неустойки не освобождает Исполнителя от выполнения лежащих на нем обязательств или устранения нарушений.</w:t>
      </w:r>
    </w:p>
    <w:p w14:paraId="37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38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 xml:space="preserve">8. ОБСТОЯТЕЛЬСТВА НЕПРЕОДОЛИМОЙ СИЛЫ </w:t>
      </w:r>
    </w:p>
    <w:p w14:paraId="39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8.1. Стороны не несут ответственность за полное или частичное неисполнение предусмотренных настоящим Договором обязательств, если такое неисполнение связано с обстоятельствами непреодолимой силы.</w:t>
      </w:r>
    </w:p>
    <w:p w14:paraId="3A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B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8.3. В случае возникновения обстоятельств непреодолимой силы Стороны вправе расторгнуть настоящий Договор, и в этом случае ни одна из Сторон не вправе требовать возмещения убытков.</w:t>
      </w:r>
    </w:p>
    <w:p w14:paraId="3C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8.4.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D000000">
      <w:pPr>
        <w:tabs>
          <w:tab w:leader="none" w:pos="1800" w:val="clear"/>
        </w:tabs>
        <w:ind w:firstLine="284" w:left="0"/>
        <w:jc w:val="center"/>
        <w:rPr>
          <w:b w:val="1"/>
          <w:sz w:val="22"/>
        </w:rPr>
      </w:pPr>
    </w:p>
    <w:p w14:paraId="3E000000">
      <w:pPr>
        <w:tabs>
          <w:tab w:leader="none" w:pos="1800" w:val="clear"/>
        </w:tabs>
        <w:ind w:firstLine="284" w:left="0"/>
        <w:jc w:val="center"/>
        <w:rPr>
          <w:b w:val="1"/>
          <w:sz w:val="22"/>
        </w:rPr>
      </w:pPr>
      <w:r>
        <w:rPr>
          <w:b w:val="1"/>
          <w:sz w:val="22"/>
        </w:rPr>
        <w:t>9. КОНФИДЕНЦИАЛЬНОСТЬ</w:t>
      </w:r>
    </w:p>
    <w:p w14:paraId="3F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9.1. Право раскрывать содержание Договора, публиковать в открытой печати, а также предоставлять информацию о ходе его исполнения, полученных результатах другим лицам принадлежит Заказчику.</w:t>
      </w:r>
    </w:p>
    <w:p w14:paraId="40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41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10. ЗАКЛЮЧИТЕЛЬНЫЕ ПОЛОЖЕНИЯ</w:t>
      </w:r>
    </w:p>
    <w:p w14:paraId="42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 xml:space="preserve">10.1. Настоящий Договор вступает в силу с даты его подписания и действует по 31.12.2026 включительно. </w:t>
      </w:r>
    </w:p>
    <w:p w14:paraId="43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10.2. Отношения, не урегулированные настоящим Договором, регулируются в соответствии с действующим законодательством Российской Федерации.</w:t>
      </w:r>
    </w:p>
    <w:p w14:paraId="44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10.3.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Договора.</w:t>
      </w:r>
    </w:p>
    <w:p w14:paraId="45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 xml:space="preserve">10.4. Все приложения, указанные в тексте настоящего Договора, являются его неотъемлемыми частями. </w:t>
      </w:r>
    </w:p>
    <w:p w14:paraId="46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10.5. В случае изменения адреса места нахождения юридического лица или банковских реквизитов любой из Сторон, другая Сторона извещается об этом по факсу в течение пяти рабочих дней.</w:t>
      </w:r>
    </w:p>
    <w:p w14:paraId="47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10.6. Последующие приложения, протоколы и другие документы, составленные после заключения настоящего Договора, в зависимости от содержания, могут дополнять или изменять содержание отдельных положений настоящего Договора по взаимному согласию Сторон или в иных случаях, определенных действующим законодательством.</w:t>
      </w:r>
    </w:p>
    <w:p w14:paraId="48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10.7.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49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10.8. Приложения к договору:</w:t>
      </w:r>
    </w:p>
    <w:p w14:paraId="4A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Приложение № 1 – Описание объекта закупки;</w:t>
      </w:r>
    </w:p>
    <w:p w14:paraId="4B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Приложение № 2 – Спецификация.</w:t>
      </w:r>
    </w:p>
    <w:p w14:paraId="4C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4D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11. ЮРИДИЧЕСКИЕ АДРЕСА И БАНКОВСКИЕ РЕКВИЗИТЫ СТОРОН</w:t>
      </w:r>
    </w:p>
    <w:tbl>
      <w:tblPr>
        <w:tblStyle w:val="Style_3"/>
        <w:tblInd w:type="dxa" w:w="159"/>
        <w:tblLayout w:type="fixed"/>
      </w:tblPr>
      <w:tblGrid>
        <w:gridCol w:w="5180"/>
        <w:gridCol w:w="5093"/>
      </w:tblGrid>
      <w:tr>
        <w:trPr>
          <w:trHeight w:hRule="atLeast" w:val="2631"/>
        </w:trPr>
        <w:tc>
          <w:tcPr>
            <w:tcW w:type="dxa" w:w="5180"/>
          </w:tcPr>
          <w:p w14:paraId="4E000000">
            <w:pPr>
              <w:widowControl w:val="0"/>
              <w:tabs>
                <w:tab w:leader="none" w:pos="1800" w:val="clear"/>
              </w:tabs>
              <w:ind w:hanging="1800" w:left="1800"/>
              <w:contextualSpacing w:val="1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Заказчик:</w:t>
            </w:r>
          </w:p>
          <w:p w14:paraId="4F000000">
            <w:pPr>
              <w:widowControl w:val="0"/>
              <w:tabs>
                <w:tab w:leader="none" w:pos="1800" w:val="clear"/>
              </w:tabs>
              <w:ind w:hanging="1800" w:left="1800" w:right="312"/>
              <w:contextualSpacing w:val="1"/>
              <w:jc w:val="both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ЛОГБУ «Сясьстройский ДСП»</w:t>
            </w:r>
          </w:p>
          <w:p w14:paraId="50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ИНН 4718004094 КПП 470201001 </w:t>
            </w:r>
          </w:p>
          <w:p w14:paraId="51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Местонахождение и почтовый адрес: </w:t>
            </w:r>
          </w:p>
          <w:p w14:paraId="52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187420, Ленинградская обл., Волховский район, </w:t>
            </w:r>
          </w:p>
          <w:p w14:paraId="53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г. Сясьстрой, ул. Бумажников, д.38. </w:t>
            </w:r>
          </w:p>
          <w:p w14:paraId="54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Комитет финансов Ленинградской области </w:t>
            </w:r>
          </w:p>
          <w:p w14:paraId="55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(ЛОГБУ «Сясьстройский ДСП» л/с </w:t>
            </w:r>
          </w:p>
          <w:p w14:paraId="56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>20182987026) ОКЦ №1 Северо-Западное ГУ Банка России/</w:t>
            </w:r>
          </w:p>
          <w:p w14:paraId="57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>/УФК по Ленинградской области</w:t>
            </w:r>
          </w:p>
          <w:p w14:paraId="58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>г. Санкт-Петербург</w:t>
            </w:r>
          </w:p>
          <w:p w14:paraId="59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>р/сч</w:t>
            </w:r>
            <w:r>
              <w:rPr>
                <w:sz w:val="22"/>
              </w:rPr>
              <w:t xml:space="preserve"> 032 246 434 100 000 045 00</w:t>
            </w:r>
          </w:p>
          <w:p w14:paraId="5A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>к/сч 401 028 107 453 700 000 98</w:t>
            </w:r>
          </w:p>
          <w:p w14:paraId="5B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БИК 044030098        ОКПО 05163824         </w:t>
            </w:r>
          </w:p>
          <w:p w14:paraId="5C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ОКТМО 41609108001     ОГРН 1024702051340    </w:t>
            </w:r>
          </w:p>
          <w:p w14:paraId="5D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>Адрес электронной почты: syas_pni@mail.ru</w:t>
            </w:r>
          </w:p>
          <w:p w14:paraId="5E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Тел. Договорной службы 8(81363)61081 </w:t>
            </w:r>
          </w:p>
        </w:tc>
        <w:tc>
          <w:tcPr>
            <w:tcW w:type="dxa" w:w="5093"/>
          </w:tcPr>
          <w:p w14:paraId="5F000000">
            <w:pPr>
              <w:widowControl w:val="0"/>
              <w:tabs>
                <w:tab w:leader="none" w:pos="1800" w:val="clear"/>
              </w:tabs>
              <w:ind w:firstLine="0" w:left="0"/>
              <w:contextualSpacing w:val="1"/>
              <w:rPr>
                <w:sz w:val="22"/>
              </w:rPr>
            </w:pPr>
            <w:r>
              <w:rPr>
                <w:rStyle w:val="Style_4_ch"/>
                <w:sz w:val="22"/>
              </w:rPr>
              <w:t>Исполнитель:</w:t>
            </w:r>
          </w:p>
          <w:p w14:paraId="60000000">
            <w:pPr>
              <w:widowControl w:val="0"/>
              <w:tabs>
                <w:tab w:leader="none" w:pos="1800" w:val="clear"/>
              </w:tabs>
              <w:ind w:firstLine="0" w:left="0"/>
              <w:contextualSpacing w:val="1"/>
              <w:rPr>
                <w:sz w:val="22"/>
              </w:rPr>
            </w:pPr>
          </w:p>
          <w:p w14:paraId="61000000">
            <w:pPr>
              <w:ind w:firstLine="0" w:left="0"/>
              <w:rPr>
                <w:sz w:val="22"/>
              </w:rPr>
            </w:pPr>
          </w:p>
        </w:tc>
      </w:tr>
    </w:tbl>
    <w:p w14:paraId="62000000">
      <w:pPr>
        <w:tabs>
          <w:tab w:leader="none" w:pos="1800" w:val="clear"/>
          <w:tab w:leader="none" w:pos="4185" w:val="left"/>
          <w:tab w:leader="none" w:pos="4422" w:val="clear"/>
        </w:tabs>
        <w:ind w:firstLine="0" w:left="0"/>
        <w:jc w:val="both"/>
        <w:rPr>
          <w:sz w:val="22"/>
        </w:rPr>
      </w:pPr>
    </w:p>
    <w:p w14:paraId="63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12. ПОДПИСИ СТОРОН.</w:t>
      </w:r>
    </w:p>
    <w:p w14:paraId="64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tbl>
      <w:tblPr>
        <w:tblStyle w:val="Style_3"/>
        <w:tblLayout w:type="fixed"/>
      </w:tblPr>
      <w:tblGrid>
        <w:gridCol w:w="5148"/>
        <w:gridCol w:w="4680"/>
      </w:tblGrid>
      <w:tr>
        <w:tc>
          <w:tcPr>
            <w:tcW w:type="dxa" w:w="5148"/>
          </w:tcPr>
          <w:p w14:paraId="65000000">
            <w:pPr>
              <w:tabs>
                <w:tab w:leader="none" w:pos="0" w:val="left"/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Заказчик</w:t>
            </w:r>
          </w:p>
        </w:tc>
        <w:tc>
          <w:tcPr>
            <w:tcW w:type="dxa" w:w="4680"/>
          </w:tcPr>
          <w:p w14:paraId="66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Исполнитель</w:t>
            </w:r>
          </w:p>
        </w:tc>
      </w:tr>
      <w:tr>
        <w:tc>
          <w:tcPr>
            <w:tcW w:type="dxa" w:w="5148"/>
          </w:tcPr>
          <w:p w14:paraId="67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Директор ЛОГБУ «Сясьстройский ДСП»</w:t>
            </w:r>
          </w:p>
          <w:p w14:paraId="68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69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________________ Журавель М.Б.</w:t>
            </w:r>
          </w:p>
        </w:tc>
        <w:tc>
          <w:tcPr>
            <w:tcW w:type="dxa" w:w="4680"/>
          </w:tcPr>
          <w:p w14:paraId="6A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6B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6C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 xml:space="preserve">_____________ </w:t>
            </w:r>
          </w:p>
        </w:tc>
      </w:tr>
    </w:tbl>
    <w:p w14:paraId="6D000000">
      <w:pPr>
        <w:tabs>
          <w:tab w:leader="none" w:pos="1800" w:val="clear"/>
        </w:tabs>
        <w:ind w:firstLine="0" w:left="-285"/>
        <w:rPr>
          <w:sz w:val="22"/>
        </w:rPr>
      </w:pPr>
    </w:p>
    <w:p w14:paraId="6E000000">
      <w:pPr>
        <w:tabs>
          <w:tab w:leader="none" w:pos="1800" w:val="clear"/>
        </w:tabs>
        <w:ind w:firstLine="0" w:left="-285"/>
        <w:rPr>
          <w:sz w:val="22"/>
        </w:rPr>
      </w:pPr>
    </w:p>
    <w:p w14:paraId="6F000000">
      <w:pPr>
        <w:pStyle w:val="Style_5"/>
        <w:tabs>
          <w:tab w:leader="none" w:pos="1800" w:val="clear"/>
        </w:tabs>
        <w:ind w:firstLine="0" w:left="1800"/>
        <w:jc w:val="right"/>
        <w:rPr>
          <w:sz w:val="22"/>
        </w:rPr>
      </w:pPr>
      <w:bookmarkStart w:id="2" w:name="_Hlk85806155"/>
      <w:r>
        <w:rPr>
          <w:sz w:val="22"/>
        </w:rPr>
        <w:t>Приложение № 1</w:t>
      </w:r>
    </w:p>
    <w:p w14:paraId="70000000">
      <w:pPr>
        <w:pStyle w:val="Style_5"/>
        <w:tabs>
          <w:tab w:leader="none" w:pos="1800" w:val="clear"/>
        </w:tabs>
        <w:ind w:firstLine="0" w:left="1800"/>
        <w:jc w:val="right"/>
        <w:rPr>
          <w:sz w:val="22"/>
        </w:rPr>
      </w:pPr>
      <w:r>
        <w:rPr>
          <w:sz w:val="22"/>
        </w:rPr>
        <w:t xml:space="preserve">к Договору № </w:t>
      </w:r>
    </w:p>
    <w:p w14:paraId="71000000">
      <w:pPr>
        <w:pStyle w:val="Style_5"/>
        <w:tabs>
          <w:tab w:leader="none" w:pos="1800" w:val="clear"/>
        </w:tabs>
        <w:ind w:firstLine="0" w:left="1800"/>
        <w:jc w:val="right"/>
        <w:rPr>
          <w:sz w:val="22"/>
        </w:rPr>
      </w:pPr>
      <w:r>
        <w:rPr>
          <w:sz w:val="22"/>
        </w:rPr>
        <w:t xml:space="preserve">от </w:t>
      </w:r>
      <w:r>
        <w:rPr>
          <w:sz w:val="22"/>
        </w:rPr>
        <w:t xml:space="preserve">«  </w:t>
      </w:r>
      <w:r>
        <w:rPr>
          <w:sz w:val="22"/>
        </w:rPr>
        <w:t xml:space="preserve"> » ноября 2026 г.</w:t>
      </w:r>
      <w:bookmarkEnd w:id="2"/>
    </w:p>
    <w:p w14:paraId="72000000">
      <w:pPr>
        <w:tabs>
          <w:tab w:leader="none" w:pos="1800" w:val="clear"/>
        </w:tabs>
        <w:ind w:firstLine="0" w:left="424"/>
        <w:jc w:val="right"/>
        <w:rPr>
          <w:sz w:val="22"/>
        </w:rPr>
      </w:pPr>
    </w:p>
    <w:p w14:paraId="73000000">
      <w:pPr>
        <w:tabs>
          <w:tab w:leader="none" w:pos="1800" w:val="clear"/>
        </w:tabs>
        <w:ind w:firstLine="0" w:left="424"/>
        <w:jc w:val="center"/>
        <w:rPr>
          <w:sz w:val="22"/>
        </w:rPr>
      </w:pPr>
    </w:p>
    <w:p w14:paraId="74000000">
      <w:pPr>
        <w:tabs>
          <w:tab w:leader="none" w:pos="1800" w:val="clear"/>
        </w:tabs>
        <w:ind/>
        <w:rPr>
          <w:b w:val="1"/>
          <w:sz w:val="22"/>
        </w:rPr>
      </w:pPr>
      <w:r>
        <w:rPr>
          <w:b w:val="1"/>
          <w:sz w:val="22"/>
        </w:rPr>
        <w:t>Описание объекта закупки</w:t>
      </w:r>
    </w:p>
    <w:p w14:paraId="75000000">
      <w:pPr>
        <w:tabs>
          <w:tab w:leader="none" w:pos="1800" w:val="clear"/>
        </w:tabs>
        <w:ind/>
        <w:rPr>
          <w:b w:val="1"/>
          <w:sz w:val="22"/>
        </w:rPr>
      </w:pPr>
    </w:p>
    <w:p w14:paraId="76000000">
      <w:pPr>
        <w:keepNext w:val="1"/>
        <w:keepLines w:val="1"/>
        <w:spacing w:after="0" w:line="240" w:lineRule="auto"/>
        <w:ind w:hanging="308" w:left="308" w:right="-1"/>
        <w:contextualSpacing w:val="1"/>
        <w:jc w:val="both"/>
        <w:outlineLvl w:val="1"/>
        <w:rPr>
          <w:rFonts w:ascii="Times New Roman" w:hAnsi="Times New Roman"/>
          <w:b w:val="1"/>
          <w:color w:val="000000"/>
          <w:sz w:val="22"/>
          <w:u w:color="000000" w:val="single"/>
        </w:rPr>
      </w:pPr>
      <w:r>
        <w:rPr>
          <w:rFonts w:ascii="Times New Roman" w:hAnsi="Times New Roman"/>
          <w:b w:val="1"/>
          <w:color w:val="000000"/>
          <w:sz w:val="22"/>
          <w:u w:color="000000" w:val="single"/>
        </w:rPr>
        <w:t>1</w:t>
      </w:r>
      <w:r>
        <w:rPr>
          <w:rFonts w:ascii="Times New Roman" w:hAnsi="Times New Roman"/>
          <w:b w:val="1"/>
          <w:color w:val="000000"/>
          <w:sz w:val="22"/>
          <w:u w:color="000000" w:val="single"/>
        </w:rPr>
        <w:t>. Общая информация об объекте закупки:</w:t>
      </w:r>
    </w:p>
    <w:p w14:paraId="77000000">
      <w:pPr>
        <w:spacing w:after="0" w:line="240" w:lineRule="auto"/>
        <w:ind w:firstLine="425" w:left="0" w:right="-1"/>
        <w:contextualSpacing w:val="1"/>
        <w:jc w:val="both"/>
        <w:rPr>
          <w:sz w:val="22"/>
        </w:rPr>
      </w:pPr>
      <w:r>
        <w:rPr>
          <w:rFonts w:ascii="Times New Roman" w:hAnsi="Times New Roman"/>
          <w:b w:val="1"/>
          <w:color w:val="000000"/>
          <w:sz w:val="22"/>
        </w:rPr>
        <w:t>1.1. Объект закупки:</w:t>
      </w:r>
      <w:r>
        <w:rPr>
          <w:rFonts w:ascii="Times New Roman" w:hAnsi="Times New Roman"/>
          <w:color w:val="000000"/>
          <w:sz w:val="22"/>
        </w:rPr>
        <w:t xml:space="preserve"> </w:t>
      </w:r>
      <w:r>
        <w:rPr>
          <w:rStyle w:val="Style_2_ch"/>
          <w:sz w:val="22"/>
        </w:rPr>
        <w:t>Оказание услуг по аренде подъемно-транспортного оборудования для нужд ЛОГБУ "Сясьстройский ДСП"</w:t>
      </w:r>
    </w:p>
    <w:p w14:paraId="78000000">
      <w:pPr>
        <w:spacing w:after="0" w:line="240" w:lineRule="auto"/>
        <w:ind w:firstLine="425" w:left="0" w:right="-1"/>
        <w:contextualSpacing w:val="1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b w:val="1"/>
          <w:color w:val="000000"/>
          <w:sz w:val="22"/>
        </w:rPr>
        <w:t>1.</w:t>
      </w:r>
      <w:r>
        <w:rPr>
          <w:rFonts w:ascii="Times New Roman" w:hAnsi="Times New Roman"/>
          <w:b w:val="1"/>
          <w:color w:val="000000"/>
          <w:sz w:val="22"/>
        </w:rPr>
        <w:t>2</w:t>
      </w:r>
      <w:r>
        <w:rPr>
          <w:rFonts w:ascii="Times New Roman" w:hAnsi="Times New Roman"/>
          <w:b w:val="1"/>
          <w:color w:val="000000"/>
          <w:sz w:val="22"/>
        </w:rPr>
        <w:t>. Адрес</w:t>
      </w:r>
      <w:r>
        <w:rPr>
          <w:rFonts w:ascii="Times New Roman" w:hAnsi="Times New Roman"/>
          <w:b w:val="1"/>
          <w:color w:val="000000"/>
          <w:sz w:val="22"/>
        </w:rPr>
        <w:t>а</w:t>
      </w:r>
      <w:r>
        <w:rPr>
          <w:rFonts w:ascii="Times New Roman" w:hAnsi="Times New Roman"/>
          <w:b w:val="1"/>
          <w:color w:val="000000"/>
          <w:sz w:val="22"/>
        </w:rPr>
        <w:t xml:space="preserve"> оказания услуг: </w:t>
      </w:r>
      <w:r>
        <w:rPr>
          <w:sz w:val="22"/>
        </w:rPr>
        <w:t xml:space="preserve">87420, Ленинградская обл., Волховский район, </w:t>
      </w:r>
      <w:r>
        <w:rPr>
          <w:sz w:val="22"/>
        </w:rPr>
        <w:t>г. Сясьстрой, ул. Бумажников, д.38.</w:t>
      </w:r>
    </w:p>
    <w:p w14:paraId="79000000">
      <w:pPr>
        <w:tabs>
          <w:tab w:leader="none" w:pos="851" w:val="left"/>
          <w:tab w:leader="none" w:pos="1134" w:val="left"/>
        </w:tabs>
        <w:spacing w:after="0" w:line="240" w:lineRule="auto"/>
        <w:ind w:firstLine="425" w:left="0" w:right="-1"/>
        <w:contextualSpacing w:val="1"/>
        <w:jc w:val="both"/>
        <w:rPr>
          <w:sz w:val="22"/>
        </w:rPr>
      </w:pPr>
      <w:r>
        <w:rPr>
          <w:rFonts w:ascii="Times New Roman" w:hAnsi="Times New Roman"/>
          <w:b w:val="1"/>
          <w:color w:val="000000"/>
          <w:sz w:val="22"/>
        </w:rPr>
        <w:t>1.</w:t>
      </w:r>
      <w:r>
        <w:rPr>
          <w:rFonts w:ascii="Times New Roman" w:hAnsi="Times New Roman"/>
          <w:b w:val="1"/>
          <w:color w:val="000000"/>
          <w:sz w:val="22"/>
        </w:rPr>
        <w:t>3</w:t>
      </w:r>
      <w:r>
        <w:rPr>
          <w:rFonts w:ascii="Times New Roman" w:hAnsi="Times New Roman"/>
          <w:b w:val="1"/>
          <w:color w:val="000000"/>
          <w:sz w:val="22"/>
        </w:rPr>
        <w:t xml:space="preserve">. </w:t>
      </w:r>
      <w:r>
        <w:rPr>
          <w:rFonts w:ascii="Times New Roman" w:hAnsi="Times New Roman"/>
          <w:b w:val="1"/>
          <w:color w:val="000000"/>
          <w:sz w:val="22"/>
        </w:rPr>
        <w:t xml:space="preserve">Срок оказания услуг: </w:t>
      </w:r>
      <w:r>
        <w:rPr>
          <w:rFonts w:ascii="Times New Roman" w:hAnsi="Times New Roman"/>
          <w:b w:val="1"/>
          <w:color w:val="000000"/>
          <w:sz w:val="22"/>
        </w:rPr>
        <w:t>не позднее 10.12.2026 года</w:t>
      </w:r>
      <w:r>
        <w:rPr>
          <w:rFonts w:ascii="Times New Roman" w:hAnsi="Times New Roman"/>
          <w:color w:val="000000"/>
          <w:sz w:val="22"/>
        </w:rPr>
        <w:t>.</w:t>
      </w:r>
      <w:r>
        <w:rPr>
          <w:rFonts w:ascii="Times New Roman" w:hAnsi="Times New Roman"/>
          <w:b w:val="1"/>
          <w:color w:val="000000"/>
          <w:sz w:val="22"/>
        </w:rPr>
        <w:t>бъем услуг:</w:t>
      </w:r>
      <w:r>
        <w:rPr>
          <w:rFonts w:ascii="Times New Roman" w:hAnsi="Times New Roman"/>
          <w:color w:val="000000"/>
          <w:sz w:val="22"/>
        </w:rPr>
        <w:t xml:space="preserve"> </w:t>
      </w:r>
    </w:p>
    <w:p w14:paraId="7A000000">
      <w:pPr>
        <w:tabs>
          <w:tab w:leader="none" w:pos="851" w:val="left"/>
          <w:tab w:leader="none" w:pos="1134" w:val="left"/>
        </w:tabs>
        <w:spacing w:after="0" w:line="240" w:lineRule="auto"/>
        <w:ind w:firstLine="425" w:left="0" w:right="-1"/>
        <w:contextualSpacing w:val="1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b w:val="1"/>
          <w:color w:val="000000"/>
          <w:sz w:val="22"/>
        </w:rPr>
        <w:t>1.</w:t>
      </w:r>
      <w:r>
        <w:rPr>
          <w:rFonts w:ascii="Times New Roman" w:hAnsi="Times New Roman"/>
          <w:b w:val="1"/>
          <w:color w:val="000000"/>
          <w:sz w:val="22"/>
        </w:rPr>
        <w:t>4</w:t>
      </w:r>
      <w:r>
        <w:rPr>
          <w:rFonts w:ascii="Times New Roman" w:hAnsi="Times New Roman"/>
          <w:b w:val="1"/>
          <w:color w:val="000000"/>
          <w:sz w:val="22"/>
        </w:rPr>
        <w:t xml:space="preserve">. </w:t>
      </w:r>
      <w:r>
        <w:rPr>
          <w:rStyle w:val="Style_2_ch"/>
          <w:sz w:val="22"/>
        </w:rPr>
        <w:t>Оказание услуг по аренде подъемно-транспортного оборудования для нужд ЛОГБУ "Сясьстройский ДСП" 10 часов.</w:t>
      </w:r>
    </w:p>
    <w:tbl>
      <w:tblPr>
        <w:tblStyle w:val="Style_3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2344"/>
        <w:gridCol w:w="3465"/>
        <w:gridCol w:w="4363"/>
      </w:tblGrid>
      <w:tr>
        <w:trPr>
          <w:trHeight w:hRule="atLeast" w:val="1037"/>
        </w:trPr>
        <w:tc>
          <w:tcPr>
            <w:tcW w:type="dxa" w:w="2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00000">
            <w:pPr>
              <w:ind w:firstLine="0" w:left="0"/>
              <w:jc w:val="center"/>
              <w:rPr>
                <w:b w:val="1"/>
                <w:color w:val="000000"/>
                <w:sz w:val="22"/>
              </w:rPr>
            </w:pPr>
            <w:r>
              <w:rPr>
                <w:b w:val="1"/>
                <w:color w:val="000000"/>
                <w:sz w:val="22"/>
              </w:rPr>
              <w:t>Наименование работы</w:t>
            </w:r>
          </w:p>
          <w:p w14:paraId="7C000000">
            <w:pPr>
              <w:ind w:firstLine="0" w:left="0"/>
              <w:jc w:val="center"/>
              <w:rPr>
                <w:b w:val="1"/>
                <w:color w:val="000000"/>
                <w:sz w:val="22"/>
              </w:rPr>
            </w:pPr>
            <w:r>
              <w:rPr>
                <w:b w:val="1"/>
                <w:color w:val="000000"/>
                <w:sz w:val="22"/>
              </w:rPr>
              <w:t>(</w:t>
            </w:r>
            <w:r>
              <w:rPr>
                <w:b w:val="1"/>
                <w:color w:val="000000"/>
                <w:sz w:val="22"/>
                <w:u w:val="single"/>
              </w:rPr>
              <w:t>ОКПД2</w:t>
            </w:r>
            <w:r>
              <w:rPr>
                <w:b w:val="1"/>
                <w:color w:val="000000"/>
                <w:sz w:val="22"/>
              </w:rPr>
              <w:t>)</w:t>
            </w:r>
          </w:p>
        </w:tc>
        <w:tc>
          <w:tcPr>
            <w:tcW w:type="dxa" w:w="34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00000">
            <w:pPr>
              <w:ind w:firstLine="0" w:left="0"/>
              <w:jc w:val="center"/>
              <w:rPr>
                <w:b w:val="1"/>
                <w:color w:val="000000"/>
                <w:sz w:val="22"/>
              </w:rPr>
            </w:pPr>
            <w:r>
              <w:rPr>
                <w:b w:val="1"/>
                <w:color w:val="000000"/>
                <w:sz w:val="22"/>
              </w:rPr>
              <w:t>Наименование характеристики</w:t>
            </w:r>
          </w:p>
        </w:tc>
        <w:tc>
          <w:tcPr>
            <w:tcW w:type="dxa" w:w="436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00000">
            <w:pPr>
              <w:ind w:firstLine="1384" w:left="-1384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Значение характеристики</w:t>
            </w:r>
          </w:p>
        </w:tc>
      </w:tr>
      <w:tr>
        <w:trPr>
          <w:trHeight w:hRule="atLeast" w:val="3819"/>
        </w:trPr>
        <w:tc>
          <w:tcPr>
            <w:tcW w:type="dxa" w:w="234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00000">
            <w:pPr>
              <w:tabs>
                <w:tab w:leader="none" w:pos="1800" w:val="clear"/>
              </w:tabs>
              <w:ind w:firstLine="0" w:left="0"/>
              <w:jc w:val="center"/>
              <w:rPr>
                <w:sz w:val="22"/>
              </w:rPr>
            </w:pPr>
            <w:r>
              <w:rPr>
                <w:rStyle w:val="Style_2_ch"/>
                <w:sz w:val="22"/>
              </w:rPr>
              <w:t>Оказание услуг по аренде подъемно-транспортного оборудования для нужд ЛОГБУ "Сясьстройский ДСП"</w:t>
            </w:r>
          </w:p>
          <w:p w14:paraId="80000000">
            <w:pPr>
              <w:ind w:firstLine="0" w:left="0"/>
              <w:contextualSpacing w:val="1"/>
              <w:jc w:val="center"/>
              <w:rPr>
                <w:sz w:val="22"/>
              </w:rPr>
            </w:pPr>
          </w:p>
          <w:p w14:paraId="81000000">
            <w:pPr>
              <w:ind/>
              <w:jc w:val="center"/>
              <w:rPr>
                <w:sz w:val="22"/>
              </w:rPr>
            </w:pPr>
            <w:r>
              <w:rPr>
                <w:rStyle w:val="Style_2_ch"/>
                <w:sz w:val="22"/>
              </w:rPr>
              <w:t>ОКПД2: 77.39.19.113</w:t>
            </w:r>
          </w:p>
        </w:tc>
        <w:tc>
          <w:tcPr>
            <w:tcW w:type="dxa" w:w="34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00000">
            <w:pPr>
              <w:ind w:firstLine="0" w:left="0"/>
              <w:jc w:val="center"/>
              <w:rPr>
                <w:b w:val="1"/>
                <w:sz w:val="22"/>
              </w:rPr>
            </w:pPr>
            <w:r>
              <w:rPr>
                <w:sz w:val="22"/>
              </w:rPr>
              <w:t xml:space="preserve">Требования к </w:t>
            </w:r>
            <w:r>
              <w:rPr>
                <w:sz w:val="22"/>
              </w:rPr>
              <w:t xml:space="preserve">предоставляемой </w:t>
            </w:r>
            <w:r>
              <w:rPr>
                <w:sz w:val="22"/>
              </w:rPr>
              <w:t>автовышке</w:t>
            </w:r>
          </w:p>
        </w:tc>
        <w:tc>
          <w:tcPr>
            <w:tcW w:type="dxa" w:w="436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00000">
            <w:pPr>
              <w:ind w:firstLine="0" w:left="57"/>
              <w:jc w:val="both"/>
              <w:rPr>
                <w:color w:val="00000A"/>
                <w:sz w:val="22"/>
              </w:rPr>
            </w:pPr>
            <w:r>
              <w:rPr>
                <w:color w:val="00000A"/>
                <w:sz w:val="22"/>
              </w:rPr>
              <w:t>Высота подъема стрелы: не менее 22 м</w:t>
            </w:r>
            <w:r>
              <w:rPr>
                <w:color w:val="00000A"/>
                <w:sz w:val="22"/>
              </w:rPr>
              <w:t>;</w:t>
            </w:r>
          </w:p>
          <w:p w14:paraId="84000000">
            <w:pPr>
              <w:ind w:firstLine="0" w:left="57"/>
              <w:jc w:val="both"/>
              <w:rPr>
                <w:color w:val="00000A"/>
                <w:sz w:val="22"/>
              </w:rPr>
            </w:pPr>
            <w:r>
              <w:rPr>
                <w:color w:val="00000A"/>
                <w:sz w:val="22"/>
              </w:rPr>
              <w:t>Боковой вылет: не менее 10 м</w:t>
            </w:r>
            <w:r>
              <w:rPr>
                <w:color w:val="00000A"/>
                <w:sz w:val="22"/>
              </w:rPr>
              <w:t>;</w:t>
            </w:r>
          </w:p>
          <w:p w14:paraId="85000000">
            <w:pPr>
              <w:ind w:firstLine="0" w:left="57"/>
              <w:jc w:val="both"/>
              <w:rPr>
                <w:color w:val="00000A"/>
                <w:sz w:val="22"/>
              </w:rPr>
            </w:pPr>
            <w:r>
              <w:rPr>
                <w:color w:val="00000A"/>
                <w:sz w:val="22"/>
              </w:rPr>
              <w:t>Грузоподъемность: не менее 200 кг</w:t>
            </w:r>
            <w:r>
              <w:rPr>
                <w:color w:val="00000A"/>
                <w:sz w:val="22"/>
              </w:rPr>
              <w:t>;</w:t>
            </w:r>
          </w:p>
          <w:p w14:paraId="86000000">
            <w:pPr>
              <w:ind w:firstLine="0" w:left="57"/>
              <w:jc w:val="both"/>
              <w:rPr>
                <w:color w:val="00000A"/>
                <w:sz w:val="22"/>
              </w:rPr>
            </w:pPr>
            <w:r>
              <w:rPr>
                <w:color w:val="00000A"/>
                <w:sz w:val="22"/>
              </w:rPr>
              <w:t>Конструкция рабочего оборудования: стрела с поворотной люлькой (корзиной): нет</w:t>
            </w:r>
            <w:r>
              <w:rPr>
                <w:color w:val="00000A"/>
                <w:sz w:val="22"/>
              </w:rPr>
              <w:t>;</w:t>
            </w:r>
          </w:p>
          <w:p w14:paraId="87000000">
            <w:pPr>
              <w:ind w:firstLine="0" w:left="57"/>
              <w:jc w:val="both"/>
              <w:rPr>
                <w:color w:val="00000A"/>
                <w:sz w:val="22"/>
              </w:rPr>
            </w:pPr>
            <w:r>
              <w:rPr>
                <w:color w:val="00000A"/>
                <w:sz w:val="22"/>
              </w:rPr>
              <w:t>Материал люльки: Металл</w:t>
            </w:r>
            <w:r>
              <w:rPr>
                <w:color w:val="00000A"/>
                <w:sz w:val="22"/>
              </w:rPr>
              <w:t>;</w:t>
            </w:r>
          </w:p>
          <w:p w14:paraId="88000000">
            <w:pPr>
              <w:ind w:firstLine="0" w:left="57"/>
              <w:jc w:val="both"/>
              <w:rPr>
                <w:color w:val="00000A"/>
                <w:sz w:val="22"/>
              </w:rPr>
            </w:pPr>
            <w:r>
              <w:rPr>
                <w:color w:val="00000A"/>
                <w:sz w:val="22"/>
              </w:rPr>
              <w:t>Точки крепления страховочной привязи: Есть</w:t>
            </w:r>
            <w:r>
              <w:rPr>
                <w:color w:val="00000A"/>
                <w:sz w:val="22"/>
              </w:rPr>
              <w:t>;</w:t>
            </w:r>
          </w:p>
          <w:p w14:paraId="89000000">
            <w:pPr>
              <w:ind w:firstLine="0" w:left="57"/>
              <w:jc w:val="both"/>
              <w:rPr>
                <w:color w:val="00000A"/>
                <w:sz w:val="22"/>
              </w:rPr>
            </w:pPr>
            <w:r>
              <w:rPr>
                <w:color w:val="00000A"/>
                <w:sz w:val="22"/>
              </w:rPr>
              <w:t>Подъем на высоту:</w:t>
            </w:r>
            <w:r>
              <w:rPr>
                <w:color w:val="00000A"/>
                <w:sz w:val="22"/>
              </w:rPr>
              <w:t xml:space="preserve"> </w:t>
            </w:r>
            <w:r>
              <w:rPr>
                <w:color w:val="00000A"/>
                <w:sz w:val="22"/>
              </w:rPr>
              <w:t>не менее 2-х рабочих с материалами и инструментами</w:t>
            </w:r>
            <w:r>
              <w:rPr>
                <w:color w:val="00000A"/>
                <w:sz w:val="22"/>
              </w:rPr>
              <w:t>;</w:t>
            </w:r>
          </w:p>
          <w:p w14:paraId="8A000000">
            <w:pPr>
              <w:ind w:firstLine="0" w:left="57"/>
              <w:jc w:val="both"/>
              <w:rPr>
                <w:color w:val="00000A"/>
                <w:sz w:val="22"/>
              </w:rPr>
            </w:pPr>
            <w:r>
              <w:rPr>
                <w:color w:val="00000A"/>
                <w:sz w:val="22"/>
              </w:rPr>
              <w:t>Машина с заземлением: нет</w:t>
            </w:r>
            <w:r>
              <w:rPr>
                <w:color w:val="00000A"/>
                <w:sz w:val="22"/>
              </w:rPr>
              <w:t>;</w:t>
            </w:r>
          </w:p>
          <w:p w14:paraId="8B000000">
            <w:pPr>
              <w:ind w:firstLine="0" w:left="57"/>
              <w:jc w:val="both"/>
              <w:rPr>
                <w:color w:val="00000A"/>
                <w:sz w:val="22"/>
              </w:rPr>
            </w:pPr>
            <w:r>
              <w:rPr>
                <w:color w:val="00000A"/>
                <w:sz w:val="22"/>
              </w:rPr>
              <w:t xml:space="preserve">Опоры: </w:t>
            </w:r>
            <w:r>
              <w:rPr>
                <w:color w:val="00000A"/>
                <w:sz w:val="22"/>
              </w:rPr>
              <w:t>Широкие</w:t>
            </w:r>
            <w:r>
              <w:rPr>
                <w:color w:val="00000A"/>
                <w:sz w:val="22"/>
              </w:rPr>
              <w:t>;</w:t>
            </w:r>
          </w:p>
          <w:p w14:paraId="8C000000">
            <w:pPr>
              <w:ind w:firstLine="0" w:left="57"/>
              <w:jc w:val="both"/>
              <w:rPr>
                <w:color w:val="00000A"/>
                <w:sz w:val="22"/>
              </w:rPr>
            </w:pPr>
            <w:r>
              <w:rPr>
                <w:color w:val="00000A"/>
                <w:sz w:val="22"/>
              </w:rPr>
              <w:t>Ограничение по минимальному количеству отработанных часов: нет</w:t>
            </w:r>
            <w:r>
              <w:rPr>
                <w:color w:val="00000A"/>
                <w:sz w:val="22"/>
              </w:rPr>
              <w:t>;</w:t>
            </w:r>
          </w:p>
          <w:p w14:paraId="8D000000">
            <w:pPr>
              <w:ind w:firstLine="0" w:left="57"/>
              <w:jc w:val="both"/>
              <w:rPr>
                <w:b w:val="1"/>
                <w:sz w:val="22"/>
              </w:rPr>
            </w:pPr>
            <w:r>
              <w:rPr>
                <w:color w:val="00000A"/>
                <w:sz w:val="22"/>
              </w:rPr>
              <w:t>Учёт отработанных часов с момента подачи автовышки на адрес Заказчика: да</w:t>
            </w:r>
            <w:r>
              <w:rPr>
                <w:color w:val="00000A"/>
                <w:sz w:val="22"/>
              </w:rPr>
              <w:t>.</w:t>
            </w:r>
          </w:p>
        </w:tc>
      </w:tr>
      <w:tr>
        <w:trPr>
          <w:trHeight w:hRule="atLeast" w:val="4092"/>
        </w:trPr>
        <w:tc>
          <w:tcPr>
            <w:tcW w:type="dxa" w:w="234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34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00000">
            <w:pPr>
              <w:ind w:firstLine="0" w:left="0"/>
              <w:jc w:val="center"/>
              <w:rPr>
                <w:b w:val="1"/>
                <w:sz w:val="22"/>
              </w:rPr>
            </w:pPr>
            <w:r>
              <w:rPr>
                <w:sz w:val="22"/>
              </w:rPr>
              <w:t xml:space="preserve">Требования к качеству </w:t>
            </w:r>
            <w:r>
              <w:rPr>
                <w:sz w:val="22"/>
              </w:rPr>
              <w:t>услуг</w:t>
            </w:r>
          </w:p>
        </w:tc>
        <w:tc>
          <w:tcPr>
            <w:tcW w:type="dxa" w:w="436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pPr>
              <w:ind w:firstLine="0" w:left="57"/>
              <w:jc w:val="both"/>
              <w:rPr>
                <w:color w:val="00000A"/>
                <w:sz w:val="22"/>
              </w:rPr>
            </w:pPr>
            <w:r>
              <w:rPr>
                <w:color w:val="00000A"/>
                <w:sz w:val="22"/>
              </w:rPr>
              <w:t>Услуги должны оказываться в соответствии с действующим законодательством РФ, действующими нормами и правилами, в том числе требованиями ГОСТ, Федерального закона №196-ФЗ от 10.12.1995 «О безопасности дорожного движения», Правилами дорожного движения, Федеральным законом от 08.11.2007 N 259-ФЗ (ред. от 03.07.2016) "Устав автомобильного транспорта и городского наземного электрического транспорта.</w:t>
            </w:r>
          </w:p>
          <w:p w14:paraId="90000000">
            <w:pPr>
              <w:ind w:firstLine="0" w:left="57"/>
              <w:jc w:val="both"/>
              <w:rPr>
                <w:b w:val="1"/>
                <w:sz w:val="22"/>
              </w:rPr>
            </w:pPr>
            <w:r>
              <w:rPr>
                <w:color w:val="00000A"/>
                <w:sz w:val="22"/>
              </w:rPr>
              <w:t>Исполнитель обязуется исполнять Положение об обеспечении безопасного выполнения подрядных работ на территории Заказчика.</w:t>
            </w:r>
          </w:p>
        </w:tc>
      </w:tr>
    </w:tbl>
    <w:p w14:paraId="91000000">
      <w:pPr>
        <w:ind w:firstLine="709" w:left="0"/>
        <w:jc w:val="both"/>
        <w:rPr>
          <w:color w:val="00000A"/>
          <w:sz w:val="24"/>
        </w:rPr>
      </w:pPr>
    </w:p>
    <w:p w14:paraId="92000000">
      <w:pPr>
        <w:ind w:firstLine="709" w:left="0"/>
        <w:jc w:val="both"/>
        <w:rPr>
          <w:color w:val="00000A"/>
          <w:sz w:val="24"/>
        </w:rPr>
      </w:pPr>
      <w:r>
        <w:rPr>
          <w:color w:val="00000A"/>
          <w:sz w:val="24"/>
        </w:rPr>
        <w:t>Услуги оказываются посредством предоставления автовышки (подъемника стрелового) с водителем, имеющим соответствующую квалификацию и разрешительные документы.</w:t>
      </w:r>
    </w:p>
    <w:p w14:paraId="93000000">
      <w:pPr>
        <w:ind w:firstLine="709" w:left="0"/>
        <w:jc w:val="both"/>
        <w:rPr>
          <w:color w:val="00000A"/>
          <w:sz w:val="24"/>
        </w:rPr>
      </w:pPr>
      <w:r>
        <w:rPr>
          <w:b w:val="1"/>
          <w:color w:val="00000A"/>
          <w:sz w:val="24"/>
        </w:rPr>
        <w:t xml:space="preserve">В услуги входит </w:t>
      </w:r>
      <w:r>
        <w:rPr>
          <w:color w:val="00000A"/>
          <w:sz w:val="24"/>
        </w:rPr>
        <w:t>предоставление автовышки, автокрана для осуществления высотных работ (доступа к воздушным линиям электро-обеспечения, замены (ремонта) уличных светильников, наружного освещения, спила веток деревьев в труднодоступных местах, удаления снега и наледи с крыш объектов, помывки остекленных фасадов, окраска фасадов, ремонт кровель и свесов и др.).</w:t>
      </w:r>
    </w:p>
    <w:p w14:paraId="94000000">
      <w:pPr>
        <w:ind w:firstLine="709" w:left="0"/>
        <w:jc w:val="both"/>
        <w:rPr>
          <w:color w:val="00000A"/>
          <w:sz w:val="24"/>
        </w:rPr>
      </w:pPr>
      <w:r>
        <w:rPr>
          <w:color w:val="00000A"/>
          <w:sz w:val="24"/>
        </w:rPr>
        <w:t xml:space="preserve">Услуги должны оказываться с соблюдением требований охраны труда, техники безопасности, пожарной безопасности, </w:t>
      </w:r>
      <w:r>
        <w:rPr>
          <w:color w:val="00000A"/>
          <w:sz w:val="24"/>
        </w:rPr>
        <w:t>экологических и санитарных норм</w:t>
      </w:r>
      <w:r>
        <w:rPr>
          <w:color w:val="00000A"/>
          <w:sz w:val="24"/>
        </w:rPr>
        <w:t xml:space="preserve">. </w:t>
      </w:r>
    </w:p>
    <w:p w14:paraId="95000000">
      <w:pPr>
        <w:ind w:firstLine="709" w:left="0"/>
        <w:jc w:val="both"/>
        <w:rPr>
          <w:color w:val="00000A"/>
          <w:sz w:val="24"/>
        </w:rPr>
      </w:pPr>
      <w:r>
        <w:rPr>
          <w:color w:val="00000A"/>
          <w:sz w:val="24"/>
        </w:rPr>
        <w:t xml:space="preserve">Все услуги должны проводиться подготовленным персоналом Исполнителя на специализированном транспорте. </w:t>
      </w:r>
    </w:p>
    <w:p w14:paraId="96000000">
      <w:pPr>
        <w:ind w:firstLine="709" w:left="0" w:right="-32"/>
        <w:jc w:val="both"/>
        <w:rPr>
          <w:color w:val="00000A"/>
          <w:sz w:val="24"/>
        </w:rPr>
      </w:pPr>
      <w:r>
        <w:rPr>
          <w:color w:val="00000A"/>
          <w:sz w:val="24"/>
        </w:rPr>
        <w:t xml:space="preserve">Исполнитель обязан обеспечить исправное техническое состояние автовышки (подъемника стрелового), автокрана в соответствии с действующим законодательством РФ. </w:t>
      </w:r>
    </w:p>
    <w:p w14:paraId="97000000">
      <w:pPr>
        <w:ind w:firstLine="709" w:left="0" w:right="-32"/>
        <w:jc w:val="both"/>
        <w:rPr>
          <w:color w:val="00000A"/>
          <w:sz w:val="24"/>
        </w:rPr>
      </w:pPr>
      <w:r>
        <w:rPr>
          <w:color w:val="00000A"/>
          <w:sz w:val="24"/>
        </w:rPr>
        <w:t>Водитель автовышки (подъемника стрелового), автокрана должен иметь удостоверение машиниста, права соответствующей категории.</w:t>
      </w:r>
    </w:p>
    <w:p w14:paraId="98000000">
      <w:pPr>
        <w:ind w:firstLine="709" w:left="0" w:right="-32"/>
        <w:jc w:val="both"/>
        <w:rPr>
          <w:color w:val="00000A"/>
          <w:sz w:val="24"/>
        </w:rPr>
      </w:pPr>
      <w:r>
        <w:rPr>
          <w:color w:val="00000A"/>
          <w:sz w:val="24"/>
        </w:rPr>
        <w:t>Исполнитель должен принять необходимые меры по профилактике ДТП и несет ответственность за безопасность дорожного движения в месте оказания Услуг, а также за вред, причиненный третьим лицам.</w:t>
      </w:r>
    </w:p>
    <w:p w14:paraId="99000000">
      <w:pPr>
        <w:ind w:firstLine="709" w:left="0"/>
        <w:jc w:val="both"/>
        <w:rPr>
          <w:color w:val="00000A"/>
          <w:sz w:val="24"/>
        </w:rPr>
      </w:pPr>
      <w:r>
        <w:rPr>
          <w:color w:val="00000A"/>
          <w:sz w:val="24"/>
        </w:rPr>
        <w:t xml:space="preserve">При оказании Услуг </w:t>
      </w:r>
      <w:r>
        <w:rPr>
          <w:color w:val="00000A"/>
          <w:sz w:val="24"/>
        </w:rPr>
        <w:t xml:space="preserve">Исполнитель несет все расходы, связанные с содержанием и эксплуатацией </w:t>
      </w:r>
      <w:r>
        <w:rPr>
          <w:color w:val="00000A"/>
          <w:sz w:val="24"/>
        </w:rPr>
        <w:t>автовышки (подъемника стрелового)</w:t>
      </w:r>
      <w:r>
        <w:rPr>
          <w:color w:val="00000A"/>
          <w:sz w:val="24"/>
        </w:rPr>
        <w:t xml:space="preserve">, </w:t>
      </w:r>
      <w:r>
        <w:rPr>
          <w:color w:val="00000A"/>
          <w:sz w:val="24"/>
        </w:rPr>
        <w:t>автокрана</w:t>
      </w:r>
      <w:r>
        <w:rPr>
          <w:color w:val="00000A"/>
          <w:sz w:val="24"/>
        </w:rPr>
        <w:t xml:space="preserve"> в том числе обеспечение </w:t>
      </w:r>
      <w:r>
        <w:rPr>
          <w:color w:val="00000A"/>
          <w:sz w:val="24"/>
        </w:rPr>
        <w:t>горюче-смазочными материалами, текущее обслуживание, мойку, ремонт, сохранность техники и оборудования, наем и содержание водителя.</w:t>
      </w:r>
    </w:p>
    <w:p w14:paraId="9A000000">
      <w:pPr>
        <w:ind w:firstLine="709" w:left="0" w:right="-32"/>
        <w:jc w:val="both"/>
        <w:rPr>
          <w:color w:val="00000A"/>
          <w:sz w:val="24"/>
        </w:rPr>
      </w:pPr>
      <w:r>
        <w:rPr>
          <w:color w:val="00000A"/>
          <w:sz w:val="24"/>
        </w:rPr>
        <w:t>При оказании Услуг Исполнитель отвечает за поддержание чистоты в месте оказания Услуг.</w:t>
      </w:r>
    </w:p>
    <w:p w14:paraId="9B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9C000000">
      <w:pPr>
        <w:tabs>
          <w:tab w:leader="none" w:pos="1800" w:val="clear"/>
        </w:tabs>
        <w:ind w:firstLine="0" w:left="0"/>
        <w:rPr>
          <w:sz w:val="22"/>
        </w:rPr>
      </w:pPr>
    </w:p>
    <w:tbl>
      <w:tblPr>
        <w:tblStyle w:val="Style_3"/>
        <w:tblLayout w:type="fixed"/>
      </w:tblPr>
      <w:tblGrid>
        <w:gridCol w:w="5148"/>
        <w:gridCol w:w="4680"/>
      </w:tblGrid>
      <w:tr>
        <w:tc>
          <w:tcPr>
            <w:tcW w:type="dxa" w:w="5148"/>
          </w:tcPr>
          <w:p w14:paraId="9D000000">
            <w:pPr>
              <w:tabs>
                <w:tab w:leader="none" w:pos="0" w:val="left"/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Заказчик</w:t>
            </w:r>
          </w:p>
        </w:tc>
        <w:tc>
          <w:tcPr>
            <w:tcW w:type="dxa" w:w="4680"/>
          </w:tcPr>
          <w:p w14:paraId="9E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Исполнитель</w:t>
            </w:r>
          </w:p>
        </w:tc>
      </w:tr>
      <w:tr>
        <w:tc>
          <w:tcPr>
            <w:tcW w:type="dxa" w:w="5148"/>
          </w:tcPr>
          <w:p w14:paraId="9F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Директор ЛОГБУ «Сясьстройский ДСП»</w:t>
            </w:r>
          </w:p>
          <w:p w14:paraId="A0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A1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________________ Журавель М.Б.</w:t>
            </w:r>
          </w:p>
        </w:tc>
        <w:tc>
          <w:tcPr>
            <w:tcW w:type="dxa" w:w="4680"/>
          </w:tcPr>
          <w:p w14:paraId="A2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A3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A4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 xml:space="preserve">_____________ </w:t>
            </w:r>
          </w:p>
        </w:tc>
      </w:tr>
    </w:tbl>
    <w:p w14:paraId="A5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p w14:paraId="A6000000">
      <w:pPr>
        <w:tabs>
          <w:tab w:leader="none" w:pos="1800" w:val="clear"/>
        </w:tabs>
        <w:ind w:firstLine="0" w:left="0"/>
        <w:rPr>
          <w:sz w:val="22"/>
        </w:rPr>
      </w:pPr>
    </w:p>
    <w:tbl>
      <w:tblPr>
        <w:tblStyle w:val="Style_3"/>
        <w:tblLayout w:type="fixed"/>
      </w:tblPr>
      <w:tblGrid>
        <w:gridCol w:w="5778"/>
        <w:gridCol w:w="5103"/>
      </w:tblGrid>
      <w:tr>
        <w:tc>
          <w:tcPr>
            <w:tcW w:type="dxa" w:w="5778"/>
          </w:tcPr>
          <w:p w14:paraId="A7000000">
            <w:pPr>
              <w:widowControl w:val="0"/>
              <w:tabs>
                <w:tab w:leader="none" w:pos="1800" w:val="clear"/>
              </w:tabs>
              <w:ind w:firstLine="0" w:left="0"/>
              <w:rPr>
                <w:sz w:val="22"/>
              </w:rPr>
            </w:pPr>
          </w:p>
        </w:tc>
        <w:tc>
          <w:tcPr>
            <w:tcW w:type="dxa" w:w="5103"/>
          </w:tcPr>
          <w:p w14:paraId="A8000000">
            <w:pPr>
              <w:widowControl w:val="0"/>
              <w:tabs>
                <w:tab w:leader="none" w:pos="1800" w:val="clear"/>
              </w:tabs>
              <w:ind w:firstLine="0" w:left="0"/>
              <w:rPr>
                <w:sz w:val="22"/>
              </w:rPr>
            </w:pPr>
          </w:p>
        </w:tc>
      </w:tr>
      <w:tr>
        <w:tc>
          <w:tcPr>
            <w:tcW w:type="dxa" w:w="5778"/>
          </w:tcPr>
          <w:p w14:paraId="A9000000">
            <w:pPr>
              <w:widowControl w:val="0"/>
              <w:tabs>
                <w:tab w:leader="none" w:pos="1800" w:val="clear"/>
              </w:tabs>
              <w:ind w:firstLine="0" w:left="0"/>
              <w:rPr>
                <w:sz w:val="22"/>
              </w:rPr>
            </w:pPr>
          </w:p>
        </w:tc>
        <w:tc>
          <w:tcPr>
            <w:tcW w:type="dxa" w:w="5103"/>
          </w:tcPr>
          <w:p w14:paraId="AA000000">
            <w:pPr>
              <w:widowControl w:val="0"/>
              <w:tabs>
                <w:tab w:leader="none" w:pos="1800" w:val="clear"/>
              </w:tabs>
              <w:ind w:hanging="1800" w:left="1800"/>
              <w:rPr>
                <w:sz w:val="22"/>
              </w:rPr>
            </w:pPr>
          </w:p>
        </w:tc>
      </w:tr>
    </w:tbl>
    <w:p w14:paraId="AB000000">
      <w:pPr>
        <w:pStyle w:val="Style_2"/>
        <w:ind w:firstLine="0" w:left="-709"/>
      </w:pPr>
    </w:p>
    <w:p w14:paraId="AC000000">
      <w:pPr>
        <w:pStyle w:val="Style_5"/>
        <w:tabs>
          <w:tab w:leader="none" w:pos="1800" w:val="clear"/>
        </w:tabs>
        <w:ind w:firstLine="0" w:left="383"/>
        <w:jc w:val="right"/>
        <w:rPr>
          <w:sz w:val="22"/>
        </w:rPr>
      </w:pPr>
      <w:r>
        <w:rPr>
          <w:sz w:val="22"/>
        </w:rPr>
        <w:t>Приложение № 2</w:t>
      </w:r>
    </w:p>
    <w:p w14:paraId="AD000000">
      <w:pPr>
        <w:pStyle w:val="Style_5"/>
        <w:tabs>
          <w:tab w:leader="none" w:pos="1800" w:val="clear"/>
        </w:tabs>
        <w:ind w:firstLine="0" w:left="1800"/>
        <w:jc w:val="right"/>
        <w:rPr>
          <w:sz w:val="22"/>
        </w:rPr>
      </w:pPr>
      <w:r>
        <w:rPr>
          <w:sz w:val="22"/>
        </w:rPr>
        <w:t xml:space="preserve">к Договору №  </w:t>
      </w:r>
    </w:p>
    <w:p w14:paraId="AE000000">
      <w:pPr>
        <w:pStyle w:val="Style_5"/>
        <w:tabs>
          <w:tab w:leader="none" w:pos="1800" w:val="clear"/>
        </w:tabs>
        <w:ind w:firstLine="0" w:left="1800"/>
        <w:jc w:val="right"/>
        <w:rPr>
          <w:sz w:val="22"/>
        </w:rPr>
      </w:pPr>
      <w:r>
        <w:rPr>
          <w:sz w:val="22"/>
        </w:rPr>
        <w:t xml:space="preserve">от </w:t>
      </w:r>
      <w:r>
        <w:rPr>
          <w:sz w:val="22"/>
        </w:rPr>
        <w:t>«  »</w:t>
      </w:r>
      <w:r>
        <w:rPr>
          <w:sz w:val="22"/>
        </w:rPr>
        <w:t xml:space="preserve"> ноября 2026 г.</w:t>
      </w:r>
    </w:p>
    <w:p w14:paraId="AF000000">
      <w:pPr>
        <w:pStyle w:val="Style_5"/>
        <w:tabs>
          <w:tab w:leader="none" w:pos="1800" w:val="clear"/>
        </w:tabs>
        <w:ind w:firstLine="0" w:left="0"/>
        <w:rPr>
          <w:b w:val="1"/>
          <w:sz w:val="22"/>
        </w:rPr>
      </w:pPr>
    </w:p>
    <w:p w14:paraId="B0000000">
      <w:pPr>
        <w:pStyle w:val="Style_5"/>
        <w:tabs>
          <w:tab w:leader="none" w:pos="1800" w:val="clear"/>
        </w:tabs>
        <w:ind w:firstLine="0" w:left="0"/>
        <w:rPr>
          <w:sz w:val="22"/>
        </w:rPr>
      </w:pPr>
      <w:r>
        <w:rPr>
          <w:b w:val="1"/>
          <w:sz w:val="22"/>
        </w:rPr>
        <w:t>СПЕЦИФИКАЦИЯ</w:t>
      </w:r>
    </w:p>
    <w:p w14:paraId="B1000000">
      <w:pPr>
        <w:widowControl w:val="0"/>
        <w:tabs>
          <w:tab w:leader="none" w:pos="1800" w:val="clear"/>
        </w:tabs>
        <w:ind w:firstLine="0" w:left="0"/>
        <w:rPr>
          <w:sz w:val="22"/>
        </w:rPr>
      </w:pPr>
    </w:p>
    <w:tbl>
      <w:tblPr>
        <w:tblStyle w:val="Style_3"/>
        <w:tblInd w:type="dxa" w:w="-5"/>
        <w:tblLayout w:type="fixed"/>
      </w:tblPr>
      <w:tblGrid>
        <w:gridCol w:w="680"/>
        <w:gridCol w:w="3550"/>
        <w:gridCol w:w="1029"/>
        <w:gridCol w:w="993"/>
        <w:gridCol w:w="2131"/>
        <w:gridCol w:w="1845"/>
      </w:tblGrid>
      <w:tr>
        <w:trPr>
          <w:trHeight w:hRule="atLeast" w:val="1347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22"/>
              </w:rPr>
            </w:pPr>
            <w:r>
              <w:rPr>
                <w:sz w:val="22"/>
              </w:rPr>
              <w:t>№ п/п</w:t>
            </w:r>
          </w:p>
        </w:tc>
        <w:tc>
          <w:tcPr>
            <w:tcW w:type="dxa" w:w="3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 услуг</w:t>
            </w:r>
          </w:p>
        </w:tc>
        <w:tc>
          <w:tcPr>
            <w:tcW w:type="dxa" w:w="10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widowControl w:val="0"/>
              <w:tabs>
                <w:tab w:leader="none" w:pos="1800" w:val="clear"/>
              </w:tabs>
              <w:ind w:firstLine="0" w:left="-101" w:right="-103"/>
              <w:jc w:val="center"/>
              <w:rPr>
                <w:sz w:val="22"/>
              </w:rPr>
            </w:pPr>
            <w:r>
              <w:rPr>
                <w:sz w:val="22"/>
              </w:rPr>
              <w:t>Единица измерения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00000">
            <w:pPr>
              <w:widowControl w:val="0"/>
              <w:tabs>
                <w:tab w:leader="none" w:pos="1800" w:val="clear"/>
              </w:tabs>
              <w:ind w:hanging="1800" w:left="1800" w:right="-115"/>
              <w:jc w:val="center"/>
              <w:rPr>
                <w:sz w:val="22"/>
              </w:rPr>
            </w:pPr>
            <w:r>
              <w:rPr>
                <w:sz w:val="22"/>
              </w:rPr>
              <w:t>Кол-во</w:t>
            </w:r>
          </w:p>
        </w:tc>
        <w:tc>
          <w:tcPr>
            <w:tcW w:type="dxa" w:w="21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widowControl w:val="0"/>
              <w:tabs>
                <w:tab w:leader="none" w:pos="1800" w:val="clear"/>
              </w:tabs>
              <w:ind w:firstLine="0" w:left="-109" w:right="-102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Цена за единицу измер., </w:t>
            </w:r>
            <w:r>
              <w:rPr>
                <w:sz w:val="22"/>
              </w:rPr>
              <w:t>НДС__%/не</w:t>
            </w:r>
            <w:r>
              <w:rPr>
                <w:sz w:val="22"/>
              </w:rPr>
              <w:t xml:space="preserve"> обл.</w:t>
            </w:r>
          </w:p>
          <w:p w14:paraId="B7000000">
            <w:pPr>
              <w:widowControl w:val="0"/>
              <w:tabs>
                <w:tab w:leader="none" w:pos="1800" w:val="clear"/>
              </w:tabs>
              <w:ind w:firstLine="0" w:left="-109" w:right="-102"/>
              <w:jc w:val="center"/>
              <w:rPr>
                <w:sz w:val="22"/>
              </w:rPr>
            </w:pPr>
            <w:r>
              <w:rPr>
                <w:sz w:val="22"/>
              </w:rPr>
              <w:t>(руб.)</w:t>
            </w:r>
          </w:p>
        </w:tc>
        <w:tc>
          <w:tcPr>
            <w:tcW w:type="dxa" w:w="18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00000">
            <w:pPr>
              <w:widowControl w:val="0"/>
              <w:tabs>
                <w:tab w:leader="none" w:pos="1800" w:val="clear"/>
              </w:tabs>
              <w:ind w:firstLine="0" w:left="0" w:right="-102"/>
              <w:jc w:val="center"/>
              <w:rPr>
                <w:sz w:val="22"/>
              </w:rPr>
            </w:pPr>
            <w:r>
              <w:rPr>
                <w:sz w:val="22"/>
              </w:rPr>
              <w:t>Общая стоимость, НДС___%/ не</w:t>
            </w:r>
            <w:r>
              <w:rPr>
                <w:sz w:val="22"/>
              </w:rPr>
              <w:t xml:space="preserve"> обл.</w:t>
            </w:r>
          </w:p>
          <w:p w14:paraId="B9000000">
            <w:pPr>
              <w:widowControl w:val="0"/>
              <w:tabs>
                <w:tab w:leader="none" w:pos="1800" w:val="clear"/>
              </w:tabs>
              <w:ind w:firstLine="0" w:left="0" w:right="-102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(руб.)</w:t>
            </w:r>
          </w:p>
        </w:tc>
      </w:tr>
      <w:tr>
        <w:trPr>
          <w:trHeight w:hRule="atLeast" w:val="1331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3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00000">
            <w:pPr>
              <w:tabs>
                <w:tab w:leader="none" w:pos="1800" w:val="clear"/>
              </w:tabs>
              <w:ind w:firstLine="0" w:left="0"/>
              <w:jc w:val="center"/>
              <w:rPr>
                <w:sz w:val="22"/>
              </w:rPr>
            </w:pPr>
            <w:r>
              <w:t>Оказание услуг по аренде подъемно-транспортного оборудования для нужд ЛОГБУ "Сясьстройский ДСП"</w:t>
            </w:r>
          </w:p>
        </w:tc>
        <w:tc>
          <w:tcPr>
            <w:tcW w:type="dxa" w:w="10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00000">
            <w:pPr>
              <w:widowControl w:val="0"/>
              <w:tabs>
                <w:tab w:leader="none" w:pos="1800" w:val="clear"/>
              </w:tabs>
              <w:ind w:firstLine="0" w:left="0" w:right="-105"/>
              <w:jc w:val="center"/>
              <w:rPr>
                <w:sz w:val="22"/>
              </w:rPr>
            </w:pPr>
            <w:r>
              <w:rPr>
                <w:sz w:val="22"/>
              </w:rPr>
              <w:t>час.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</w:t>
            </w:r>
          </w:p>
          <w:p w14:paraId="BE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type="dxa" w:w="21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00000">
            <w:pPr>
              <w:pStyle w:val="Style_6"/>
            </w:pPr>
          </w:p>
          <w:p w14:paraId="C0000000">
            <w:pPr>
              <w:widowControl w:val="0"/>
              <w:tabs>
                <w:tab w:leader="none" w:pos="1800" w:val="clear"/>
              </w:tabs>
              <w:ind w:firstLine="0" w:left="-109" w:right="-102"/>
              <w:rPr>
                <w:sz w:val="22"/>
              </w:rPr>
            </w:pPr>
            <w:r>
              <w:rPr>
                <w:sz w:val="22"/>
              </w:rPr>
              <w:t xml:space="preserve">            </w:t>
            </w:r>
          </w:p>
          <w:p w14:paraId="C1000000">
            <w:r>
              <w:rPr>
                <w:sz w:val="22"/>
              </w:rPr>
              <w:t>(руб.)</w:t>
            </w:r>
          </w:p>
        </w:tc>
        <w:tc>
          <w:tcPr>
            <w:tcW w:type="dxa" w:w="18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00000">
            <w:pPr>
              <w:widowControl w:val="0"/>
              <w:tabs>
                <w:tab w:leader="none" w:pos="1800" w:val="clear"/>
              </w:tabs>
              <w:ind w:firstLine="0" w:left="0" w:right="-102"/>
              <w:jc w:val="center"/>
              <w:rPr>
                <w:sz w:val="22"/>
              </w:rPr>
            </w:pPr>
          </w:p>
          <w:p w14:paraId="C3000000">
            <w:pPr>
              <w:widowControl w:val="0"/>
              <w:tabs>
                <w:tab w:leader="none" w:pos="1800" w:val="clear"/>
              </w:tabs>
              <w:ind w:firstLine="0" w:left="0" w:right="-102"/>
              <w:jc w:val="center"/>
              <w:rPr>
                <w:sz w:val="22"/>
              </w:rPr>
            </w:pPr>
          </w:p>
        </w:tc>
      </w:tr>
    </w:tbl>
    <w:p w14:paraId="C4000000">
      <w:pPr>
        <w:widowControl w:val="0"/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p w14:paraId="C5000000">
      <w:pPr>
        <w:tabs>
          <w:tab w:leader="none" w:pos="1800" w:val="clear"/>
        </w:tabs>
        <w:ind w:hanging="1800" w:left="1800"/>
        <w:rPr>
          <w:b w:val="1"/>
          <w:sz w:val="22"/>
        </w:rPr>
      </w:pPr>
    </w:p>
    <w:p w14:paraId="C6000000">
      <w:pPr>
        <w:tabs>
          <w:tab w:leader="none" w:pos="1800" w:val="clear"/>
        </w:tabs>
        <w:ind w:hanging="1800" w:left="1800"/>
        <w:rPr>
          <w:b w:val="1"/>
          <w:sz w:val="22"/>
        </w:rPr>
      </w:pPr>
    </w:p>
    <w:tbl>
      <w:tblPr>
        <w:tblStyle w:val="Style_3"/>
        <w:tblLayout w:type="fixed"/>
      </w:tblPr>
      <w:tblGrid>
        <w:gridCol w:w="5148"/>
        <w:gridCol w:w="4680"/>
      </w:tblGrid>
      <w:tr>
        <w:tc>
          <w:tcPr>
            <w:tcW w:type="dxa" w:w="5148"/>
          </w:tcPr>
          <w:p w14:paraId="C7000000">
            <w:pPr>
              <w:tabs>
                <w:tab w:leader="none" w:pos="0" w:val="left"/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Заказчик</w:t>
            </w:r>
          </w:p>
        </w:tc>
        <w:tc>
          <w:tcPr>
            <w:tcW w:type="dxa" w:w="4680"/>
          </w:tcPr>
          <w:p w14:paraId="C8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Исполнитель</w:t>
            </w:r>
          </w:p>
        </w:tc>
      </w:tr>
      <w:tr>
        <w:tc>
          <w:tcPr>
            <w:tcW w:type="dxa" w:w="5148"/>
          </w:tcPr>
          <w:p w14:paraId="C9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Директор ЛОГБУ «Сясьстройский ДСП»</w:t>
            </w:r>
          </w:p>
          <w:p w14:paraId="CA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CB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________________ Журавель М.Б.</w:t>
            </w:r>
          </w:p>
        </w:tc>
        <w:tc>
          <w:tcPr>
            <w:tcW w:type="dxa" w:w="4680"/>
          </w:tcPr>
          <w:p w14:paraId="CC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CD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CE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 xml:space="preserve">_____________ </w:t>
            </w:r>
          </w:p>
          <w:p w14:paraId="CF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</w:tc>
      </w:tr>
    </w:tbl>
    <w:p w14:paraId="D0000000">
      <w:pPr>
        <w:tabs>
          <w:tab w:leader="none" w:pos="1800" w:val="clear"/>
        </w:tabs>
        <w:ind w:firstLine="0" w:left="0"/>
        <w:jc w:val="center"/>
        <w:rPr>
          <w:sz w:val="22"/>
        </w:rPr>
      </w:pPr>
    </w:p>
    <w:p w14:paraId="D1000000">
      <w:pPr>
        <w:tabs>
          <w:tab w:leader="none" w:pos="1800" w:val="clear"/>
        </w:tabs>
        <w:ind w:firstLine="0" w:left="0"/>
        <w:jc w:val="center"/>
        <w:rPr>
          <w:sz w:val="22"/>
        </w:rPr>
      </w:pPr>
    </w:p>
    <w:tbl>
      <w:tblPr>
        <w:tblStyle w:val="Style_3"/>
        <w:tblLayout w:type="fixed"/>
      </w:tblPr>
      <w:tblGrid>
        <w:gridCol w:w="5778"/>
        <w:gridCol w:w="5103"/>
      </w:tblGrid>
      <w:tr>
        <w:tc>
          <w:tcPr>
            <w:tcW w:type="dxa" w:w="5778"/>
          </w:tcPr>
          <w:p w14:paraId="D2000000">
            <w:pPr>
              <w:widowControl w:val="0"/>
              <w:tabs>
                <w:tab w:leader="none" w:pos="1800" w:val="clear"/>
              </w:tabs>
              <w:ind w:firstLine="0" w:left="0"/>
              <w:rPr>
                <w:sz w:val="22"/>
              </w:rPr>
            </w:pPr>
          </w:p>
        </w:tc>
        <w:tc>
          <w:tcPr>
            <w:tcW w:type="dxa" w:w="5103"/>
          </w:tcPr>
          <w:p w14:paraId="D3000000">
            <w:pPr>
              <w:widowControl w:val="0"/>
              <w:tabs>
                <w:tab w:leader="none" w:pos="1800" w:val="clear"/>
              </w:tabs>
              <w:ind w:firstLine="0" w:left="0"/>
              <w:rPr>
                <w:sz w:val="22"/>
              </w:rPr>
            </w:pPr>
          </w:p>
        </w:tc>
      </w:tr>
      <w:tr>
        <w:tc>
          <w:tcPr>
            <w:tcW w:type="dxa" w:w="5778"/>
          </w:tcPr>
          <w:p w14:paraId="D4000000">
            <w:pPr>
              <w:widowControl w:val="0"/>
              <w:tabs>
                <w:tab w:leader="none" w:pos="1800" w:val="clear"/>
              </w:tabs>
              <w:ind w:firstLine="0" w:left="0"/>
              <w:rPr>
                <w:sz w:val="22"/>
              </w:rPr>
            </w:pPr>
          </w:p>
        </w:tc>
        <w:tc>
          <w:tcPr>
            <w:tcW w:type="dxa" w:w="5103"/>
          </w:tcPr>
          <w:p w14:paraId="D5000000">
            <w:pPr>
              <w:widowControl w:val="0"/>
              <w:tabs>
                <w:tab w:leader="none" w:pos="1800" w:val="clear"/>
              </w:tabs>
              <w:ind w:hanging="1800" w:left="1800"/>
              <w:rPr>
                <w:sz w:val="22"/>
              </w:rPr>
            </w:pPr>
          </w:p>
        </w:tc>
      </w:tr>
    </w:tbl>
    <w:p w14:paraId="D6000000">
      <w:pPr>
        <w:tabs>
          <w:tab w:leader="none" w:pos="1800" w:val="clear"/>
        </w:tabs>
        <w:ind w:firstLine="0" w:left="0"/>
        <w:rPr>
          <w:sz w:val="22"/>
        </w:rPr>
      </w:pPr>
    </w:p>
    <w:sectPr>
      <w:pgSz w:h="16838" w:orient="portrait" w:w="11906"/>
      <w:pgMar w:bottom="567" w:footer="284" w:gutter="0" w:header="284" w:left="1134" w:right="56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tabs>
        <w:tab w:leader="none" w:pos="1800" w:val="left"/>
        <w:tab w:leader="none" w:pos="4422" w:val="left"/>
      </w:tabs>
      <w:ind w:hanging="1440" w:left="4422"/>
    </w:pPr>
    <w:rPr>
      <w:sz w:val="24"/>
    </w:rPr>
  </w:style>
  <w:style w:default="1" w:styleId="Style_2_ch" w:type="character">
    <w:name w:val="Normal"/>
    <w:link w:val="Style_2"/>
    <w:rPr>
      <w:sz w:val="24"/>
    </w:rPr>
  </w:style>
  <w:style w:styleId="Style_7" w:type="paragraph">
    <w:name w:val="toc 2"/>
    <w:next w:val="Style_2"/>
    <w:link w:val="Style_7_ch"/>
    <w:uiPriority w:val="39"/>
    <w:pPr>
      <w:ind w:firstLine="0" w:left="200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2"/>
    <w:link w:val="Style_8_ch"/>
    <w:uiPriority w:val="39"/>
    <w:pPr>
      <w:ind w:firstLine="0" w:left="600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2"/>
    <w:link w:val="Style_9_ch"/>
    <w:uiPriority w:val="39"/>
    <w:pPr>
      <w:ind w:firstLine="0" w:left="1000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2"/>
    <w:link w:val="Style_10_ch"/>
    <w:uiPriority w:val="39"/>
    <w:pPr>
      <w:ind w:firstLine="0" w:left="1200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List Paragraph"/>
    <w:basedOn w:val="Style_2"/>
    <w:link w:val="Style_11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11_ch" w:type="character">
    <w:name w:val="List Paragraph"/>
    <w:basedOn w:val="Style_2_ch"/>
    <w:link w:val="Style_11"/>
    <w:rPr>
      <w:rFonts w:ascii="Calibri" w:hAnsi="Calibri"/>
      <w:sz w:val="22"/>
    </w:rPr>
  </w:style>
  <w:style w:styleId="Style_12" w:type="paragraph">
    <w:name w:val="heading 3"/>
    <w:basedOn w:val="Style_2"/>
    <w:next w:val="Style_2"/>
    <w:link w:val="Style_12_ch"/>
    <w:uiPriority w:val="9"/>
    <w:qFormat/>
    <w:pPr>
      <w:keepNext w:val="1"/>
      <w:ind/>
      <w:jc w:val="center"/>
      <w:outlineLvl w:val="2"/>
    </w:pPr>
    <w:rPr>
      <w:b w:val="1"/>
    </w:rPr>
  </w:style>
  <w:style w:styleId="Style_12_ch" w:type="character">
    <w:name w:val="heading 3"/>
    <w:basedOn w:val="Style_2_ch"/>
    <w:link w:val="Style_12"/>
    <w:rPr>
      <w:b w:val="1"/>
    </w:rPr>
  </w:style>
  <w:style w:styleId="Style_4" w:type="paragraph">
    <w:name w:val="Обычный1"/>
    <w:link w:val="Style_4_ch"/>
    <w:rPr>
      <w:sz w:val="24"/>
    </w:rPr>
  </w:style>
  <w:style w:styleId="Style_4_ch" w:type="character">
    <w:name w:val="Обычный1"/>
    <w:link w:val="Style_4"/>
    <w:rPr>
      <w:sz w:val="24"/>
    </w:rPr>
  </w:style>
  <w:style w:styleId="Style_13" w:type="paragraph">
    <w:name w:val="Гиперссылка1"/>
    <w:link w:val="Style_13_ch"/>
    <w:rPr>
      <w:color w:val="0000FF"/>
      <w:u w:val="single"/>
    </w:rPr>
  </w:style>
  <w:style w:styleId="Style_13_ch" w:type="character">
    <w:name w:val="Гиперссылка1"/>
    <w:link w:val="Style_13"/>
    <w:rPr>
      <w:color w:val="0000FF"/>
      <w:u w:val="single"/>
    </w:rPr>
  </w:style>
  <w:style w:styleId="Style_14" w:type="paragraph">
    <w:name w:val="Основной шрифт абзаца1"/>
    <w:link w:val="Style_14_ch"/>
  </w:style>
  <w:style w:styleId="Style_14_ch" w:type="character">
    <w:name w:val="Основной шрифт абзаца1"/>
    <w:link w:val="Style_14"/>
  </w:style>
  <w:style w:styleId="Style_15" w:type="paragraph">
    <w:name w:val="toc 3"/>
    <w:next w:val="Style_2"/>
    <w:link w:val="Style_15_ch"/>
    <w:uiPriority w:val="39"/>
    <w:pPr>
      <w:ind w:firstLine="0" w:left="400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Название книги1"/>
    <w:link w:val="Style_16_ch"/>
    <w:rPr>
      <w:b w:val="1"/>
      <w:smallCaps w:val="1"/>
      <w:spacing w:val="5"/>
    </w:rPr>
  </w:style>
  <w:style w:styleId="Style_16_ch" w:type="character">
    <w:name w:val="Название книги1"/>
    <w:link w:val="Style_16"/>
    <w:rPr>
      <w:b w:val="1"/>
      <w:smallCaps w:val="1"/>
      <w:spacing w:val="5"/>
    </w:rPr>
  </w:style>
  <w:style w:styleId="Style_17" w:type="paragraph">
    <w:name w:val="Обычный1"/>
    <w:link w:val="Style_17_ch"/>
    <w:rPr>
      <w:sz w:val="24"/>
    </w:rPr>
  </w:style>
  <w:style w:styleId="Style_17_ch" w:type="character">
    <w:name w:val="Обычный1"/>
    <w:link w:val="Style_17"/>
    <w:rPr>
      <w:sz w:val="24"/>
    </w:rPr>
  </w:style>
  <w:style w:styleId="Style_18" w:type="paragraph">
    <w:name w:val="heading 5"/>
    <w:next w:val="Style_2"/>
    <w:link w:val="Style_1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19" w:type="paragraph">
    <w:name w:val="Body Text"/>
    <w:basedOn w:val="Style_2"/>
    <w:link w:val="Style_19_ch"/>
    <w:rPr>
      <w:b w:val="1"/>
      <w:sz w:val="20"/>
    </w:rPr>
  </w:style>
  <w:style w:styleId="Style_19_ch" w:type="character">
    <w:name w:val="Body Text"/>
    <w:basedOn w:val="Style_2_ch"/>
    <w:link w:val="Style_19"/>
    <w:rPr>
      <w:b w:val="1"/>
      <w:sz w:val="20"/>
    </w:rPr>
  </w:style>
  <w:style w:styleId="Style_5" w:type="paragraph">
    <w:name w:val="heading 1"/>
    <w:basedOn w:val="Style_2"/>
    <w:next w:val="Style_2"/>
    <w:link w:val="Style_5_ch"/>
    <w:uiPriority w:val="9"/>
    <w:qFormat/>
    <w:pPr>
      <w:keepNext w:val="1"/>
      <w:ind/>
      <w:jc w:val="center"/>
      <w:outlineLvl w:val="0"/>
    </w:pPr>
    <w:rPr>
      <w:sz w:val="36"/>
    </w:rPr>
  </w:style>
  <w:style w:styleId="Style_5_ch" w:type="character">
    <w:name w:val="heading 1"/>
    <w:basedOn w:val="Style_2_ch"/>
    <w:link w:val="Style_5"/>
    <w:rPr>
      <w:sz w:val="36"/>
    </w:rPr>
  </w:style>
  <w:style w:styleId="Style_20" w:type="paragraph">
    <w:name w:val="Гиперссылка1"/>
    <w:link w:val="Style_20_ch"/>
    <w:rPr>
      <w:color w:val="0000FF"/>
      <w:u w:val="single"/>
    </w:rPr>
  </w:style>
  <w:style w:styleId="Style_20_ch" w:type="character">
    <w:name w:val="Гиперссылка1"/>
    <w:link w:val="Style_20"/>
    <w:rPr>
      <w:color w:val="0000FF"/>
      <w:u w:val="single"/>
    </w:rPr>
  </w:style>
  <w:style w:styleId="Style_21" w:type="paragraph">
    <w:name w:val="Hyperlink"/>
    <w:link w:val="Style_21_ch"/>
    <w:rPr>
      <w:color w:val="0000FF"/>
      <w:u w:val="single"/>
    </w:rPr>
  </w:style>
  <w:style w:styleId="Style_21_ch" w:type="character">
    <w:name w:val="Hyperlink"/>
    <w:link w:val="Style_21"/>
    <w:rPr>
      <w:color w:val="0000FF"/>
      <w:u w:val="single"/>
    </w:rPr>
  </w:style>
  <w:style w:styleId="Style_22" w:type="paragraph">
    <w:name w:val="Footnote"/>
    <w:link w:val="Style_22_ch"/>
    <w:pPr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toc 1"/>
    <w:next w:val="Style_2"/>
    <w:link w:val="Style_23_ch"/>
    <w:uiPriority w:val="39"/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ind/>
      <w:jc w:val="both"/>
    </w:pPr>
    <w:rPr>
      <w:rFonts w:ascii="XO Thames" w:hAnsi="XO Thames"/>
    </w:rPr>
  </w:style>
  <w:style w:styleId="Style_24_ch" w:type="character">
    <w:name w:val="Header and Footer"/>
    <w:link w:val="Style_24"/>
    <w:rPr>
      <w:rFonts w:ascii="XO Thames" w:hAnsi="XO Thames"/>
    </w:rPr>
  </w:style>
  <w:style w:styleId="Style_6" w:type="paragraph">
    <w:name w:val="No Spacing"/>
    <w:link w:val="Style_6_ch"/>
    <w:pPr>
      <w:tabs>
        <w:tab w:leader="none" w:pos="1800" w:val="left"/>
        <w:tab w:leader="none" w:pos="4422" w:val="left"/>
      </w:tabs>
      <w:ind w:hanging="1440" w:left="4422"/>
    </w:pPr>
    <w:rPr>
      <w:sz w:val="24"/>
    </w:rPr>
  </w:style>
  <w:style w:styleId="Style_6_ch" w:type="character">
    <w:name w:val="No Spacing"/>
    <w:link w:val="Style_6"/>
    <w:rPr>
      <w:sz w:val="24"/>
    </w:rPr>
  </w:style>
  <w:style w:styleId="Style_1" w:type="paragraph">
    <w:name w:val="LB Body Text 2"/>
    <w:basedOn w:val="Style_2"/>
    <w:link w:val="Style_1_ch"/>
    <w:pPr>
      <w:tabs>
        <w:tab w:leader="none" w:pos="1800" w:val="clear"/>
        <w:tab w:leader="none" w:pos="4422" w:val="clear"/>
      </w:tabs>
      <w:spacing w:after="120" w:before="120"/>
      <w:ind w:firstLine="0" w:left="720"/>
      <w:jc w:val="both"/>
    </w:pPr>
    <w:rPr>
      <w:sz w:val="22"/>
    </w:rPr>
  </w:style>
  <w:style w:styleId="Style_1_ch" w:type="character">
    <w:name w:val="LB Body Text 2"/>
    <w:basedOn w:val="Style_2_ch"/>
    <w:link w:val="Style_1"/>
    <w:rPr>
      <w:sz w:val="22"/>
    </w:rPr>
  </w:style>
  <w:style w:styleId="Style_25" w:type="paragraph">
    <w:name w:val="toc 9"/>
    <w:next w:val="Style_2"/>
    <w:link w:val="Style_25_ch"/>
    <w:uiPriority w:val="39"/>
    <w:pPr>
      <w:ind w:firstLine="0" w:left="1600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Заголовок 3 Знак"/>
    <w:basedOn w:val="Style_17"/>
    <w:link w:val="Style_26_ch"/>
    <w:rPr>
      <w:b w:val="1"/>
      <w:sz w:val="24"/>
    </w:rPr>
  </w:style>
  <w:style w:styleId="Style_26_ch" w:type="character">
    <w:name w:val="Заголовок 3 Знак"/>
    <w:basedOn w:val="Style_17_ch"/>
    <w:link w:val="Style_26"/>
    <w:rPr>
      <w:b w:val="1"/>
      <w:sz w:val="24"/>
    </w:rPr>
  </w:style>
  <w:style w:styleId="Style_27" w:type="paragraph">
    <w:name w:val="toc 8"/>
    <w:next w:val="Style_2"/>
    <w:link w:val="Style_27_ch"/>
    <w:uiPriority w:val="39"/>
    <w:pPr>
      <w:ind w:firstLine="0" w:left="1400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Основной шрифт абзаца1"/>
    <w:link w:val="Style_28_ch"/>
  </w:style>
  <w:style w:styleId="Style_28_ch" w:type="character">
    <w:name w:val="Основной шрифт абзаца1"/>
    <w:link w:val="Style_28"/>
  </w:style>
  <w:style w:styleId="Style_29" w:type="paragraph">
    <w:name w:val="toc 5"/>
    <w:next w:val="Style_2"/>
    <w:link w:val="Style_29_ch"/>
    <w:uiPriority w:val="39"/>
    <w:pPr>
      <w:ind w:firstLine="0" w:left="800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Balloon Text"/>
    <w:basedOn w:val="Style_2"/>
    <w:link w:val="Style_30_ch"/>
    <w:rPr>
      <w:rFonts w:ascii="Tahoma" w:hAnsi="Tahoma"/>
      <w:sz w:val="16"/>
    </w:rPr>
  </w:style>
  <w:style w:styleId="Style_30_ch" w:type="character">
    <w:name w:val="Balloon Text"/>
    <w:basedOn w:val="Style_2_ch"/>
    <w:link w:val="Style_30"/>
    <w:rPr>
      <w:rFonts w:ascii="Tahoma" w:hAnsi="Tahoma"/>
      <w:sz w:val="16"/>
    </w:rPr>
  </w:style>
  <w:style w:styleId="Style_31" w:type="paragraph">
    <w:name w:val="Body Text Indent 3"/>
    <w:basedOn w:val="Style_2"/>
    <w:link w:val="Style_31_ch"/>
    <w:pPr>
      <w:spacing w:after="120"/>
      <w:ind w:firstLine="0" w:left="283"/>
    </w:pPr>
    <w:rPr>
      <w:sz w:val="16"/>
    </w:rPr>
  </w:style>
  <w:style w:styleId="Style_31_ch" w:type="character">
    <w:name w:val="Body Text Indent 3"/>
    <w:basedOn w:val="Style_2_ch"/>
    <w:link w:val="Style_31"/>
    <w:rPr>
      <w:sz w:val="16"/>
    </w:rPr>
  </w:style>
  <w:style w:styleId="Style_32" w:type="paragraph">
    <w:name w:val="Subtitle"/>
    <w:next w:val="Style_2"/>
    <w:link w:val="Style_3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33" w:type="paragraph">
    <w:name w:val="header"/>
    <w:basedOn w:val="Style_2"/>
    <w:link w:val="Style_33_ch"/>
  </w:style>
  <w:style w:styleId="Style_33_ch" w:type="character">
    <w:name w:val="header"/>
    <w:basedOn w:val="Style_2_ch"/>
    <w:link w:val="Style_33"/>
  </w:style>
  <w:style w:styleId="Style_34" w:type="paragraph">
    <w:name w:val="Title"/>
    <w:next w:val="Style_2"/>
    <w:link w:val="Style_3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35" w:type="paragraph">
    <w:name w:val="heading 4"/>
    <w:next w:val="Style_2"/>
    <w:link w:val="Style_3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5_ch" w:type="character">
    <w:name w:val="heading 4"/>
    <w:link w:val="Style_35"/>
    <w:rPr>
      <w:rFonts w:ascii="XO Thames" w:hAnsi="XO Thames"/>
      <w:b w:val="1"/>
      <w:sz w:val="24"/>
    </w:rPr>
  </w:style>
  <w:style w:styleId="Style_36" w:type="paragraph">
    <w:name w:val="Default Paragraph Font"/>
    <w:link w:val="Style_36_ch"/>
  </w:style>
  <w:style w:styleId="Style_36_ch" w:type="character">
    <w:name w:val="Default Paragraph Font"/>
    <w:link w:val="Style_36"/>
  </w:style>
  <w:style w:styleId="Style_37" w:type="paragraph">
    <w:name w:val="heading 2"/>
    <w:basedOn w:val="Style_2"/>
    <w:next w:val="Style_2"/>
    <w:link w:val="Style_37_ch"/>
    <w:uiPriority w:val="9"/>
    <w:qFormat/>
    <w:pPr>
      <w:keepNext w:val="1"/>
      <w:ind/>
      <w:outlineLvl w:val="1"/>
    </w:pPr>
    <w:rPr>
      <w:b w:val="1"/>
      <w:sz w:val="20"/>
    </w:rPr>
  </w:style>
  <w:style w:styleId="Style_37_ch" w:type="character">
    <w:name w:val="heading 2"/>
    <w:basedOn w:val="Style_2_ch"/>
    <w:link w:val="Style_37"/>
    <w:rPr>
      <w:b w:val="1"/>
      <w:sz w:val="20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2026-11-02T07:36:40Z</dcterms:modified>
</cp:coreProperties>
</file>