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4000000">
      <w:pPr>
        <w:pStyle w:val="Style_3"/>
        <w:ind/>
        <w:jc w:val="center"/>
      </w:pPr>
      <w:r>
        <w:rPr>
          <w:b w:val="1"/>
          <w:sz w:val="22"/>
        </w:rPr>
        <w:t>ДОГОВОР №_____</w:t>
      </w:r>
    </w:p>
    <w:p w14:paraId="05000000">
      <w:pPr>
        <w:pStyle w:val="Style_3"/>
        <w:ind/>
        <w:jc w:val="center"/>
        <w:rPr>
          <w:b w:val="1"/>
          <w:sz w:val="22"/>
        </w:rPr>
      </w:pPr>
    </w:p>
    <w:tbl>
      <w:tblPr>
        <w:tblStyle w:val="Style_4"/>
        <w:tblInd w:type="dxa" w:w="-108"/>
        <w:tblLayout w:type="fixed"/>
      </w:tblPr>
      <w:tblGrid>
        <w:gridCol w:w="4928"/>
        <w:gridCol w:w="4926"/>
      </w:tblGrid>
      <w:tr>
        <w:tc>
          <w:tcPr>
            <w:tcW w:type="dxa" w:w="4928"/>
            <w:shd w:fill="FFFFFF" w:val="clear"/>
          </w:tcPr>
          <w:p w14:paraId="06000000">
            <w:pPr>
              <w:pStyle w:val="Style_3"/>
              <w:widowControl w:val="0"/>
              <w:ind/>
            </w:pPr>
            <w:r>
              <w:rPr>
                <w:sz w:val="22"/>
              </w:rPr>
              <w:t>Санкт-Петербург</w:t>
            </w:r>
          </w:p>
        </w:tc>
        <w:tc>
          <w:tcPr>
            <w:tcW w:type="dxa" w:w="4926"/>
            <w:shd w:fill="FFFFFF" w:val="clear"/>
          </w:tcPr>
          <w:p w14:paraId="07000000">
            <w:pPr>
              <w:pStyle w:val="Style_3"/>
              <w:widowControl w:val="0"/>
              <w:ind/>
              <w:jc w:val="right"/>
            </w:pPr>
            <w:r>
              <w:rPr>
                <w:sz w:val="22"/>
              </w:rPr>
              <w:t>«</w:t>
            </w:r>
            <w:r>
              <w:rPr>
                <w:sz w:val="22"/>
              </w:rPr>
              <w:t>___</w:t>
            </w:r>
            <w:r>
              <w:rPr>
                <w:sz w:val="22"/>
              </w:rPr>
              <w:t>» _______ 202</w:t>
            </w:r>
            <w:r>
              <w:rPr>
                <w:sz w:val="22"/>
              </w:rPr>
              <w:t>6</w:t>
            </w:r>
            <w:r>
              <w:rPr>
                <w:sz w:val="22"/>
              </w:rPr>
              <w:t xml:space="preserve"> года</w:t>
            </w:r>
          </w:p>
        </w:tc>
      </w:tr>
    </w:tbl>
    <w:p w14:paraId="08000000">
      <w:pPr>
        <w:pStyle w:val="Style_3"/>
        <w:ind w:firstLine="720" w:left="0"/>
        <w:jc w:val="both"/>
        <w:rPr>
          <w:sz w:val="22"/>
        </w:rPr>
      </w:pPr>
    </w:p>
    <w:p w14:paraId="09000000">
      <w:pPr>
        <w:pStyle w:val="Style_5"/>
        <w:ind w:firstLine="720" w:left="0"/>
        <w:jc w:val="both"/>
        <w:rPr>
          <w:sz w:val="22"/>
        </w:rPr>
      </w:pPr>
      <w:r>
        <w:rPr>
          <w:sz w:val="22"/>
        </w:rPr>
        <w:t xml:space="preserve">Ленинградское областное государственное стационарное бюджетное учреждение социального обслуживания «Сясьстройский </w:t>
      </w:r>
      <w:r>
        <w:rPr>
          <w:sz w:val="22"/>
        </w:rPr>
        <w:t>дом социального проживания</w:t>
      </w:r>
      <w:r>
        <w:rPr>
          <w:sz w:val="22"/>
        </w:rPr>
        <w:t xml:space="preserve">» (далее - ЛОГБУ «Сясьстройский </w:t>
      </w:r>
      <w:r>
        <w:rPr>
          <w:sz w:val="22"/>
        </w:rPr>
        <w:t>ДСП</w:t>
      </w:r>
      <w:r>
        <w:rPr>
          <w:sz w:val="22"/>
        </w:rPr>
        <w:t>), именуемое в дальнейшем «Заказчик», в лице директора Журавель Марии Борисовны, действующего на основании Устава, и _____________</w:t>
      </w:r>
      <w:r>
        <w:rPr>
          <w:sz w:val="22"/>
        </w:rPr>
        <w:t xml:space="preserve">, в лице </w:t>
      </w:r>
      <w:r>
        <w:rPr>
          <w:sz w:val="22"/>
        </w:rPr>
        <w:t>______</w:t>
      </w:r>
      <w:r>
        <w:rPr>
          <w:sz w:val="22"/>
        </w:rPr>
        <w:t xml:space="preserve">, действующего на основании </w:t>
      </w:r>
      <w:r>
        <w:rPr>
          <w:sz w:val="22"/>
        </w:rPr>
        <w:t>__________</w:t>
      </w:r>
      <w:r>
        <w:rPr>
          <w:sz w:val="22"/>
        </w:rPr>
        <w:t xml:space="preserve">, </w:t>
      </w:r>
      <w:r>
        <w:rPr>
          <w:sz w:val="22"/>
        </w:rPr>
        <w:t>именуем</w:t>
      </w:r>
      <w:r>
        <w:rPr>
          <w:sz w:val="22"/>
        </w:rPr>
        <w:t>ый</w:t>
      </w:r>
      <w:r>
        <w:rPr>
          <w:sz w:val="22"/>
        </w:rPr>
        <w:t xml:space="preserve"> в дальнейшем «Поставщик»</w:t>
      </w:r>
      <w:r>
        <w:rPr>
          <w:sz w:val="22"/>
        </w:rPr>
        <w:t xml:space="preserve">, </w:t>
      </w:r>
      <w:r>
        <w:rPr>
          <w:sz w:val="22"/>
        </w:rPr>
        <w:t>с другой стороны</w:t>
      </w:r>
      <w:r>
        <w:rPr>
          <w:sz w:val="22"/>
        </w:rPr>
        <w:t xml:space="preserve">, </w:t>
      </w:r>
      <w:r>
        <w:rPr>
          <w:sz w:val="22"/>
        </w:rPr>
        <w:t xml:space="preserve">именуемые в дальнейшем Стороны, </w:t>
      </w:r>
      <w:r>
        <w:rPr>
          <w:sz w:val="22"/>
        </w:rPr>
        <w:t>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Pr>
          <w:sz w:val="22"/>
        </w:rPr>
        <w:t>:</w:t>
      </w:r>
    </w:p>
    <w:p w14:paraId="0A000000">
      <w:pPr>
        <w:pStyle w:val="Style_3"/>
        <w:rPr>
          <w:sz w:val="22"/>
        </w:rPr>
      </w:pPr>
    </w:p>
    <w:p w14:paraId="0B000000">
      <w:pPr>
        <w:pStyle w:val="Style_3"/>
      </w:pPr>
      <w:r>
        <w:rPr>
          <w:b w:val="1"/>
          <w:sz w:val="22"/>
        </w:rPr>
        <w:t>1. ПРЕДМЕТ ДОГОВОРА</w:t>
      </w:r>
    </w:p>
    <w:p w14:paraId="0C000000">
      <w:pPr>
        <w:ind w:firstLine="720" w:left="0"/>
        <w:jc w:val="both"/>
      </w:pPr>
      <w:r>
        <w:rPr>
          <w:sz w:val="22"/>
        </w:rPr>
        <w:t xml:space="preserve">1.1. Поставщик обязуется на </w:t>
      </w:r>
      <w:r>
        <w:rPr>
          <w:sz w:val="22"/>
        </w:rPr>
        <w:t>условиях Договора поставить Покупателю спецодежду и/или обувь и/или другие товары</w:t>
      </w:r>
      <w:r>
        <w:rPr>
          <w:sz w:val="22"/>
        </w:rPr>
        <w:t xml:space="preserve"> </w:t>
      </w:r>
      <w:r>
        <w:rPr>
          <w:sz w:val="22"/>
        </w:rPr>
        <w:t>с</w:t>
      </w:r>
      <w:r>
        <w:rPr>
          <w:sz w:val="22"/>
        </w:rPr>
        <w:t>о</w:t>
      </w:r>
      <w:r>
        <w:rPr>
          <w:sz w:val="22"/>
        </w:rPr>
        <w:t>гласно Спецификаци</w:t>
      </w:r>
      <w:r>
        <w:rPr>
          <w:rStyle w:val="Style_5_ch"/>
          <w:sz w:val="22"/>
        </w:rPr>
        <w:t>и</w:t>
      </w:r>
      <w:r>
        <w:rPr>
          <w:rStyle w:val="Style_5_ch"/>
          <w:sz w:val="22"/>
        </w:rPr>
        <w:t xml:space="preserve"> (Приложение № 1)</w:t>
      </w:r>
      <w:r>
        <w:rPr>
          <w:sz w:val="22"/>
        </w:rPr>
        <w:t xml:space="preserve"> (далее – Товар) по наименованию</w:t>
      </w:r>
      <w:r>
        <w:rPr>
          <w:b w:val="1"/>
          <w:sz w:val="22"/>
        </w:rPr>
        <w:t>,</w:t>
      </w:r>
      <w:r>
        <w:rPr>
          <w:sz w:val="22"/>
        </w:rPr>
        <w:t xml:space="preserve"> количеству и в сроки согласно счету и/или спецификации, а последний обязуется оплатить Товар и принять.</w:t>
      </w:r>
    </w:p>
    <w:p w14:paraId="0D000000">
      <w:pPr>
        <w:ind w:firstLine="720" w:left="0"/>
        <w:jc w:val="both"/>
      </w:pPr>
      <w:r>
        <w:rPr>
          <w:sz w:val="22"/>
        </w:rPr>
        <w:t>1.2. В случае изготовления Товара по специальному заказу, а также нанесения на Товар фирменной символики Покупателя, сроки поставки согласовываются дополнительно. Товар надлежащего качества, изготовленный на заказ и/или с нанесением</w:t>
      </w:r>
      <w:r>
        <w:rPr>
          <w:sz w:val="22"/>
        </w:rPr>
        <w:t xml:space="preserve"> фирменной символики Покупателя, возврату и обмену не подлежит. </w:t>
      </w:r>
    </w:p>
    <w:p w14:paraId="0E000000">
      <w:pPr>
        <w:pStyle w:val="Style_3"/>
        <w:ind w:firstLine="720" w:left="0"/>
        <w:jc w:val="both"/>
      </w:pPr>
      <w:r>
        <w:rPr>
          <w:sz w:val="22"/>
        </w:rPr>
        <w:t>1.3. При нанесении на продукцию фирменной символики Покупателя, последний обязан в письменной форме согласовать необходимые параметры логотипа (цвет, шрифт, изображение), заполнив форму бланка на изготовление логотипа.</w:t>
      </w:r>
    </w:p>
    <w:p w14:paraId="0F000000">
      <w:pPr>
        <w:ind w:firstLine="720" w:left="0"/>
        <w:jc w:val="both"/>
        <w:rPr>
          <w:sz w:val="22"/>
        </w:rPr>
      </w:pPr>
      <w:bookmarkStart w:id="1" w:name="_Hlk168478884"/>
      <w:r>
        <w:rPr>
          <w:sz w:val="22"/>
        </w:rPr>
        <w:t>1.4. При поставке обувных товаров по Договору Стороны руководствуются Правилами маркировки обувных товаров средствами идентификации, утвержденными Постановлением Правительства РФ №860 от 05 июля 2019 г., (далее - «Правила маркировки»), изменениями к нему и иной нормативной документацией в сфере маркировки обувных товаров.</w:t>
      </w:r>
    </w:p>
    <w:p w14:paraId="10000000">
      <w:pPr>
        <w:ind w:firstLine="720" w:left="0"/>
        <w:jc w:val="both"/>
        <w:rPr>
          <w:sz w:val="22"/>
        </w:rPr>
      </w:pPr>
      <w:r>
        <w:rPr>
          <w:sz w:val="22"/>
        </w:rPr>
        <w:t>При поставке товаров легкой промышленности по Договору Стороны руководствуются Правилами маркировки товаров легкой промышленности средствами идентификации, утвержденными Постановлением Правительства РФ № 1956 от 31 декабря 2019 г., (далее - «Правила маркировки»), изменениями к нему и иной нормативной документацией в сфере маркировки товаров легкой промышленности.</w:t>
      </w:r>
    </w:p>
    <w:p w14:paraId="11000000">
      <w:pPr>
        <w:ind w:firstLine="720" w:left="0"/>
        <w:jc w:val="both"/>
      </w:pPr>
      <w:r>
        <w:rPr>
          <w:sz w:val="22"/>
        </w:rPr>
        <w:t xml:space="preserve">Покупатель заверяет Поставщика, что товары, указанные в настоящем пункте Договора приобретаются Покупателем для использования в целях, не связанных с их последующей реализацией (продажей), т.е. для собственных нужд Покупателя. На основании данного заверения Покупателя Поставщик вносит информацию в государственную информационную систему мониторинга о выводе товаров из оборота после подтверждения Покупателем получения товаров (п. 84 Правил маркировки). </w:t>
      </w:r>
    </w:p>
    <w:p w14:paraId="12000000">
      <w:pPr>
        <w:ind w:firstLine="720" w:left="0"/>
        <w:jc w:val="both"/>
      </w:pPr>
      <w:r>
        <w:rPr>
          <w:sz w:val="22"/>
        </w:rPr>
        <w:t xml:space="preserve">1.5. </w:t>
      </w:r>
      <w:r>
        <w:rPr>
          <w:sz w:val="22"/>
        </w:rPr>
        <w:t>В случае принятия решения Покупателем о последующей реализации (продаже) товаров, поставленных Поставщиком и выведенных им из оборота, Покупатель осуществляет все необходимые действия в государственной информационной системе мониторинга, руководствуясь Правилами маркировки (п. 86 Правил маркировки).</w:t>
      </w:r>
    </w:p>
    <w:p w14:paraId="13000000">
      <w:pPr>
        <w:pStyle w:val="Style_3"/>
        <w:ind w:firstLine="720" w:left="0"/>
        <w:jc w:val="both"/>
      </w:pPr>
      <w:r>
        <w:rPr>
          <w:sz w:val="22"/>
        </w:rPr>
        <w:t xml:space="preserve"> Покупатель обязан письменно уведомить Поставщика до даты поставки Товара о последующей реализации (продаже) третьим лицам.</w:t>
      </w:r>
    </w:p>
    <w:p w14:paraId="14000000">
      <w:pPr>
        <w:ind w:firstLine="720" w:left="0"/>
        <w:jc w:val="both"/>
        <w:rPr>
          <w:sz w:val="22"/>
        </w:rPr>
      </w:pPr>
      <w:r>
        <w:rPr>
          <w:color w:val="000000"/>
          <w:sz w:val="22"/>
        </w:rPr>
        <w:t xml:space="preserve">1.6. </w:t>
      </w:r>
      <w:r>
        <w:rPr>
          <w:sz w:val="22"/>
        </w:rPr>
        <w:t xml:space="preserve">Покупатель дает следующие заверения об обстоятельствах в соответствии со ст. 431.2 ГК РФ: </w:t>
      </w:r>
    </w:p>
    <w:p w14:paraId="15000000">
      <w:pPr>
        <w:ind w:firstLine="720" w:left="0"/>
        <w:jc w:val="both"/>
        <w:rPr>
          <w:sz w:val="22"/>
        </w:rPr>
      </w:pPr>
      <w:r>
        <w:rPr>
          <w:sz w:val="22"/>
        </w:rPr>
        <w:t xml:space="preserve">- </w:t>
      </w:r>
      <w:r>
        <w:rPr>
          <w:sz w:val="22"/>
        </w:rPr>
        <w:t>лицо, подписывающее настоящий Договор обладает всеми необходимыми полномочиями для заключения и подписания Договора от имени Покупателя;</w:t>
      </w:r>
    </w:p>
    <w:p w14:paraId="16000000">
      <w:pPr>
        <w:ind w:firstLine="720" w:left="0"/>
        <w:jc w:val="both"/>
        <w:rPr>
          <w:sz w:val="22"/>
        </w:rPr>
      </w:pPr>
      <w:r>
        <w:rPr>
          <w:sz w:val="22"/>
        </w:rPr>
        <w:t xml:space="preserve">- приобретаемый товар не предназначен для исполнения государственного оборонного заказа (далее - ГОЗ), оплата товара будет осуществляться Покупателем с расчетного счета (не с отдельного или казначейского счета ГОЗ), на Поставщика не распространяются требования ФЗ № 275-ФЗ от 29.12.2012 г. «О государственном оборонном заказе». При нарушении указанных заверений Поставщик вправе вернуть платеж на счет, с которого получены денежные средства, или применить иные последствия нарушения заверений об обстоятельствах. </w:t>
      </w:r>
    </w:p>
    <w:p w14:paraId="17000000">
      <w:pPr>
        <w:ind w:firstLine="720" w:left="0"/>
        <w:jc w:val="both"/>
        <w:rPr>
          <w:sz w:val="22"/>
        </w:rPr>
      </w:pPr>
      <w:r>
        <w:rPr>
          <w:sz w:val="22"/>
        </w:rPr>
        <w:t>1.7. Если условия, изложенные в счете и/или спецификации, отличаются от условий, изложенных в Договоре, применяются условия счета и/или спецификации.</w:t>
      </w:r>
      <w:bookmarkEnd w:id="1"/>
    </w:p>
    <w:p w14:paraId="18000000">
      <w:pPr>
        <w:ind w:firstLine="720" w:left="0"/>
        <w:jc w:val="both"/>
      </w:pPr>
    </w:p>
    <w:p w14:paraId="19000000">
      <w:pPr>
        <w:pStyle w:val="Style_3"/>
        <w:ind w:firstLine="720" w:left="0"/>
        <w:jc w:val="both"/>
        <w:rPr>
          <w:b w:val="1"/>
          <w:color w:val="000000"/>
          <w:sz w:val="22"/>
        </w:rPr>
      </w:pPr>
      <w:r>
        <w:rPr>
          <w:b w:val="1"/>
          <w:color w:val="000000"/>
          <w:sz w:val="22"/>
        </w:rPr>
        <w:t>2. УСЛОВИЯ ОПЛАТЫ ТОВАРА</w:t>
      </w:r>
    </w:p>
    <w:p w14:paraId="1A000000">
      <w:pPr>
        <w:pStyle w:val="Style_3"/>
        <w:ind w:firstLine="720" w:left="0"/>
        <w:jc w:val="both"/>
      </w:pPr>
      <w:r>
        <w:rPr>
          <w:sz w:val="22"/>
        </w:rPr>
        <w:t>2.1. Стоимость и перечень Товара согласовывается Сторонами и фиксируется в выставляемом Покупателю Счете и/или подписанной спецификации, товарной накладной/УПД. Цена на Товар указывается в рублях РФ</w:t>
      </w:r>
      <w:r>
        <w:rPr>
          <w:sz w:val="22"/>
        </w:rPr>
        <w:t>, в т.ч. НДС</w:t>
      </w:r>
      <w:r>
        <w:rPr>
          <w:sz w:val="22"/>
        </w:rPr>
        <w:t xml:space="preserve"> </w:t>
      </w:r>
      <w:r>
        <w:rPr>
          <w:sz w:val="22"/>
        </w:rPr>
        <w:t>по ставке, применяемой в соответствии с законодательством РФ.</w:t>
      </w:r>
    </w:p>
    <w:p w14:paraId="1B000000">
      <w:pPr>
        <w:pStyle w:val="Style_3"/>
        <w:ind w:firstLine="720" w:left="0"/>
        <w:jc w:val="both"/>
        <w:rPr>
          <w:color w:val="000000"/>
        </w:rPr>
      </w:pPr>
      <w:r>
        <w:rPr>
          <w:sz w:val="22"/>
        </w:rPr>
        <w:t xml:space="preserve">2.2. После передачи Товара (п.3.1.) по каждой поставке Покупатель обязан в </w:t>
      </w:r>
      <w:r>
        <w:rPr>
          <w:sz w:val="22"/>
        </w:rPr>
        <w:t xml:space="preserve">течение </w:t>
      </w:r>
      <w:r>
        <w:rPr>
          <w:color w:val="000000"/>
          <w:sz w:val="22"/>
        </w:rPr>
        <w:t>7</w:t>
      </w:r>
      <w:r>
        <w:rPr>
          <w:color w:val="000000"/>
          <w:sz w:val="22"/>
        </w:rPr>
        <w:t xml:space="preserve"> (</w:t>
      </w:r>
      <w:r>
        <w:rPr>
          <w:color w:val="000000"/>
          <w:sz w:val="22"/>
        </w:rPr>
        <w:t>семи</w:t>
      </w:r>
      <w:r>
        <w:rPr>
          <w:color w:val="000000"/>
          <w:sz w:val="22"/>
        </w:rPr>
        <w:t xml:space="preserve">) </w:t>
      </w:r>
      <w:r>
        <w:rPr>
          <w:color w:val="000000"/>
          <w:sz w:val="22"/>
        </w:rPr>
        <w:t>календарных дней произвести</w:t>
      </w:r>
      <w:r>
        <w:rPr>
          <w:color w:val="000000"/>
          <w:sz w:val="22"/>
        </w:rPr>
        <w:t xml:space="preserve"> его оплату на расчетный счет Поставщика.</w:t>
      </w:r>
    </w:p>
    <w:p w14:paraId="1C000000">
      <w:pPr>
        <w:pStyle w:val="Style_3"/>
        <w:ind w:firstLine="720" w:left="0"/>
        <w:jc w:val="both"/>
      </w:pPr>
      <w:r>
        <w:rPr>
          <w:sz w:val="22"/>
        </w:rPr>
        <w:t xml:space="preserve">Счет может быть направлен Покупателю по </w:t>
      </w:r>
      <w:r>
        <w:rPr>
          <w:sz w:val="22"/>
        </w:rPr>
        <w:t>e-mail</w:t>
      </w:r>
      <w:r>
        <w:rPr>
          <w:sz w:val="22"/>
        </w:rPr>
        <w:t>, при этом датой выставления счета является дата его направления.</w:t>
      </w:r>
    </w:p>
    <w:p w14:paraId="1D000000">
      <w:pPr>
        <w:pStyle w:val="Style_3"/>
        <w:ind w:firstLine="720" w:left="0"/>
        <w:jc w:val="both"/>
      </w:pPr>
      <w:r>
        <w:rPr>
          <w:sz w:val="22"/>
        </w:rPr>
        <w:t>2.3. В платежных документах ссылка на реквизиты договора, спецификации или счета, по которым осуществляется оплата, обязательна.</w:t>
      </w:r>
    </w:p>
    <w:p w14:paraId="1E000000">
      <w:pPr>
        <w:pStyle w:val="Style_3"/>
        <w:ind w:firstLine="709" w:left="0"/>
        <w:jc w:val="both"/>
      </w:pPr>
      <w:r>
        <w:rPr>
          <w:sz w:val="22"/>
        </w:rPr>
        <w:t>В случае, если в платежном документе назначение платежа не указано (либо указано с ошибками, в частности, указаны номера несуществующих документов, по которым Товар не передавался, указаны номера документов, оплаченных ранее, в т.ч. по другому договору, либо в качестве назначения платежа указано: «оплата задолженности», «оплата за товар и» и т.п.), а также в случае, когда сумма платежа по документу превышает сумму соответствующего документа, назначение платежа (переплаты) считается неопределенным и платеж засчитывается в погашение задолженности за поставленный товар, возникшей на наиболее раннюю дату, в том числе по другим договорам, заключенным между Покупателем и Поставщиком.</w:t>
      </w:r>
    </w:p>
    <w:p w14:paraId="1F000000">
      <w:pPr>
        <w:pStyle w:val="Style_3"/>
        <w:ind w:firstLine="709" w:left="0"/>
        <w:jc w:val="both"/>
      </w:pPr>
      <w:r>
        <w:rPr>
          <w:sz w:val="22"/>
        </w:rPr>
        <w:t xml:space="preserve">2.4. В случае если у Покупателя перед Поставщиком в рамках Договора возникла просроченная дебиторская задолженность за поставленный Товар, Поставщик, при условии уведомления Покупателя по </w:t>
      </w:r>
      <w:r>
        <w:rPr>
          <w:sz w:val="22"/>
        </w:rPr>
        <w:t>e-mail</w:t>
      </w:r>
      <w:r>
        <w:rPr>
          <w:sz w:val="22"/>
        </w:rPr>
        <w:t>, вправе приостановить поставку Товара до момента погашения задолженности.</w:t>
      </w:r>
    </w:p>
    <w:p w14:paraId="20000000">
      <w:pPr>
        <w:pStyle w:val="Style_3"/>
        <w:ind w:firstLine="709" w:left="0"/>
        <w:jc w:val="both"/>
      </w:pPr>
      <w:r>
        <w:rPr>
          <w:sz w:val="22"/>
        </w:rPr>
        <w:t xml:space="preserve">2.5. Стороны договорились при необходимости производить Сверку расчетов путем направления одной из сторон любым из перечисленных способов, (заказным письмом / нарочным / по </w:t>
      </w:r>
      <w:r>
        <w:rPr>
          <w:sz w:val="22"/>
        </w:rPr>
        <w:t>e-mail</w:t>
      </w:r>
      <w:r>
        <w:rPr>
          <w:sz w:val="22"/>
        </w:rPr>
        <w:t>) на адреса, указанные в Договоре.</w:t>
      </w:r>
    </w:p>
    <w:p w14:paraId="21000000">
      <w:pPr>
        <w:pStyle w:val="Style_3"/>
        <w:ind/>
        <w:jc w:val="both"/>
        <w:rPr>
          <w:b w:val="1"/>
          <w:sz w:val="22"/>
        </w:rPr>
      </w:pPr>
    </w:p>
    <w:p w14:paraId="22000000">
      <w:pPr>
        <w:pStyle w:val="Style_3"/>
        <w:ind/>
        <w:jc w:val="both"/>
      </w:pPr>
      <w:r>
        <w:rPr>
          <w:b w:val="1"/>
          <w:sz w:val="22"/>
        </w:rPr>
        <w:t>3. ПОРЯДОК ПЕРЕДАЧИ ТОВАРА</w:t>
      </w:r>
    </w:p>
    <w:p w14:paraId="23000000">
      <w:pPr>
        <w:pStyle w:val="Style_3"/>
        <w:ind w:firstLine="720" w:left="0"/>
        <w:jc w:val="both"/>
      </w:pPr>
      <w:r>
        <w:rPr>
          <w:sz w:val="22"/>
        </w:rPr>
        <w:t xml:space="preserve">3.1. </w:t>
      </w:r>
      <w:r>
        <w:rPr>
          <w:b w:val="0"/>
          <w:sz w:val="22"/>
        </w:rPr>
        <w:t>Срок поставки Товара Покупателю/Грузополучателю в течение</w:t>
      </w:r>
      <w:r>
        <w:rPr>
          <w:b w:val="0"/>
          <w:sz w:val="22"/>
        </w:rPr>
        <w:t xml:space="preserve"> 40</w:t>
      </w:r>
      <w:r>
        <w:rPr>
          <w:b w:val="0"/>
          <w:sz w:val="22"/>
        </w:rPr>
        <w:t xml:space="preserve"> (сорока) календарных дней с момента согласования Поставщиком заявки Покупателя и/или согласования Покупателем счета, если иной срок не указан в счете</w:t>
      </w:r>
      <w:r>
        <w:rPr>
          <w:b w:val="0"/>
          <w:sz w:val="22"/>
        </w:rPr>
        <w:t xml:space="preserve"> </w:t>
      </w:r>
      <w:r>
        <w:rPr>
          <w:b w:val="0"/>
          <w:sz w:val="22"/>
        </w:rPr>
        <w:t>или спецификации.</w:t>
      </w:r>
    </w:p>
    <w:p w14:paraId="24000000">
      <w:pPr>
        <w:pStyle w:val="Style_3"/>
        <w:ind w:firstLine="720" w:left="0"/>
        <w:jc w:val="both"/>
      </w:pPr>
      <w:r>
        <w:rPr>
          <w:sz w:val="22"/>
        </w:rPr>
        <w:t xml:space="preserve">3.2. </w:t>
      </w:r>
      <w:r>
        <w:rPr>
          <w:sz w:val="22"/>
        </w:rPr>
        <w:t>Датой поставки считается дата подписания Покупателем/Грузополучателем транспортной накладной/квитанции/экспедиторской расписки, либо иного документа перевозчика о фактическом получении товара, а в случае самовывоза — с момента подписания УПД.</w:t>
      </w:r>
    </w:p>
    <w:p w14:paraId="25000000">
      <w:pPr>
        <w:pStyle w:val="Style_3"/>
        <w:ind w:firstLine="720" w:left="0"/>
        <w:jc w:val="both"/>
      </w:pPr>
      <w:r>
        <w:rPr>
          <w:sz w:val="22"/>
        </w:rPr>
        <w:t>3.3. Право собственности и риск случайной гибели и порчи Товара переходят к Покупателю с момента его поставки.</w:t>
      </w:r>
    </w:p>
    <w:p w14:paraId="26000000">
      <w:pPr>
        <w:pStyle w:val="Style_3"/>
        <w:ind w:firstLine="720" w:left="0"/>
        <w:jc w:val="both"/>
      </w:pPr>
      <w:r>
        <w:rPr>
          <w:sz w:val="22"/>
        </w:rPr>
        <w:t xml:space="preserve">3.4. </w:t>
      </w:r>
      <w:r>
        <w:rPr>
          <w:color w:val="000000"/>
          <w:sz w:val="22"/>
        </w:rPr>
        <w:t xml:space="preserve"> Самовывоз Товара осуществляется транспортом Покупателя со склада Поставщика, находящегося по адресу:</w:t>
      </w:r>
    </w:p>
    <w:p w14:paraId="27000000">
      <w:pPr>
        <w:pStyle w:val="Style_3"/>
        <w:ind w:firstLine="720" w:left="0"/>
        <w:jc w:val="both"/>
        <w:rPr>
          <w:color w:val="000000"/>
          <w:sz w:val="22"/>
        </w:rPr>
      </w:pPr>
      <w:r>
        <w:rPr>
          <w:color w:val="000000"/>
          <w:sz w:val="22"/>
        </w:rPr>
        <w:t xml:space="preserve">- </w:t>
      </w:r>
      <w:r>
        <w:rPr>
          <w:color w:val="000000"/>
          <w:sz w:val="22"/>
        </w:rPr>
        <w:t>188230, Россия, Ленинградская обл., г. Луга, пр-т Урицкого, д. 80 А</w:t>
      </w:r>
    </w:p>
    <w:p w14:paraId="28000000">
      <w:pPr>
        <w:pStyle w:val="Style_3"/>
        <w:ind w:firstLine="720" w:left="0"/>
        <w:jc w:val="both"/>
        <w:rPr>
          <w:color w:val="FF0000"/>
          <w:sz w:val="22"/>
        </w:rPr>
      </w:pPr>
      <w:r>
        <w:rPr>
          <w:sz w:val="23"/>
        </w:rPr>
        <w:t>Не позднее, чем за 2 (два) рабочих дня до даты поставки Поставщик уведомляет Покупателя о готовности товара к отгрузке и адресе склада, с которого возможен самовывоз товара.</w:t>
      </w:r>
    </w:p>
    <w:p w14:paraId="29000000">
      <w:pPr>
        <w:pStyle w:val="Style_3"/>
        <w:ind w:firstLine="720" w:left="0"/>
        <w:jc w:val="both"/>
        <w:rPr>
          <w:sz w:val="22"/>
        </w:rPr>
      </w:pPr>
      <w:r>
        <w:rPr>
          <w:sz w:val="22"/>
        </w:rPr>
        <w:t>По письменному согласованию с Поставщиком возможна доставка Товара, которая включена в стоимость Товара и отдельно не оплачивается. Доставка осуществляется до адреса, согласованного Сторонами.</w:t>
      </w:r>
    </w:p>
    <w:p w14:paraId="2A000000">
      <w:pPr>
        <w:pStyle w:val="Style_3"/>
        <w:ind w:firstLine="720" w:left="0"/>
        <w:jc w:val="both"/>
        <w:rPr>
          <w:sz w:val="22"/>
        </w:rPr>
      </w:pPr>
      <w:r>
        <w:rPr>
          <w:sz w:val="22"/>
        </w:rPr>
        <w:t>3.5. Приемка Товара по количеству и качеству осуществляется Сторонами в порядке, определенном действующим законодательством.</w:t>
      </w:r>
    </w:p>
    <w:p w14:paraId="2B000000">
      <w:pPr>
        <w:pStyle w:val="Style_3"/>
        <w:ind w:firstLine="720" w:left="0"/>
        <w:jc w:val="both"/>
        <w:rPr>
          <w:sz w:val="22"/>
        </w:rPr>
      </w:pPr>
      <w:r>
        <w:rPr>
          <w:sz w:val="22"/>
        </w:rPr>
        <w:t>3.5.1. В случае самовывоза Товара приемка по количеству и качеству осуществляется в момент передачи Товара Покупателю на складе Поставщика. Покупатель обязан момент провести осмотр Товара. При выявлении видимых недостатков Товара Покупатель обязан незамедлительно уведомить Поставщика.</w:t>
      </w:r>
    </w:p>
    <w:p w14:paraId="2C000000">
      <w:pPr>
        <w:pStyle w:val="Style_3"/>
        <w:ind w:firstLine="720" w:left="0"/>
        <w:jc w:val="both"/>
        <w:rPr>
          <w:sz w:val="22"/>
        </w:rPr>
      </w:pPr>
      <w:r>
        <w:rPr>
          <w:sz w:val="22"/>
        </w:rPr>
        <w:t xml:space="preserve">3.5.2. В случае доставки Товара Покупатель (Грузополучатель) осуществляет приемку и проверку Товара по количеству и качеству в течение 3 (трех) рабочих дней с даты поставки. При обнаружении недостатков/недопоставки Товара Покупатель обязан незамедлительно уведомить Поставщика о необходимости явки для составления Акта по форме ТОРГ-2 (Унифицированная форма утв. Постановлением Госкомстата России от 25.12.98 N 132). </w:t>
      </w:r>
    </w:p>
    <w:p w14:paraId="2D000000">
      <w:pPr>
        <w:pStyle w:val="Style_3"/>
        <w:ind w:firstLine="720" w:left="0"/>
        <w:jc w:val="both"/>
        <w:rPr>
          <w:sz w:val="22"/>
        </w:rPr>
      </w:pPr>
      <w:r>
        <w:rPr>
          <w:sz w:val="22"/>
        </w:rPr>
        <w:t xml:space="preserve">Поставщик обязан произвести замену/допоставку Товара в течение срока, равного сроку поставки, установленном в конкретном счете и/или спецификации с момента подписания Сторонами указанного Акта, либо с момента получения Поставщиком одностороннего акта в случае неявки Поставщика для его составления. </w:t>
      </w:r>
    </w:p>
    <w:p w14:paraId="2E000000">
      <w:pPr>
        <w:pStyle w:val="Style_3"/>
        <w:ind w:firstLine="720" w:left="0"/>
        <w:jc w:val="both"/>
      </w:pPr>
      <w:r>
        <w:rPr>
          <w:sz w:val="22"/>
        </w:rPr>
        <w:t xml:space="preserve">3.6. Поставщик при поставке Товара обязан передать Покупателю/Грузополучателю документы, необходимые для его эксплуатации, а также документы, свидетельствующие о </w:t>
      </w:r>
      <w:r>
        <w:rPr>
          <w:sz w:val="22"/>
        </w:rPr>
        <w:t>соответствии Товара требованиям, установленным техническим регламентам и стандартам, а также иным нормативным стандартам и требованиям, действующим на территории РФ.</w:t>
      </w:r>
    </w:p>
    <w:p w14:paraId="2F000000">
      <w:pPr>
        <w:ind w:firstLine="720" w:left="0"/>
        <w:jc w:val="both"/>
      </w:pPr>
      <w:r>
        <w:rPr>
          <w:sz w:val="22"/>
        </w:rPr>
        <w:t xml:space="preserve">3.7. </w:t>
      </w:r>
      <w:bookmarkStart w:id="2" w:name="_Hlk238114789"/>
      <w:r>
        <w:rPr>
          <w:sz w:val="22"/>
        </w:rPr>
        <w:t>В случае доставки Товара Покупатель подписывает УПД и в течение 5 (пяти) календарных дней направляет экземпляр Поставщика заказным письмом, или иным согласованным Сторонами способом. В случае невозврата УПД в течение указанного срока, Поставщик вправе требовать с Покупателя уплаты штрафа в размере 5% (пяти процентов) от общей суммы, указанной в УПД.</w:t>
      </w:r>
      <w:bookmarkEnd w:id="2"/>
    </w:p>
    <w:p w14:paraId="30000000">
      <w:pPr>
        <w:ind w:firstLine="720" w:left="0"/>
        <w:jc w:val="both"/>
      </w:pPr>
      <w:r>
        <w:rPr>
          <w:sz w:val="22"/>
        </w:rPr>
        <w:t xml:space="preserve">3.8. В случае самовывоза, товар, заказанный Покупателем и имеющийся в наличии, хранится на складе Поставщика в резерве не более 5 (пяти) дней. По истечении данного срока резерв снимается. </w:t>
      </w:r>
    </w:p>
    <w:p w14:paraId="31000000">
      <w:pPr>
        <w:pStyle w:val="Style_3"/>
        <w:rPr>
          <w:b w:val="1"/>
          <w:sz w:val="22"/>
        </w:rPr>
      </w:pPr>
    </w:p>
    <w:p w14:paraId="32000000">
      <w:pPr>
        <w:pStyle w:val="Style_3"/>
        <w:ind/>
        <w:jc w:val="both"/>
      </w:pPr>
      <w:r>
        <w:rPr>
          <w:b w:val="1"/>
          <w:sz w:val="22"/>
        </w:rPr>
        <w:t>4. КАЧЕСТВО ТОВАРА</w:t>
      </w:r>
    </w:p>
    <w:p w14:paraId="33000000">
      <w:pPr>
        <w:pStyle w:val="Style_3"/>
        <w:ind/>
        <w:jc w:val="both"/>
      </w:pPr>
      <w:r>
        <w:rPr>
          <w:sz w:val="22"/>
        </w:rPr>
        <w:tab/>
      </w:r>
      <w:r>
        <w:rPr>
          <w:sz w:val="22"/>
        </w:rPr>
        <w:t>4.1. Качество поставляемого Товара должно соответствовать требованиям ТР ТС, ГОСТ или ТУ на данный Товар и подтверждаться «Сертификатом соответствия» или «Декларацией о соответствии».</w:t>
      </w:r>
    </w:p>
    <w:p w14:paraId="34000000">
      <w:pPr>
        <w:pStyle w:val="Style_3"/>
        <w:ind/>
        <w:jc w:val="both"/>
      </w:pPr>
      <w:r>
        <w:rPr>
          <w:sz w:val="22"/>
        </w:rPr>
        <w:tab/>
      </w:r>
      <w:r>
        <w:rPr>
          <w:sz w:val="22"/>
        </w:rPr>
        <w:t xml:space="preserve">4.2. Товар должен быть упакован в тару, отвечающую требованиям </w:t>
      </w:r>
      <w:r>
        <w:rPr>
          <w:sz w:val="22"/>
        </w:rPr>
        <w:t>ГОСТ и</w:t>
      </w:r>
      <w:r>
        <w:rPr>
          <w:sz w:val="22"/>
        </w:rPr>
        <w:t xml:space="preserve"> обеспечивающую сохранность Товара от атмосферных осадков при перевозке и хранении.</w:t>
      </w:r>
    </w:p>
    <w:p w14:paraId="35000000">
      <w:pPr>
        <w:pStyle w:val="Style_3"/>
        <w:ind/>
        <w:jc w:val="both"/>
      </w:pPr>
      <w:r>
        <w:rPr>
          <w:sz w:val="22"/>
        </w:rPr>
        <w:tab/>
      </w:r>
      <w:r>
        <w:rPr>
          <w:sz w:val="22"/>
        </w:rPr>
        <w:t>4.3. Актуальная информация об ассортименте, изменениях дизайна и конструкции моделей публикуются Поставщиком на интернет-сайте http://www.technoavia.ru/, который является основным официальным источником указанной информации.</w:t>
      </w:r>
    </w:p>
    <w:p w14:paraId="36000000">
      <w:pPr>
        <w:pStyle w:val="Style_3"/>
        <w:ind/>
        <w:jc w:val="both"/>
      </w:pPr>
      <w:r>
        <w:rPr>
          <w:sz w:val="22"/>
        </w:rPr>
        <w:tab/>
      </w:r>
      <w:r>
        <w:rPr>
          <w:sz w:val="22"/>
        </w:rPr>
        <w:t>4.4. При подборе Покупателем размеров необходимо обращать внимание на то, что информация о размерах, являющихся стандартными, указывается на официальном сайте http://www.technoavia.ru/ в описании конкретной модели. Иные размеры выбранной модели возможно изготовить по специальному заказу. Условия изготовления Товара по специальному заказу указаны в п. 1.2 и 1.3 Договора.</w:t>
      </w:r>
    </w:p>
    <w:p w14:paraId="37000000">
      <w:pPr>
        <w:pStyle w:val="Style_3"/>
        <w:ind/>
        <w:jc w:val="both"/>
      </w:pPr>
      <w:r>
        <w:rPr>
          <w:sz w:val="22"/>
        </w:rPr>
        <w:tab/>
      </w:r>
      <w:r>
        <w:rPr>
          <w:sz w:val="22"/>
        </w:rPr>
        <w:t>4.5. Таблицы размеров, опубликованные в разделе «Полезная информация», носят информационно-рекомендательный характер, но не определяют стандартный размер для конкретной модели.</w:t>
      </w:r>
    </w:p>
    <w:p w14:paraId="38000000">
      <w:pPr>
        <w:pStyle w:val="Style_3"/>
        <w:rPr>
          <w:b w:val="1"/>
          <w:sz w:val="22"/>
        </w:rPr>
      </w:pPr>
    </w:p>
    <w:p w14:paraId="39000000">
      <w:pPr>
        <w:pStyle w:val="Style_3"/>
      </w:pPr>
      <w:r>
        <w:rPr>
          <w:b w:val="1"/>
          <w:sz w:val="22"/>
        </w:rPr>
        <w:t>5. ОТВЕТСТВЕННОСТЬ СТОРОН</w:t>
      </w:r>
    </w:p>
    <w:p w14:paraId="3A000000">
      <w:pPr>
        <w:pStyle w:val="Style_3"/>
        <w:spacing w:before="60"/>
        <w:ind w:firstLine="720" w:left="0"/>
        <w:jc w:val="both"/>
      </w:pPr>
      <w:r>
        <w:rPr>
          <w:sz w:val="22"/>
        </w:rPr>
        <w:t>5.1. За невыполнение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14:paraId="3B000000">
      <w:pPr>
        <w:pStyle w:val="Style_3"/>
        <w:spacing w:before="60"/>
        <w:ind w:firstLine="720" w:left="0"/>
        <w:jc w:val="both"/>
      </w:pPr>
      <w:r>
        <w:rPr>
          <w:sz w:val="22"/>
        </w:rPr>
        <w:t>5.2.  При просрочке оплаты Товара Покупатель оплачивает Поставщику пени в размере 0,</w:t>
      </w:r>
      <w:r>
        <w:rPr>
          <w:sz w:val="22"/>
        </w:rPr>
        <w:t>5</w:t>
      </w:r>
      <w:r>
        <w:rPr>
          <w:sz w:val="22"/>
        </w:rPr>
        <w:t>% от суммы, подлежащей оплате, за каждый день просрочки и возмещает убытки в полном размере. Поставщик вправе осуществлять зачет денежных средств на сумму пеней либо просроченной задолженности за Товар, поставленный в рамках Договора по иным УПД.</w:t>
      </w:r>
    </w:p>
    <w:p w14:paraId="3C000000">
      <w:pPr>
        <w:pStyle w:val="Style_3"/>
        <w:rPr>
          <w:b w:val="1"/>
          <w:sz w:val="22"/>
        </w:rPr>
      </w:pPr>
    </w:p>
    <w:p w14:paraId="3D000000">
      <w:pPr>
        <w:pStyle w:val="Style_3"/>
      </w:pPr>
      <w:r>
        <w:rPr>
          <w:b w:val="1"/>
          <w:sz w:val="22"/>
        </w:rPr>
        <w:t>6. ПОРЯДОК РАССМОТРЕНИЯ СПОРОВ</w:t>
      </w:r>
    </w:p>
    <w:p w14:paraId="3E000000">
      <w:pPr>
        <w:pStyle w:val="Style_6"/>
        <w:spacing w:before="60"/>
        <w:ind w:firstLine="720" w:left="0"/>
        <w:jc w:val="both"/>
      </w:pPr>
      <w:r>
        <w:t xml:space="preserve">6.1. </w:t>
      </w:r>
      <w:r>
        <w:rPr>
          <w:highlight w:val="white"/>
        </w:rPr>
        <w:t>Все споры и разногласия, возникшие между Сторонами по Договору или в связи с ним, разрешаются путем соблюдения обязательного пре</w:t>
      </w:r>
      <w:r>
        <w:t>тензионного порядка (срок ответа на претензию – 5 рабочих дней).</w:t>
      </w:r>
    </w:p>
    <w:p w14:paraId="3F000000">
      <w:pPr>
        <w:pStyle w:val="Style_6"/>
        <w:spacing w:before="60"/>
        <w:ind w:firstLine="720" w:left="0"/>
        <w:jc w:val="both"/>
      </w:pPr>
      <w:r>
        <w:t>6.2. В случае невозможности разрешения споров и разногласий в рамках досудебного урегулирования, их рассмотрение передается в Арбитражный суд города Санкт-Петербурга и Ленинградской области.</w:t>
      </w:r>
    </w:p>
    <w:p w14:paraId="40000000">
      <w:pPr>
        <w:pStyle w:val="Style_6"/>
        <w:spacing w:before="60"/>
        <w:ind w:firstLine="720" w:left="0"/>
        <w:jc w:val="both"/>
      </w:pPr>
    </w:p>
    <w:p w14:paraId="41000000">
      <w:pPr>
        <w:pStyle w:val="Style_6"/>
        <w:spacing w:before="60"/>
        <w:ind w:firstLine="0" w:left="0"/>
        <w:jc w:val="both"/>
        <w:rPr>
          <w:b w:val="1"/>
        </w:rPr>
      </w:pPr>
      <w:r>
        <w:rPr>
          <w:b w:val="1"/>
        </w:rPr>
        <w:t>7. АНТИКОРРУПЦИОНАЯ ОГОВОРКА</w:t>
      </w:r>
    </w:p>
    <w:p w14:paraId="42000000">
      <w:pPr>
        <w:pStyle w:val="Style_6"/>
        <w:spacing w:before="60"/>
        <w:ind/>
        <w:jc w:val="both"/>
      </w:pPr>
      <w:r>
        <w:t>7.1. В соответствии со ст. 431.2 Гражданского кодекса РФ Стороны на дату заключения настоящего Договора заверяют друг друга об обстоятельствах, имеющих значение для заключения, исполнения и/или прекращения Договора, а именно в том, что: при заключении и (или) исполнении настоящего Договора их сотрудники и/или аффилированные лица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43000000">
      <w:pPr>
        <w:pStyle w:val="Style_6"/>
        <w:spacing w:before="60"/>
        <w:ind/>
        <w:jc w:val="both"/>
      </w:pPr>
      <w:r>
        <w:t xml:space="preserve">7.2. 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w:t>
      </w:r>
      <w:r>
        <w:t>предполагать, что произошло или может произойти нарушение каких-либо положений настоящей статьи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10 рабочих дней с даты направления письменного уведомления.</w:t>
      </w:r>
    </w:p>
    <w:p w14:paraId="44000000">
      <w:pPr>
        <w:pStyle w:val="Style_6"/>
        <w:spacing w:before="60"/>
        <w:ind/>
        <w:jc w:val="both"/>
      </w:pPr>
      <w:r>
        <w:t>7.3. В случае нарушения одной Стороной обязательств воздерживаться от запрещенных в настоящем Разделе Договора действий и (или) неполучения другой Стороной в установленный Договором срок подтверждения, что 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нарушения.</w:t>
      </w:r>
    </w:p>
    <w:p w14:paraId="45000000">
      <w:pPr>
        <w:pStyle w:val="Style_6"/>
        <w:spacing w:before="60"/>
        <w:ind/>
        <w:jc w:val="both"/>
      </w:pPr>
      <w:r>
        <w:t>7.4. Стороны в порядке статьи 406.1. Гражданского кодекса РФ пришли к соглашению о том, что в случае недостоверности заверений об обстоятельствах, указанных в настоящем разделе Договора, Сторона, нарушившая заверения, обязана в течение 10 (Десяти) рабочих дней с даты получения требования другой Стороны возместить ей полностью все имущественные потери.</w:t>
      </w:r>
    </w:p>
    <w:p w14:paraId="46000000">
      <w:pPr>
        <w:pStyle w:val="Style_6"/>
        <w:spacing w:before="60"/>
        <w:ind w:firstLine="720" w:left="0"/>
        <w:jc w:val="both"/>
      </w:pPr>
    </w:p>
    <w:p w14:paraId="47000000">
      <w:pPr>
        <w:ind w:firstLine="709" w:left="0"/>
        <w:rPr>
          <w:sz w:val="22"/>
        </w:rPr>
      </w:pPr>
      <w:r>
        <w:rPr>
          <w:b w:val="1"/>
          <w:sz w:val="22"/>
        </w:rPr>
        <w:t>8. ПРОЧИЕ УСЛОВИЯ</w:t>
      </w:r>
    </w:p>
    <w:p w14:paraId="48000000">
      <w:pPr>
        <w:ind/>
        <w:jc w:val="both"/>
        <w:rPr>
          <w:sz w:val="22"/>
        </w:rPr>
      </w:pPr>
      <w:r>
        <w:rPr>
          <w:sz w:val="22"/>
        </w:rPr>
        <w:tab/>
      </w:r>
      <w:r>
        <w:rPr>
          <w:sz w:val="22"/>
        </w:rPr>
        <w:t xml:space="preserve">8.1. Договор вступает в силу с момента его подписания Сторонами и действует </w:t>
      </w:r>
      <w:r>
        <w:rPr>
          <w:sz w:val="22"/>
        </w:rPr>
        <w:t>по «31» декабря 20</w:t>
      </w:r>
      <w:r>
        <w:rPr>
          <w:sz w:val="22"/>
        </w:rPr>
        <w:t xml:space="preserve">26 </w:t>
      </w:r>
      <w:r>
        <w:rPr>
          <w:sz w:val="22"/>
        </w:rPr>
        <w:t>г., а в части неисполненных обязательств, до момента их полного исполнения.</w:t>
      </w:r>
    </w:p>
    <w:p w14:paraId="49000000">
      <w:pPr>
        <w:ind/>
        <w:jc w:val="both"/>
        <w:rPr>
          <w:sz w:val="22"/>
        </w:rPr>
      </w:pPr>
      <w:r>
        <w:rPr>
          <w:sz w:val="22"/>
        </w:rPr>
        <w:tab/>
      </w:r>
      <w:r>
        <w:rPr>
          <w:sz w:val="22"/>
        </w:rPr>
        <w:t xml:space="preserve">8.2. Если за 15 (пятнадцать) дней до окончания календарного года ни одна из сторон не изъявила письменного желания расторгнуть его, Договор </w:t>
      </w:r>
      <w:r>
        <w:rPr>
          <w:sz w:val="22"/>
        </w:rPr>
        <w:t>автоматически пролонгируется</w:t>
      </w:r>
      <w:r>
        <w:rPr>
          <w:sz w:val="22"/>
        </w:rPr>
        <w:t xml:space="preserve"> на каждый последующий календарный год.</w:t>
      </w:r>
    </w:p>
    <w:p w14:paraId="4A000000">
      <w:pPr>
        <w:ind/>
        <w:jc w:val="both"/>
        <w:rPr>
          <w:sz w:val="22"/>
        </w:rPr>
      </w:pPr>
      <w:r>
        <w:rPr>
          <w:sz w:val="22"/>
        </w:rPr>
        <w:tab/>
      </w:r>
      <w:r>
        <w:rPr>
          <w:sz w:val="22"/>
        </w:rPr>
        <w:t>8.3. Стороны признают, что все отгрузки, произведенные в период действия Договора, считаются произведенными на его условиях, независимо от наличия в первичной бухгалтерской документации отсылки к Договору, исключая случаи, когда в первичной бухгалтерской документации имеется отсылка к иному договору, заключенному между Сторонами.</w:t>
      </w:r>
    </w:p>
    <w:p w14:paraId="4B000000">
      <w:pPr>
        <w:ind/>
        <w:jc w:val="both"/>
        <w:rPr>
          <w:sz w:val="22"/>
        </w:rPr>
      </w:pPr>
      <w:r>
        <w:rPr>
          <w:sz w:val="22"/>
        </w:rPr>
        <w:tab/>
      </w:r>
      <w:r>
        <w:rPr>
          <w:sz w:val="22"/>
        </w:rPr>
        <w:t xml:space="preserve">8.4. В рамках Договора Стороны рассматривают как имеющие юридическую силу переписку, счета, заявки, уведомления, подтверждения, прайс-листы, претензии и т.д., направленных друг другу </w:t>
      </w:r>
      <w:r>
        <w:rPr>
          <w:sz w:val="22"/>
        </w:rPr>
        <w:t>по</w:t>
      </w:r>
      <w:r>
        <w:rPr>
          <w:sz w:val="22"/>
        </w:rPr>
        <w:t xml:space="preserve"> </w:t>
      </w:r>
      <w:r>
        <w:rPr>
          <w:sz w:val="22"/>
        </w:rPr>
        <w:t>e</w:t>
      </w:r>
      <w:r>
        <w:rPr>
          <w:sz w:val="22"/>
        </w:rPr>
        <w:t>-</w:t>
      </w:r>
      <w:r>
        <w:rPr>
          <w:sz w:val="22"/>
        </w:rPr>
        <w:t>mail</w:t>
      </w:r>
      <w:r>
        <w:rPr>
          <w:sz w:val="22"/>
        </w:rPr>
        <w:t xml:space="preserve">, указанных в реквизитах, а также иных </w:t>
      </w:r>
      <w:r>
        <w:rPr>
          <w:sz w:val="22"/>
        </w:rPr>
        <w:t>e-mail</w:t>
      </w:r>
      <w:r>
        <w:rPr>
          <w:sz w:val="22"/>
        </w:rPr>
        <w:t xml:space="preserve"> Стороны (при условии соответствия доменного имени), в том числе заявки, направленные через форму заказа на сайте Поставщика. При этом каждая из Сторон вправе потребовать от другой стороны оформления вышеуказанных документов на бумажном носителе за подписью уполномоченных лиц и передачи их заказным письмом.</w:t>
      </w:r>
    </w:p>
    <w:p w14:paraId="4C000000">
      <w:pPr>
        <w:ind/>
        <w:jc w:val="both"/>
        <w:rPr>
          <w:sz w:val="22"/>
        </w:rPr>
      </w:pPr>
      <w:r>
        <w:rPr>
          <w:sz w:val="22"/>
        </w:rPr>
        <w:tab/>
      </w:r>
      <w:r>
        <w:rPr>
          <w:sz w:val="22"/>
        </w:rPr>
        <w:t>Стороны при исполнении Договора также вправе использовать электронный документооборот (ЭДО), вне зависимости от заключения/незаключения Сторонами соглашения об ЭДО.</w:t>
      </w:r>
    </w:p>
    <w:p w14:paraId="4D000000">
      <w:pPr>
        <w:ind/>
        <w:jc w:val="both"/>
        <w:rPr>
          <w:sz w:val="22"/>
        </w:rPr>
      </w:pPr>
      <w:r>
        <w:rPr>
          <w:sz w:val="22"/>
        </w:rPr>
        <w:tab/>
      </w:r>
      <w:r>
        <w:rPr>
          <w:sz w:val="22"/>
        </w:rPr>
        <w:t>8.5. В случаях, не предусмотренных Договором, стороны руководствуются действующим законодательством.</w:t>
      </w:r>
    </w:p>
    <w:p w14:paraId="4E000000">
      <w:pPr>
        <w:ind w:firstLine="720" w:left="0"/>
        <w:jc w:val="both"/>
        <w:rPr>
          <w:sz w:val="22"/>
        </w:rPr>
      </w:pPr>
      <w:r>
        <w:rPr>
          <w:sz w:val="22"/>
        </w:rPr>
        <w:t>8.6. Договор заключен в 2 (двух) экземплярах, по одному для каждой из Сторон.</w:t>
      </w:r>
    </w:p>
    <w:p w14:paraId="4F000000">
      <w:pPr>
        <w:pStyle w:val="Style_5"/>
        <w:ind w:firstLine="720" w:left="0"/>
        <w:jc w:val="both"/>
        <w:rPr>
          <w:sz w:val="22"/>
        </w:rPr>
      </w:pPr>
      <w:r>
        <w:rPr>
          <w:sz w:val="22"/>
        </w:rPr>
        <w:t>8.7</w:t>
      </w:r>
      <w:r>
        <w:rPr>
          <w:sz w:val="22"/>
        </w:rPr>
        <w:t xml:space="preserve">. </w:t>
      </w:r>
      <w:r>
        <w:rPr>
          <w:sz w:val="22"/>
        </w:rPr>
        <w:t>Приложения к Договору:</w:t>
      </w:r>
    </w:p>
    <w:p w14:paraId="50000000">
      <w:pPr>
        <w:pStyle w:val="Style_5"/>
        <w:ind w:firstLine="720" w:left="0"/>
        <w:jc w:val="both"/>
        <w:rPr>
          <w:sz w:val="22"/>
        </w:rPr>
      </w:pPr>
      <w:r>
        <w:rPr>
          <w:sz w:val="22"/>
        </w:rPr>
        <w:t>Приложение №</w:t>
      </w:r>
      <w:r>
        <w:rPr>
          <w:sz w:val="22"/>
        </w:rPr>
        <w:t xml:space="preserve"> </w:t>
      </w:r>
      <w:r>
        <w:rPr>
          <w:sz w:val="22"/>
        </w:rPr>
        <w:t xml:space="preserve">1 - Спецификация. </w:t>
      </w:r>
    </w:p>
    <w:p w14:paraId="51000000">
      <w:pPr>
        <w:pStyle w:val="Style_5"/>
        <w:ind w:firstLine="720" w:left="0"/>
        <w:jc w:val="both"/>
        <w:rPr>
          <w:sz w:val="22"/>
        </w:rPr>
      </w:pPr>
    </w:p>
    <w:p w14:paraId="52000000">
      <w:pPr>
        <w:ind w:firstLine="720" w:left="0"/>
        <w:jc w:val="both"/>
        <w:rPr>
          <w:sz w:val="22"/>
        </w:rPr>
      </w:pPr>
    </w:p>
    <w:p w14:paraId="53000000">
      <w:pPr>
        <w:pStyle w:val="Style_3"/>
        <w:ind/>
        <w:jc w:val="both"/>
        <w:rPr>
          <w:sz w:val="22"/>
        </w:rPr>
      </w:pPr>
    </w:p>
    <w:p w14:paraId="54000000">
      <w:pPr>
        <w:pStyle w:val="Style_3"/>
        <w:ind/>
        <w:jc w:val="center"/>
      </w:pPr>
      <w:r>
        <w:rPr>
          <w:b w:val="1"/>
          <w:sz w:val="22"/>
        </w:rPr>
        <w:t>9</w:t>
      </w:r>
      <w:r>
        <w:rPr>
          <w:b w:val="1"/>
          <w:sz w:val="22"/>
        </w:rPr>
        <w:t>. ЮРИДИЧЕСКИЕ АДРЕСА И РЕКВИЗИТЫ СТОРОН</w:t>
      </w:r>
    </w:p>
    <w:tbl>
      <w:tblPr>
        <w:tblStyle w:val="Style_4"/>
        <w:tblInd w:type="dxa" w:w="-100"/>
        <w:tblLayout w:type="fixed"/>
        <w:tblCellMar>
          <w:top w:type="dxa" w:w="55"/>
          <w:left w:type="dxa" w:w="15"/>
          <w:bottom w:type="dxa" w:w="55"/>
          <w:right w:type="dxa" w:w="55"/>
        </w:tblCellMar>
      </w:tblPr>
      <w:tblGrid>
        <w:gridCol w:w="4929"/>
        <w:gridCol w:w="4819"/>
      </w:tblGrid>
      <w:tr>
        <w:tc>
          <w:tcPr>
            <w:tcW w:type="dxa" w:w="4929"/>
            <w:tcBorders>
              <w:top w:color="000001" w:sz="2" w:val="single"/>
              <w:left w:color="000001" w:sz="2" w:val="single"/>
              <w:bottom w:color="000001" w:sz="2" w:val="single"/>
            </w:tcBorders>
            <w:shd w:fill="FFFFFF" w:val="clear"/>
            <w:tcMar>
              <w:top w:type="dxa" w:w="55"/>
              <w:left w:type="dxa" w:w="15"/>
              <w:bottom w:type="dxa" w:w="55"/>
              <w:right w:type="dxa" w:w="55"/>
            </w:tcMar>
          </w:tcPr>
          <w:p w14:paraId="55000000">
            <w:pPr>
              <w:pStyle w:val="Style_7"/>
              <w:rPr>
                <w:b w:val="1"/>
                <w:sz w:val="22"/>
              </w:rPr>
            </w:pPr>
            <w:r>
              <w:rPr>
                <w:b w:val="1"/>
                <w:sz w:val="22"/>
              </w:rPr>
              <w:t>Поставщик:</w:t>
            </w:r>
          </w:p>
          <w:p w14:paraId="56000000">
            <w:pPr>
              <w:pStyle w:val="Style_7"/>
              <w:rPr>
                <w:sz w:val="22"/>
              </w:rPr>
            </w:pPr>
          </w:p>
          <w:p w14:paraId="57000000">
            <w:pPr>
              <w:pStyle w:val="Style_7"/>
              <w:rPr>
                <w:sz w:val="22"/>
              </w:rPr>
            </w:pPr>
          </w:p>
          <w:p w14:paraId="58000000">
            <w:pPr>
              <w:pStyle w:val="Style_7"/>
              <w:rPr>
                <w:sz w:val="22"/>
              </w:rPr>
            </w:pPr>
          </w:p>
          <w:p w14:paraId="59000000">
            <w:pPr>
              <w:pStyle w:val="Style_7"/>
              <w:rPr>
                <w:sz w:val="22"/>
              </w:rPr>
            </w:pPr>
          </w:p>
          <w:p w14:paraId="5A000000">
            <w:pPr>
              <w:pStyle w:val="Style_7"/>
              <w:rPr>
                <w:sz w:val="22"/>
              </w:rPr>
            </w:pPr>
          </w:p>
          <w:p w14:paraId="5B000000">
            <w:pPr>
              <w:pStyle w:val="Style_7"/>
              <w:rPr>
                <w:sz w:val="22"/>
              </w:rPr>
            </w:pPr>
          </w:p>
          <w:p w14:paraId="5C000000">
            <w:pPr>
              <w:pStyle w:val="Style_7"/>
              <w:rPr>
                <w:sz w:val="22"/>
              </w:rPr>
            </w:pPr>
          </w:p>
          <w:p w14:paraId="5D000000">
            <w:pPr>
              <w:pStyle w:val="Style_7"/>
              <w:rPr>
                <w:sz w:val="22"/>
              </w:rPr>
            </w:pPr>
          </w:p>
          <w:p w14:paraId="5E000000">
            <w:pPr>
              <w:pStyle w:val="Style_7"/>
              <w:rPr>
                <w:sz w:val="22"/>
              </w:rPr>
            </w:pPr>
          </w:p>
          <w:p w14:paraId="5F000000">
            <w:pPr>
              <w:pStyle w:val="Style_7"/>
              <w:rPr>
                <w:sz w:val="22"/>
              </w:rPr>
            </w:pPr>
          </w:p>
          <w:p w14:paraId="60000000">
            <w:pPr>
              <w:pStyle w:val="Style_7"/>
              <w:rPr>
                <w:sz w:val="22"/>
              </w:rPr>
            </w:pPr>
          </w:p>
          <w:p w14:paraId="61000000">
            <w:pPr>
              <w:pStyle w:val="Style_7"/>
              <w:rPr>
                <w:sz w:val="22"/>
              </w:rPr>
            </w:pPr>
          </w:p>
          <w:p w14:paraId="62000000">
            <w:pPr>
              <w:pStyle w:val="Style_7"/>
              <w:rPr>
                <w:sz w:val="22"/>
              </w:rPr>
            </w:pPr>
          </w:p>
          <w:p w14:paraId="63000000">
            <w:pPr>
              <w:pStyle w:val="Style_7"/>
              <w:rPr>
                <w:sz w:val="22"/>
              </w:rPr>
            </w:pPr>
          </w:p>
          <w:p w14:paraId="64000000">
            <w:pPr>
              <w:pStyle w:val="Style_7"/>
              <w:rPr>
                <w:sz w:val="22"/>
              </w:rPr>
            </w:pPr>
          </w:p>
          <w:p w14:paraId="65000000">
            <w:pPr>
              <w:pStyle w:val="Style_7"/>
              <w:rPr>
                <w:sz w:val="22"/>
              </w:rPr>
            </w:pPr>
          </w:p>
          <w:p w14:paraId="66000000">
            <w:pPr>
              <w:pStyle w:val="Style_7"/>
              <w:rPr>
                <w:sz w:val="22"/>
              </w:rPr>
            </w:pPr>
          </w:p>
          <w:p w14:paraId="67000000">
            <w:pPr>
              <w:pStyle w:val="Style_7"/>
              <w:rPr>
                <w:sz w:val="22"/>
              </w:rPr>
            </w:pPr>
          </w:p>
          <w:p w14:paraId="68000000">
            <w:pPr>
              <w:pStyle w:val="Style_7"/>
              <w:rPr>
                <w:sz w:val="22"/>
              </w:rPr>
            </w:pPr>
          </w:p>
          <w:p w14:paraId="69000000">
            <w:pPr>
              <w:pStyle w:val="Style_7"/>
              <w:rPr>
                <w:b w:val="1"/>
                <w:sz w:val="22"/>
              </w:rPr>
            </w:pPr>
            <w:r>
              <w:rPr>
                <w:b w:val="1"/>
                <w:sz w:val="22"/>
              </w:rPr>
              <w:t>Поставщик:</w:t>
            </w:r>
          </w:p>
          <w:p w14:paraId="6A000000">
            <w:pPr>
              <w:pStyle w:val="Style_7"/>
              <w:rPr>
                <w:sz w:val="22"/>
              </w:rPr>
            </w:pPr>
          </w:p>
          <w:p w14:paraId="6B000000">
            <w:pPr>
              <w:pStyle w:val="Style_7"/>
              <w:rPr>
                <w:sz w:val="22"/>
              </w:rPr>
            </w:pPr>
          </w:p>
          <w:p w14:paraId="6C000000">
            <w:pPr>
              <w:pStyle w:val="Style_7"/>
              <w:rPr>
                <w:sz w:val="22"/>
              </w:rPr>
            </w:pPr>
          </w:p>
          <w:p w14:paraId="6D000000">
            <w:pPr>
              <w:pStyle w:val="Style_7"/>
              <w:rPr>
                <w:sz w:val="22"/>
              </w:rPr>
            </w:pPr>
            <w:r>
              <w:rPr>
                <w:sz w:val="22"/>
              </w:rPr>
              <w:t xml:space="preserve">_____________________/       </w:t>
            </w:r>
            <w:r>
              <w:rPr>
                <w:sz w:val="22"/>
              </w:rPr>
              <w:t>/</w:t>
            </w:r>
          </w:p>
          <w:p w14:paraId="6E000000">
            <w:pPr>
              <w:pStyle w:val="Style_7"/>
              <w:rPr>
                <w:sz w:val="22"/>
              </w:rPr>
            </w:pPr>
          </w:p>
          <w:p w14:paraId="6F000000">
            <w:pPr>
              <w:pStyle w:val="Style_7"/>
              <w:rPr>
                <w:sz w:val="22"/>
              </w:rPr>
            </w:pPr>
            <w:r>
              <w:rPr>
                <w:sz w:val="22"/>
              </w:rPr>
              <w:t>м.п</w:t>
            </w:r>
            <w:r>
              <w:rPr>
                <w:sz w:val="22"/>
              </w:rPr>
              <w:t>.</w:t>
            </w:r>
          </w:p>
          <w:p w14:paraId="70000000">
            <w:pPr>
              <w:pStyle w:val="Style_7"/>
              <w:widowControl w:val="0"/>
              <w:ind/>
              <w:rPr>
                <w:sz w:val="22"/>
              </w:rPr>
            </w:pPr>
          </w:p>
        </w:tc>
        <w:tc>
          <w:tcPr>
            <w:tcW w:type="dxa" w:w="4819"/>
            <w:tcBorders>
              <w:top w:color="000001" w:sz="2" w:val="single"/>
              <w:left w:color="000001" w:sz="2" w:val="single"/>
              <w:bottom w:color="000001" w:sz="2" w:val="single"/>
              <w:right w:color="000001" w:sz="2" w:val="single"/>
            </w:tcBorders>
            <w:shd w:fill="FFFFFF" w:val="clear"/>
            <w:tcMar>
              <w:top w:type="dxa" w:w="55"/>
              <w:left w:type="dxa" w:w="15"/>
              <w:bottom w:type="dxa" w:w="55"/>
              <w:right w:type="dxa" w:w="55"/>
            </w:tcMar>
          </w:tcPr>
          <w:p w14:paraId="71000000">
            <w:pPr>
              <w:pStyle w:val="Style_7"/>
              <w:widowControl w:val="0"/>
              <w:ind/>
            </w:pPr>
            <w:r>
              <w:rPr>
                <w:b w:val="1"/>
                <w:sz w:val="22"/>
              </w:rPr>
              <w:t>Заказчик:</w:t>
            </w:r>
          </w:p>
          <w:p w14:paraId="72000000">
            <w:pPr>
              <w:pStyle w:val="Style_7"/>
              <w:rPr>
                <w:sz w:val="22"/>
              </w:rPr>
            </w:pPr>
            <w:r>
              <w:rPr>
                <w:sz w:val="22"/>
              </w:rPr>
              <w:t xml:space="preserve">ЛОГБУ «Сясьстройский </w:t>
            </w:r>
            <w:r>
              <w:rPr>
                <w:sz w:val="22"/>
              </w:rPr>
              <w:t>ДСП</w:t>
            </w:r>
            <w:r>
              <w:rPr>
                <w:sz w:val="22"/>
              </w:rPr>
              <w:t>»</w:t>
            </w:r>
          </w:p>
          <w:p w14:paraId="73000000">
            <w:pPr>
              <w:pStyle w:val="Style_7"/>
              <w:rPr>
                <w:sz w:val="22"/>
              </w:rPr>
            </w:pPr>
            <w:r>
              <w:rPr>
                <w:sz w:val="22"/>
              </w:rPr>
              <w:t xml:space="preserve">ИНН 4718004094 КПП 470201001 </w:t>
            </w:r>
          </w:p>
          <w:p w14:paraId="74000000">
            <w:pPr>
              <w:pStyle w:val="Style_7"/>
              <w:rPr>
                <w:sz w:val="22"/>
              </w:rPr>
            </w:pPr>
            <w:r>
              <w:rPr>
                <w:sz w:val="22"/>
              </w:rPr>
              <w:t xml:space="preserve">Местонахождение и почтовый адрес: </w:t>
            </w:r>
          </w:p>
          <w:p w14:paraId="75000000">
            <w:pPr>
              <w:pStyle w:val="Style_7"/>
              <w:rPr>
                <w:sz w:val="22"/>
              </w:rPr>
            </w:pPr>
            <w:r>
              <w:rPr>
                <w:sz w:val="22"/>
              </w:rPr>
              <w:t xml:space="preserve">187420, Ленинградская обл., Волховский район, г. Сясьстрой, ул. Бумажников, д.38. </w:t>
            </w:r>
          </w:p>
          <w:p w14:paraId="76000000">
            <w:pPr>
              <w:pStyle w:val="Style_7"/>
              <w:rPr>
                <w:sz w:val="22"/>
              </w:rPr>
            </w:pPr>
            <w:r>
              <w:rPr>
                <w:sz w:val="22"/>
              </w:rPr>
              <w:t xml:space="preserve">Комитет финансов Ленинградской области </w:t>
            </w:r>
          </w:p>
          <w:p w14:paraId="77000000">
            <w:pPr>
              <w:pStyle w:val="Style_7"/>
              <w:rPr>
                <w:sz w:val="22"/>
              </w:rPr>
            </w:pPr>
            <w:r>
              <w:rPr>
                <w:sz w:val="22"/>
              </w:rPr>
              <w:t xml:space="preserve">(ЛОГБУ «Сясьстройский </w:t>
            </w:r>
            <w:r>
              <w:rPr>
                <w:sz w:val="22"/>
              </w:rPr>
              <w:t>ДСП</w:t>
            </w:r>
            <w:r>
              <w:rPr>
                <w:sz w:val="22"/>
              </w:rPr>
              <w:t xml:space="preserve">» </w:t>
            </w:r>
          </w:p>
          <w:p w14:paraId="78000000">
            <w:pPr>
              <w:pStyle w:val="Style_7"/>
              <w:rPr>
                <w:sz w:val="22"/>
              </w:rPr>
            </w:pPr>
            <w:r>
              <w:rPr>
                <w:sz w:val="22"/>
              </w:rPr>
              <w:t xml:space="preserve">л/с 20182987026) </w:t>
            </w:r>
          </w:p>
          <w:p w14:paraId="79000000">
            <w:pPr>
              <w:pStyle w:val="Style_7"/>
              <w:rPr>
                <w:sz w:val="22"/>
              </w:rPr>
            </w:pPr>
            <w:r>
              <w:rPr>
                <w:sz w:val="22"/>
              </w:rPr>
              <w:t xml:space="preserve">ОКЦ №1 </w:t>
            </w:r>
            <w:r>
              <w:rPr>
                <w:sz w:val="22"/>
              </w:rPr>
              <w:t>Северо-Западное ГУ Банка России//</w:t>
            </w:r>
          </w:p>
          <w:p w14:paraId="7A000000">
            <w:pPr>
              <w:pStyle w:val="Style_7"/>
              <w:rPr>
                <w:sz w:val="22"/>
              </w:rPr>
            </w:pPr>
            <w:r>
              <w:rPr>
                <w:sz w:val="22"/>
              </w:rPr>
              <w:t>УФК по Ленинградской области</w:t>
            </w:r>
          </w:p>
          <w:p w14:paraId="7B000000">
            <w:pPr>
              <w:pStyle w:val="Style_7"/>
              <w:rPr>
                <w:sz w:val="22"/>
              </w:rPr>
            </w:pPr>
            <w:r>
              <w:rPr>
                <w:sz w:val="22"/>
              </w:rPr>
              <w:t>г. Санкт-Петербург</w:t>
            </w:r>
          </w:p>
          <w:p w14:paraId="7C000000">
            <w:pPr>
              <w:pStyle w:val="Style_7"/>
              <w:rPr>
                <w:sz w:val="22"/>
              </w:rPr>
            </w:pPr>
            <w:r>
              <w:rPr>
                <w:sz w:val="22"/>
              </w:rPr>
              <w:t>р/сч 032 246 434 100 000 045 00</w:t>
            </w:r>
          </w:p>
          <w:p w14:paraId="7D000000">
            <w:pPr>
              <w:pStyle w:val="Style_7"/>
              <w:rPr>
                <w:sz w:val="22"/>
              </w:rPr>
            </w:pPr>
            <w:r>
              <w:rPr>
                <w:sz w:val="22"/>
              </w:rPr>
              <w:t>к/сч 401 028 107 453 700 000 98</w:t>
            </w:r>
          </w:p>
          <w:p w14:paraId="7E000000">
            <w:pPr>
              <w:pStyle w:val="Style_7"/>
              <w:rPr>
                <w:sz w:val="22"/>
              </w:rPr>
            </w:pPr>
            <w:r>
              <w:rPr>
                <w:sz w:val="22"/>
              </w:rPr>
              <w:t xml:space="preserve">БИК 044030098        ОКПО 05163824         </w:t>
            </w:r>
          </w:p>
          <w:p w14:paraId="7F000000">
            <w:pPr>
              <w:pStyle w:val="Style_7"/>
              <w:rPr>
                <w:sz w:val="22"/>
              </w:rPr>
            </w:pPr>
            <w:r>
              <w:rPr>
                <w:sz w:val="22"/>
              </w:rPr>
              <w:t xml:space="preserve">ОКТМО 41609108001     ОГРН 1024702051340    </w:t>
            </w:r>
          </w:p>
          <w:p w14:paraId="80000000">
            <w:pPr>
              <w:pStyle w:val="Style_7"/>
              <w:rPr>
                <w:sz w:val="22"/>
              </w:rPr>
            </w:pPr>
            <w:r>
              <w:rPr>
                <w:sz w:val="22"/>
              </w:rPr>
              <w:t>Адрес электронной почты: syas_pni@mail.ru</w:t>
            </w:r>
          </w:p>
          <w:p w14:paraId="81000000">
            <w:pPr>
              <w:pStyle w:val="Style_7"/>
              <w:rPr>
                <w:sz w:val="22"/>
              </w:rPr>
            </w:pPr>
            <w:r>
              <w:rPr>
                <w:sz w:val="22"/>
              </w:rPr>
              <w:t xml:space="preserve">Тел. контрактной службы </w:t>
            </w:r>
          </w:p>
          <w:p w14:paraId="82000000">
            <w:pPr>
              <w:pStyle w:val="Style_7"/>
              <w:rPr>
                <w:sz w:val="22"/>
              </w:rPr>
            </w:pPr>
            <w:r>
              <w:rPr>
                <w:sz w:val="22"/>
              </w:rPr>
              <w:t>8(81363)61081 доб 219#</w:t>
            </w:r>
          </w:p>
          <w:p w14:paraId="83000000">
            <w:pPr>
              <w:pStyle w:val="Style_7"/>
              <w:rPr>
                <w:sz w:val="22"/>
              </w:rPr>
            </w:pPr>
          </w:p>
          <w:p w14:paraId="84000000">
            <w:pPr>
              <w:pStyle w:val="Style_7"/>
              <w:rPr>
                <w:b w:val="1"/>
                <w:sz w:val="22"/>
              </w:rPr>
            </w:pPr>
            <w:r>
              <w:rPr>
                <w:b w:val="1"/>
                <w:sz w:val="22"/>
              </w:rPr>
              <w:t>Заказчик:</w:t>
            </w:r>
          </w:p>
          <w:p w14:paraId="85000000">
            <w:pPr>
              <w:pStyle w:val="Style_7"/>
              <w:rPr>
                <w:sz w:val="22"/>
              </w:rPr>
            </w:pPr>
            <w:r>
              <w:rPr>
                <w:sz w:val="22"/>
              </w:rPr>
              <w:t xml:space="preserve">Директор </w:t>
            </w:r>
          </w:p>
          <w:p w14:paraId="86000000">
            <w:pPr>
              <w:pStyle w:val="Style_7"/>
              <w:rPr>
                <w:sz w:val="22"/>
              </w:rPr>
            </w:pPr>
            <w:r>
              <w:rPr>
                <w:sz w:val="22"/>
              </w:rPr>
              <w:t xml:space="preserve">ЛОГБУ «Сясьстройский </w:t>
            </w:r>
            <w:r>
              <w:rPr>
                <w:sz w:val="22"/>
              </w:rPr>
              <w:t>ДСП</w:t>
            </w:r>
            <w:r>
              <w:rPr>
                <w:sz w:val="22"/>
              </w:rPr>
              <w:t>»</w:t>
            </w:r>
          </w:p>
          <w:p w14:paraId="87000000">
            <w:pPr>
              <w:pStyle w:val="Style_7"/>
              <w:rPr>
                <w:sz w:val="22"/>
              </w:rPr>
            </w:pPr>
          </w:p>
          <w:p w14:paraId="88000000">
            <w:pPr>
              <w:pStyle w:val="Style_7"/>
              <w:rPr>
                <w:sz w:val="22"/>
              </w:rPr>
            </w:pPr>
            <w:r>
              <w:rPr>
                <w:sz w:val="22"/>
              </w:rPr>
              <w:t xml:space="preserve">______________ </w:t>
            </w:r>
            <w:r>
              <w:rPr>
                <w:sz w:val="22"/>
              </w:rPr>
              <w:t>Журавель М.Б.</w:t>
            </w:r>
          </w:p>
          <w:p w14:paraId="89000000">
            <w:pPr>
              <w:pStyle w:val="Style_7"/>
              <w:rPr>
                <w:sz w:val="22"/>
              </w:rPr>
            </w:pPr>
          </w:p>
          <w:p w14:paraId="8A000000">
            <w:pPr>
              <w:pStyle w:val="Style_7"/>
              <w:widowControl w:val="0"/>
              <w:ind/>
              <w:rPr>
                <w:b w:val="1"/>
                <w:sz w:val="22"/>
              </w:rPr>
            </w:pPr>
          </w:p>
          <w:p w14:paraId="8B000000">
            <w:pPr>
              <w:pStyle w:val="Style_7"/>
              <w:widowControl w:val="0"/>
              <w:ind/>
              <w:rPr>
                <w:b w:val="1"/>
                <w:sz w:val="22"/>
              </w:rPr>
            </w:pPr>
          </w:p>
          <w:p w14:paraId="8C000000">
            <w:pPr>
              <w:pStyle w:val="Style_7"/>
              <w:widowControl w:val="0"/>
              <w:ind/>
              <w:rPr>
                <w:b w:val="1"/>
                <w:sz w:val="22"/>
              </w:rPr>
            </w:pPr>
          </w:p>
          <w:p w14:paraId="8D000000">
            <w:pPr>
              <w:pStyle w:val="Style_7"/>
              <w:widowControl w:val="0"/>
              <w:ind/>
              <w:rPr>
                <w:b w:val="1"/>
                <w:sz w:val="22"/>
              </w:rPr>
            </w:pPr>
          </w:p>
          <w:p w14:paraId="8E000000">
            <w:pPr>
              <w:pStyle w:val="Style_7"/>
              <w:widowControl w:val="0"/>
              <w:ind/>
              <w:rPr>
                <w:b w:val="1"/>
                <w:sz w:val="22"/>
              </w:rPr>
            </w:pPr>
          </w:p>
          <w:p w14:paraId="8F000000">
            <w:pPr>
              <w:pStyle w:val="Style_7"/>
              <w:widowControl w:val="0"/>
              <w:ind/>
              <w:rPr>
                <w:b w:val="1"/>
                <w:sz w:val="22"/>
              </w:rPr>
            </w:pPr>
          </w:p>
          <w:p w14:paraId="90000000">
            <w:pPr>
              <w:pStyle w:val="Style_7"/>
              <w:widowControl w:val="0"/>
              <w:ind/>
              <w:rPr>
                <w:b w:val="1"/>
                <w:sz w:val="22"/>
              </w:rPr>
            </w:pPr>
          </w:p>
          <w:p w14:paraId="91000000">
            <w:pPr>
              <w:pStyle w:val="Style_7"/>
              <w:widowControl w:val="0"/>
              <w:ind/>
              <w:rPr>
                <w:b w:val="1"/>
                <w:sz w:val="22"/>
              </w:rPr>
            </w:pPr>
          </w:p>
          <w:p w14:paraId="92000000">
            <w:pPr>
              <w:pStyle w:val="Style_7"/>
              <w:widowControl w:val="0"/>
              <w:ind/>
              <w:rPr>
                <w:b w:val="1"/>
                <w:sz w:val="22"/>
              </w:rPr>
            </w:pPr>
          </w:p>
          <w:p w14:paraId="93000000">
            <w:pPr>
              <w:pStyle w:val="Style_7"/>
              <w:widowControl w:val="0"/>
              <w:ind/>
              <w:rPr>
                <w:sz w:val="22"/>
              </w:rPr>
            </w:pPr>
          </w:p>
          <w:p w14:paraId="94000000">
            <w:pPr>
              <w:pStyle w:val="Style_7"/>
              <w:widowControl w:val="0"/>
              <w:ind/>
              <w:rPr>
                <w:sz w:val="22"/>
              </w:rPr>
            </w:pPr>
          </w:p>
          <w:p w14:paraId="95000000">
            <w:pPr>
              <w:pStyle w:val="Style_7"/>
              <w:widowControl w:val="0"/>
              <w:ind/>
              <w:rPr>
                <w:sz w:val="22"/>
              </w:rPr>
            </w:pPr>
          </w:p>
          <w:p w14:paraId="96000000">
            <w:pPr>
              <w:pStyle w:val="Style_7"/>
              <w:widowControl w:val="0"/>
              <w:ind/>
              <w:rPr>
                <w:highlight w:val="yellow"/>
              </w:rPr>
            </w:pPr>
          </w:p>
          <w:p w14:paraId="97000000">
            <w:pPr>
              <w:pStyle w:val="Style_7"/>
              <w:widowControl w:val="0"/>
              <w:ind/>
              <w:rPr>
                <w:highlight w:val="yellow"/>
              </w:rPr>
            </w:pPr>
          </w:p>
          <w:p w14:paraId="98000000">
            <w:pPr>
              <w:pStyle w:val="Style_7"/>
              <w:widowControl w:val="0"/>
              <w:ind/>
              <w:rPr>
                <w:b w:val="1"/>
                <w:sz w:val="22"/>
              </w:rPr>
            </w:pPr>
          </w:p>
          <w:p w14:paraId="99000000">
            <w:pPr>
              <w:pStyle w:val="Style_7"/>
              <w:widowControl w:val="0"/>
              <w:ind/>
              <w:rPr>
                <w:b w:val="1"/>
                <w:sz w:val="22"/>
              </w:rPr>
            </w:pPr>
          </w:p>
        </w:tc>
      </w:tr>
    </w:tbl>
    <w:p w14:paraId="9A000000">
      <w:pPr>
        <w:ind/>
        <w:jc w:val="right"/>
        <w:rPr>
          <w:rFonts w:ascii="Times New Roman" w:hAnsi="Times New Roman"/>
          <w:sz w:val="24"/>
        </w:rPr>
      </w:pPr>
    </w:p>
    <w:p w14:paraId="9B000000">
      <w:pPr>
        <w:ind/>
        <w:jc w:val="right"/>
        <w:rPr>
          <w:rFonts w:ascii="Times New Roman" w:hAnsi="Times New Roman"/>
          <w:sz w:val="24"/>
        </w:rPr>
      </w:pPr>
    </w:p>
    <w:p w14:paraId="9C000000">
      <w:pPr>
        <w:ind/>
        <w:jc w:val="right"/>
        <w:rPr>
          <w:rFonts w:ascii="Times New Roman" w:hAnsi="Times New Roman"/>
          <w:sz w:val="24"/>
        </w:rPr>
      </w:pPr>
    </w:p>
    <w:p w14:paraId="9D000000">
      <w:pPr>
        <w:ind/>
        <w:jc w:val="right"/>
        <w:rPr>
          <w:rFonts w:ascii="Times New Roman" w:hAnsi="Times New Roman"/>
          <w:sz w:val="24"/>
        </w:rPr>
      </w:pPr>
    </w:p>
    <w:p w14:paraId="9E000000">
      <w:pPr>
        <w:ind/>
        <w:jc w:val="right"/>
        <w:rPr>
          <w:rFonts w:ascii="Times New Roman" w:hAnsi="Times New Roman"/>
          <w:sz w:val="24"/>
        </w:rPr>
      </w:pPr>
    </w:p>
    <w:p w14:paraId="9F000000">
      <w:pPr>
        <w:ind/>
        <w:jc w:val="right"/>
        <w:rPr>
          <w:rFonts w:ascii="Times New Roman" w:hAnsi="Times New Roman"/>
          <w:sz w:val="24"/>
        </w:rPr>
      </w:pPr>
    </w:p>
    <w:p w14:paraId="A0000000">
      <w:pPr>
        <w:ind/>
        <w:jc w:val="right"/>
        <w:rPr>
          <w:rFonts w:ascii="Times New Roman" w:hAnsi="Times New Roman"/>
          <w:sz w:val="24"/>
        </w:rPr>
      </w:pPr>
    </w:p>
    <w:p w14:paraId="A1000000">
      <w:pPr>
        <w:ind/>
        <w:jc w:val="right"/>
        <w:rPr>
          <w:rFonts w:ascii="Times New Roman" w:hAnsi="Times New Roman"/>
          <w:sz w:val="24"/>
        </w:rPr>
      </w:pPr>
    </w:p>
    <w:p w14:paraId="A2000000">
      <w:pPr>
        <w:ind/>
        <w:jc w:val="right"/>
        <w:rPr>
          <w:rFonts w:ascii="Times New Roman" w:hAnsi="Times New Roman"/>
          <w:sz w:val="24"/>
        </w:rPr>
      </w:pPr>
    </w:p>
    <w:p w14:paraId="A3000000">
      <w:pPr>
        <w:ind/>
        <w:jc w:val="right"/>
        <w:rPr>
          <w:rFonts w:ascii="Times New Roman" w:hAnsi="Times New Roman"/>
          <w:sz w:val="24"/>
        </w:rPr>
      </w:pPr>
    </w:p>
    <w:p w14:paraId="A4000000">
      <w:pPr>
        <w:ind/>
        <w:jc w:val="right"/>
        <w:rPr>
          <w:rFonts w:ascii="Times New Roman" w:hAnsi="Times New Roman"/>
          <w:sz w:val="24"/>
        </w:rPr>
      </w:pPr>
    </w:p>
    <w:p w14:paraId="A5000000">
      <w:pPr>
        <w:ind/>
        <w:jc w:val="right"/>
        <w:rPr>
          <w:rFonts w:ascii="Times New Roman" w:hAnsi="Times New Roman"/>
          <w:sz w:val="24"/>
        </w:rPr>
      </w:pPr>
    </w:p>
    <w:p w14:paraId="A6000000">
      <w:pPr>
        <w:ind/>
        <w:jc w:val="right"/>
        <w:rPr>
          <w:rFonts w:ascii="Times New Roman" w:hAnsi="Times New Roman"/>
          <w:sz w:val="24"/>
        </w:rPr>
      </w:pPr>
    </w:p>
    <w:p w14:paraId="A7000000">
      <w:pPr>
        <w:ind/>
        <w:jc w:val="right"/>
        <w:rPr>
          <w:rFonts w:ascii="Times New Roman" w:hAnsi="Times New Roman"/>
          <w:sz w:val="24"/>
        </w:rPr>
      </w:pPr>
    </w:p>
    <w:p w14:paraId="A8000000">
      <w:pPr>
        <w:ind/>
        <w:jc w:val="right"/>
        <w:rPr>
          <w:rFonts w:ascii="Times New Roman" w:hAnsi="Times New Roman"/>
          <w:sz w:val="24"/>
        </w:rPr>
      </w:pPr>
    </w:p>
    <w:p w14:paraId="A9000000">
      <w:pPr>
        <w:pStyle w:val="Style_5"/>
        <w:ind/>
        <w:jc w:val="right"/>
        <w:rPr>
          <w:sz w:val="22"/>
        </w:rPr>
      </w:pPr>
      <w:r>
        <w:rPr>
          <w:sz w:val="22"/>
        </w:rPr>
        <w:t xml:space="preserve">Приложение № </w:t>
      </w:r>
      <w:r>
        <w:rPr>
          <w:sz w:val="22"/>
        </w:rPr>
        <w:t>1</w:t>
      </w:r>
    </w:p>
    <w:p w14:paraId="AA000000">
      <w:pPr>
        <w:pStyle w:val="Style_5"/>
        <w:ind/>
        <w:jc w:val="right"/>
        <w:rPr>
          <w:sz w:val="22"/>
        </w:rPr>
      </w:pPr>
      <w:r>
        <w:rPr>
          <w:sz w:val="22"/>
        </w:rPr>
        <w:t xml:space="preserve">к </w:t>
      </w:r>
      <w:r>
        <w:rPr>
          <w:sz w:val="22"/>
        </w:rPr>
        <w:t>Договор</w:t>
      </w:r>
      <w:r>
        <w:rPr>
          <w:sz w:val="22"/>
        </w:rPr>
        <w:t>у №</w:t>
      </w:r>
      <w:r>
        <w:rPr>
          <w:sz w:val="22"/>
        </w:rPr>
        <w:t xml:space="preserve"> </w:t>
      </w:r>
      <w:r>
        <w:rPr>
          <w:sz w:val="22"/>
        </w:rPr>
        <w:t xml:space="preserve"> </w:t>
      </w:r>
    </w:p>
    <w:p w14:paraId="AB000000">
      <w:pPr>
        <w:pStyle w:val="Style_5"/>
        <w:ind/>
        <w:jc w:val="right"/>
        <w:rPr>
          <w:sz w:val="22"/>
        </w:rPr>
      </w:pPr>
      <w:r>
        <w:rPr>
          <w:sz w:val="22"/>
        </w:rPr>
        <w:t xml:space="preserve">«   </w:t>
      </w:r>
      <w:r>
        <w:rPr>
          <w:sz w:val="22"/>
        </w:rPr>
        <w:t>» сентября</w:t>
      </w:r>
      <w:r>
        <w:rPr>
          <w:sz w:val="22"/>
        </w:rPr>
        <w:t xml:space="preserve"> 202</w:t>
      </w:r>
      <w:r>
        <w:rPr>
          <w:sz w:val="22"/>
        </w:rPr>
        <w:t>6</w:t>
      </w:r>
      <w:r>
        <w:rPr>
          <w:sz w:val="22"/>
        </w:rPr>
        <w:t xml:space="preserve"> г.</w:t>
      </w:r>
    </w:p>
    <w:p w14:paraId="AC000000">
      <w:pPr>
        <w:pStyle w:val="Style_5"/>
        <w:ind/>
        <w:jc w:val="both"/>
        <w:rPr>
          <w:sz w:val="22"/>
        </w:rPr>
      </w:pPr>
    </w:p>
    <w:p w14:paraId="AD000000">
      <w:pPr>
        <w:pStyle w:val="Style_5"/>
        <w:ind/>
        <w:jc w:val="both"/>
        <w:rPr>
          <w:sz w:val="22"/>
        </w:rPr>
      </w:pPr>
    </w:p>
    <w:p w14:paraId="AE000000">
      <w:pPr>
        <w:pStyle w:val="Style_5"/>
        <w:ind/>
        <w:jc w:val="center"/>
        <w:rPr>
          <w:sz w:val="22"/>
        </w:rPr>
      </w:pPr>
      <w:r>
        <w:rPr>
          <w:sz w:val="22"/>
        </w:rPr>
        <w:t xml:space="preserve">СПЕЦИФИКАЦИЯ </w:t>
      </w:r>
    </w:p>
    <w:p w14:paraId="AF000000">
      <w:pPr>
        <w:pStyle w:val="Style_5"/>
        <w:ind/>
        <w:jc w:val="both"/>
        <w:rPr>
          <w:sz w:val="22"/>
        </w:rPr>
      </w:pPr>
    </w:p>
    <w:p w14:paraId="B0000000">
      <w:pPr>
        <w:pStyle w:val="Style_5"/>
        <w:ind/>
        <w:jc w:val="both"/>
        <w:rPr>
          <w:sz w:val="22"/>
        </w:rPr>
      </w:pPr>
    </w:p>
    <w:tbl>
      <w:tblPr>
        <w:tblLayout w:type="fixed"/>
        <w:tblCellMar>
          <w:left w:type="dxa" w:w="57"/>
          <w:right w:type="dxa" w:w="57"/>
        </w:tblCellMar>
      </w:tblPr>
      <w:tblGrid>
        <w:gridCol w:w="545"/>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72"/>
        <w:gridCol w:w="242"/>
        <w:gridCol w:w="272"/>
        <w:gridCol w:w="272"/>
        <w:gridCol w:w="272"/>
        <w:gridCol w:w="272"/>
        <w:gridCol w:w="272"/>
        <w:gridCol w:w="272"/>
        <w:gridCol w:w="272"/>
        <w:gridCol w:w="272"/>
        <w:gridCol w:w="272"/>
        <w:gridCol w:w="333"/>
        <w:gridCol w:w="272"/>
        <w:gridCol w:w="272"/>
        <w:gridCol w:w="272"/>
      </w:tblGrid>
      <w:tr>
        <w:tc>
          <w:tcPr>
            <w:tcW w:type="dxa" w:w="545"/>
            <w:vMerge w:val="restart"/>
            <w:tcBorders>
              <w:top w:color="000000" w:sz="10" w:val="single"/>
              <w:left w:color="000000" w:sz="10" w:val="single"/>
              <w:bottom w:color="000000" w:sz="5" w:val="single"/>
              <w:right w:color="000000" w:sz="5" w:val="single"/>
            </w:tcBorders>
            <w:shd w:fill="auto" w:val="clear"/>
            <w:tcMar>
              <w:left w:type="dxa" w:w="57"/>
              <w:right w:type="dxa" w:w="57"/>
            </w:tcMar>
            <w:vAlign w:val="center"/>
          </w:tcPr>
          <w:p w14:paraId="B1000000">
            <w:pPr>
              <w:pStyle w:val="Style_5"/>
              <w:ind/>
              <w:jc w:val="both"/>
              <w:rPr>
                <w:sz w:val="22"/>
              </w:rPr>
            </w:pPr>
            <w:r>
              <w:rPr>
                <w:sz w:val="22"/>
              </w:rPr>
              <w:t>№</w:t>
            </w:r>
          </w:p>
        </w:tc>
        <w:tc>
          <w:tcPr>
            <w:tcW w:type="dxa" w:w="3541"/>
            <w:gridSpan w:val="13"/>
            <w:vMerge w:val="restart"/>
            <w:tcBorders>
              <w:top w:color="000000" w:sz="10" w:val="single"/>
              <w:left w:color="000000" w:sz="5" w:val="single"/>
              <w:bottom w:color="000000" w:sz="5" w:val="single"/>
              <w:right w:color="000000" w:sz="5" w:val="single"/>
            </w:tcBorders>
            <w:shd w:fill="auto" w:val="clear"/>
            <w:tcMar>
              <w:left w:type="dxa" w:w="57"/>
              <w:right w:type="dxa" w:w="57"/>
            </w:tcMar>
            <w:vAlign w:val="center"/>
          </w:tcPr>
          <w:p w14:paraId="B2000000">
            <w:pPr>
              <w:pStyle w:val="Style_5"/>
              <w:ind/>
              <w:jc w:val="both"/>
              <w:rPr>
                <w:sz w:val="22"/>
              </w:rPr>
            </w:pPr>
            <w:r>
              <w:rPr>
                <w:sz w:val="22"/>
              </w:rPr>
              <w:t>Товары (работы, услуги)</w:t>
            </w:r>
          </w:p>
        </w:tc>
        <w:tc>
          <w:tcPr>
            <w:tcW w:type="dxa" w:w="1362"/>
            <w:gridSpan w:val="5"/>
            <w:vMerge w:val="restart"/>
            <w:tcBorders>
              <w:top w:color="000000" w:sz="10" w:val="single"/>
              <w:left w:color="000000" w:sz="5" w:val="single"/>
              <w:bottom w:color="000000" w:sz="5" w:val="single"/>
              <w:right w:color="000000" w:sz="5" w:val="single"/>
            </w:tcBorders>
            <w:shd w:fill="auto" w:val="clear"/>
            <w:tcMar>
              <w:left w:type="dxa" w:w="57"/>
              <w:right w:type="dxa" w:w="57"/>
            </w:tcMar>
            <w:vAlign w:val="center"/>
          </w:tcPr>
          <w:p w14:paraId="B3000000">
            <w:pPr>
              <w:pStyle w:val="Style_5"/>
              <w:ind/>
              <w:jc w:val="both"/>
              <w:rPr>
                <w:sz w:val="22"/>
              </w:rPr>
            </w:pPr>
            <w:r>
              <w:rPr>
                <w:sz w:val="22"/>
              </w:rPr>
              <w:t>Количество</w:t>
            </w:r>
          </w:p>
        </w:tc>
        <w:tc>
          <w:tcPr>
            <w:tcW w:type="dxa" w:w="1059"/>
            <w:gridSpan w:val="4"/>
            <w:vMerge w:val="restart"/>
            <w:tcBorders>
              <w:top w:color="000000" w:sz="10" w:val="single"/>
              <w:left w:color="000000" w:sz="5" w:val="single"/>
              <w:bottom w:color="000000" w:sz="5" w:val="single"/>
              <w:right w:color="000000" w:sz="5" w:val="single"/>
            </w:tcBorders>
            <w:shd w:fill="auto" w:val="clear"/>
            <w:tcMar>
              <w:left w:type="dxa" w:w="57"/>
              <w:right w:type="dxa" w:w="57"/>
            </w:tcMar>
            <w:vAlign w:val="center"/>
          </w:tcPr>
          <w:p w14:paraId="B4000000">
            <w:pPr>
              <w:pStyle w:val="Style_5"/>
              <w:ind/>
              <w:jc w:val="both"/>
              <w:rPr>
                <w:sz w:val="22"/>
              </w:rPr>
            </w:pPr>
            <w:r>
              <w:rPr>
                <w:sz w:val="22"/>
              </w:rPr>
              <w:t>Цена</w:t>
            </w:r>
          </w:p>
        </w:tc>
        <w:tc>
          <w:tcPr>
            <w:tcW w:type="dxa" w:w="1089"/>
            <w:gridSpan w:val="4"/>
            <w:vMerge w:val="restart"/>
            <w:tcBorders>
              <w:top w:color="000000" w:sz="10" w:val="single"/>
              <w:left w:color="000000" w:sz="5" w:val="single"/>
              <w:bottom w:color="000000" w:sz="5" w:val="single"/>
              <w:right w:color="000000" w:sz="5" w:val="single"/>
            </w:tcBorders>
            <w:shd w:fill="auto" w:val="clear"/>
            <w:tcMar>
              <w:left w:type="dxa" w:w="57"/>
              <w:right w:type="dxa" w:w="57"/>
            </w:tcMar>
            <w:vAlign w:val="center"/>
          </w:tcPr>
          <w:p w14:paraId="B5000000">
            <w:pPr>
              <w:pStyle w:val="Style_5"/>
              <w:ind/>
              <w:jc w:val="both"/>
              <w:rPr>
                <w:sz w:val="22"/>
              </w:rPr>
            </w:pPr>
            <w:r>
              <w:rPr>
                <w:sz w:val="22"/>
              </w:rPr>
              <w:t>Ставка НДС</w:t>
            </w:r>
          </w:p>
        </w:tc>
        <w:tc>
          <w:tcPr>
            <w:tcW w:type="dxa" w:w="1089"/>
            <w:gridSpan w:val="4"/>
            <w:vMerge w:val="restart"/>
            <w:tcBorders>
              <w:top w:color="000000" w:sz="10" w:val="single"/>
              <w:left w:color="000000" w:sz="5" w:val="single"/>
              <w:bottom w:color="000000" w:sz="5" w:val="single"/>
              <w:right w:color="000000" w:sz="5" w:val="single"/>
            </w:tcBorders>
            <w:shd w:fill="auto" w:val="clear"/>
            <w:tcMar>
              <w:left w:type="dxa" w:w="57"/>
              <w:right w:type="dxa" w:w="57"/>
            </w:tcMar>
            <w:vAlign w:val="center"/>
          </w:tcPr>
          <w:p w14:paraId="B6000000">
            <w:pPr>
              <w:pStyle w:val="Style_5"/>
              <w:ind/>
              <w:jc w:val="both"/>
              <w:rPr>
                <w:sz w:val="22"/>
              </w:rPr>
            </w:pPr>
            <w:r>
              <w:rPr>
                <w:sz w:val="22"/>
              </w:rPr>
              <w:t>Сумма НДС</w:t>
            </w:r>
          </w:p>
        </w:tc>
        <w:tc>
          <w:tcPr>
            <w:tcW w:type="dxa" w:w="1150"/>
            <w:gridSpan w:val="4"/>
            <w:vMerge w:val="restart"/>
            <w:tcBorders>
              <w:top w:color="000000" w:sz="10" w:val="single"/>
              <w:left w:color="000000" w:sz="5" w:val="single"/>
              <w:bottom w:color="000000" w:sz="5" w:val="single"/>
              <w:right w:color="000000" w:sz="10" w:val="single"/>
            </w:tcBorders>
            <w:shd w:fill="auto" w:val="clear"/>
            <w:tcMar>
              <w:left w:type="dxa" w:w="57"/>
              <w:right w:type="dxa" w:w="57"/>
            </w:tcMar>
            <w:vAlign w:val="center"/>
          </w:tcPr>
          <w:p w14:paraId="B7000000">
            <w:pPr>
              <w:pStyle w:val="Style_5"/>
              <w:ind/>
              <w:jc w:val="both"/>
              <w:rPr>
                <w:sz w:val="22"/>
              </w:rPr>
            </w:pPr>
            <w:r>
              <w:rPr>
                <w:sz w:val="22"/>
              </w:rPr>
              <w:t>Сумма</w:t>
            </w:r>
          </w:p>
        </w:tc>
      </w:tr>
      <w:tr>
        <w:tc>
          <w:tcPr>
            <w:tcW w:type="dxa" w:w="545"/>
            <w:gridSpan w:val="1"/>
            <w:vMerge w:val="continue"/>
            <w:tcBorders>
              <w:top w:color="000000" w:sz="10" w:val="single"/>
              <w:left w:color="000000" w:sz="10" w:val="single"/>
              <w:bottom w:color="000000" w:sz="5" w:val="single"/>
              <w:right w:color="000000" w:sz="5" w:val="single"/>
            </w:tcBorders>
            <w:shd w:fill="auto" w:val="clear"/>
            <w:tcMar>
              <w:left w:type="dxa" w:w="57"/>
              <w:right w:type="dxa" w:w="57"/>
            </w:tcMar>
            <w:vAlign w:val="center"/>
          </w:tcPr>
          <w:p/>
        </w:tc>
        <w:tc>
          <w:tcPr>
            <w:tcW w:type="dxa" w:w="3541"/>
            <w:gridSpan w:val="13"/>
            <w:vMerge w:val="continue"/>
            <w:tcBorders>
              <w:top w:color="000000" w:sz="10" w:val="single"/>
              <w:left w:color="000000" w:sz="5" w:val="single"/>
              <w:bottom w:color="000000" w:sz="5" w:val="single"/>
              <w:right w:color="000000" w:sz="5" w:val="single"/>
            </w:tcBorders>
            <w:shd w:fill="auto" w:val="clear"/>
            <w:tcMar>
              <w:left w:type="dxa" w:w="57"/>
              <w:right w:type="dxa" w:w="57"/>
            </w:tcMar>
            <w:vAlign w:val="center"/>
          </w:tcPr>
          <w:p/>
        </w:tc>
        <w:tc>
          <w:tcPr>
            <w:tcW w:type="dxa" w:w="1362"/>
            <w:gridSpan w:val="5"/>
            <w:vMerge w:val="continue"/>
            <w:tcBorders>
              <w:top w:color="000000" w:sz="10" w:val="single"/>
              <w:left w:color="000000" w:sz="5" w:val="single"/>
              <w:bottom w:color="000000" w:sz="5" w:val="single"/>
              <w:right w:color="000000" w:sz="5" w:val="single"/>
            </w:tcBorders>
            <w:shd w:fill="auto" w:val="clear"/>
            <w:tcMar>
              <w:left w:type="dxa" w:w="57"/>
              <w:right w:type="dxa" w:w="57"/>
            </w:tcMar>
            <w:vAlign w:val="center"/>
          </w:tcPr>
          <w:p/>
        </w:tc>
        <w:tc>
          <w:tcPr>
            <w:tcW w:type="dxa" w:w="1059"/>
            <w:gridSpan w:val="4"/>
            <w:vMerge w:val="continue"/>
            <w:tcBorders>
              <w:top w:color="000000" w:sz="10" w:val="single"/>
              <w:left w:color="000000" w:sz="5" w:val="single"/>
              <w:bottom w:color="000000" w:sz="5" w:val="single"/>
              <w:right w:color="000000" w:sz="5" w:val="single"/>
            </w:tcBorders>
            <w:shd w:fill="auto" w:val="clear"/>
            <w:tcMar>
              <w:left w:type="dxa" w:w="57"/>
              <w:right w:type="dxa" w:w="57"/>
            </w:tcMar>
            <w:vAlign w:val="center"/>
          </w:tcPr>
          <w:p/>
        </w:tc>
        <w:tc>
          <w:tcPr>
            <w:tcW w:type="dxa" w:w="1089"/>
            <w:gridSpan w:val="4"/>
            <w:vMerge w:val="continue"/>
            <w:tcBorders>
              <w:top w:color="000000" w:sz="10" w:val="single"/>
              <w:left w:color="000000" w:sz="5" w:val="single"/>
              <w:bottom w:color="000000" w:sz="5" w:val="single"/>
              <w:right w:color="000000" w:sz="5" w:val="single"/>
            </w:tcBorders>
            <w:shd w:fill="auto" w:val="clear"/>
            <w:tcMar>
              <w:left w:type="dxa" w:w="57"/>
              <w:right w:type="dxa" w:w="57"/>
            </w:tcMar>
            <w:vAlign w:val="center"/>
          </w:tcPr>
          <w:p/>
        </w:tc>
        <w:tc>
          <w:tcPr>
            <w:tcW w:type="dxa" w:w="1089"/>
            <w:gridSpan w:val="4"/>
            <w:vMerge w:val="continue"/>
            <w:tcBorders>
              <w:top w:color="000000" w:sz="10" w:val="single"/>
              <w:left w:color="000000" w:sz="5" w:val="single"/>
              <w:bottom w:color="000000" w:sz="5" w:val="single"/>
              <w:right w:color="000000" w:sz="5" w:val="single"/>
            </w:tcBorders>
            <w:shd w:fill="auto" w:val="clear"/>
            <w:tcMar>
              <w:left w:type="dxa" w:w="57"/>
              <w:right w:type="dxa" w:w="57"/>
            </w:tcMar>
            <w:vAlign w:val="center"/>
          </w:tcPr>
          <w:p/>
        </w:tc>
        <w:tc>
          <w:tcPr>
            <w:tcW w:type="dxa" w:w="1150"/>
            <w:gridSpan w:val="4"/>
            <w:vMerge w:val="continue"/>
            <w:tcBorders>
              <w:top w:color="000000" w:sz="10" w:val="single"/>
              <w:left w:color="000000" w:sz="5" w:val="single"/>
              <w:bottom w:color="000000" w:sz="5" w:val="single"/>
              <w:right w:color="000000" w:sz="10" w:val="single"/>
            </w:tcBorders>
            <w:shd w:fill="auto" w:val="clear"/>
            <w:tcMar>
              <w:left w:type="dxa" w:w="57"/>
              <w:right w:type="dxa" w:w="57"/>
            </w:tcMar>
            <w:vAlign w:val="center"/>
          </w:tc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B8000000">
            <w:pPr>
              <w:pStyle w:val="Style_5"/>
              <w:ind/>
              <w:jc w:val="both"/>
              <w:rPr>
                <w:sz w:val="22"/>
              </w:rPr>
            </w:pPr>
            <w:r>
              <w:rPr>
                <w:sz w:val="22"/>
              </w:rPr>
              <w:t>1</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B9000000">
            <w:pPr>
              <w:pStyle w:val="Style_5"/>
              <w:ind/>
              <w:jc w:val="both"/>
              <w:rPr>
                <w:sz w:val="22"/>
              </w:rPr>
            </w:pPr>
            <w:r>
              <w:rPr>
                <w:sz w:val="22"/>
              </w:rPr>
              <w:t>Аптечка первой помощи работникам АППОМЕД /пластиковый чемоданчик/</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BA000000">
            <w:pPr>
              <w:pStyle w:val="Style_5"/>
              <w:ind/>
              <w:jc w:val="both"/>
              <w:rPr>
                <w:sz w:val="22"/>
              </w:rPr>
            </w:pPr>
            <w:r>
              <w:rPr>
                <w:sz w:val="22"/>
              </w:rPr>
              <w:t>11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BB000000">
            <w:pPr>
              <w:pStyle w:val="Style_5"/>
              <w:ind/>
              <w:jc w:val="both"/>
              <w:rPr>
                <w:sz w:val="22"/>
              </w:rPr>
            </w:pPr>
            <w:r>
              <w:rPr>
                <w:sz w:val="22"/>
              </w:rPr>
              <w:t>шт</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BC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BD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BE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BF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C0000000">
            <w:pPr>
              <w:pStyle w:val="Style_5"/>
              <w:ind/>
              <w:jc w:val="both"/>
              <w:rPr>
                <w:sz w:val="22"/>
              </w:rPr>
            </w:pPr>
            <w:r>
              <w:rPr>
                <w:sz w:val="22"/>
              </w:rPr>
              <w:t>2</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C1000000">
            <w:pPr>
              <w:pStyle w:val="Style_5"/>
              <w:ind/>
              <w:jc w:val="both"/>
              <w:rPr>
                <w:sz w:val="22"/>
              </w:rPr>
            </w:pPr>
            <w:r>
              <w:rPr>
                <w:sz w:val="22"/>
              </w:rPr>
              <w:t>Костюм мужской "Техно" для защиты от мех. воздействий (истирания, проколов, порезов) и ОПЗ (куртка,полукомбинезон) (128-132/170-176)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2000000">
            <w:pPr>
              <w:pStyle w:val="Style_5"/>
              <w:ind/>
              <w:jc w:val="both"/>
              <w:rPr>
                <w:sz w:val="22"/>
              </w:rPr>
            </w:pPr>
            <w:r>
              <w:rPr>
                <w:sz w:val="22"/>
              </w:rPr>
              <w:t>2</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3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4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5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6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C7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C8000000">
            <w:pPr>
              <w:pStyle w:val="Style_5"/>
              <w:ind/>
              <w:jc w:val="both"/>
              <w:rPr>
                <w:sz w:val="22"/>
              </w:rPr>
            </w:pPr>
            <w:r>
              <w:rPr>
                <w:sz w:val="22"/>
              </w:rPr>
              <w:t>3</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C9000000">
            <w:pPr>
              <w:pStyle w:val="Style_5"/>
              <w:ind/>
              <w:jc w:val="both"/>
              <w:rPr>
                <w:sz w:val="22"/>
              </w:rPr>
            </w:pPr>
            <w:r>
              <w:rPr>
                <w:sz w:val="22"/>
              </w:rPr>
              <w:t>Костюм мужской "Техно" для защиты от мех. воздействий (истирания, проколов, порезов) и ОПЗ (куртка,полукомбинезон) (104-108/170-176)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A000000">
            <w:pPr>
              <w:pStyle w:val="Style_5"/>
              <w:ind/>
              <w:jc w:val="both"/>
              <w:rPr>
                <w:sz w:val="22"/>
              </w:rPr>
            </w:pPr>
            <w:r>
              <w:rPr>
                <w:sz w:val="22"/>
              </w:rPr>
              <w:t>2</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B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C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D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CE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CF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D0000000">
            <w:pPr>
              <w:pStyle w:val="Style_5"/>
              <w:ind/>
              <w:jc w:val="both"/>
              <w:rPr>
                <w:sz w:val="22"/>
              </w:rPr>
            </w:pPr>
            <w:r>
              <w:rPr>
                <w:sz w:val="22"/>
              </w:rPr>
              <w:t>4</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D1000000">
            <w:pPr>
              <w:pStyle w:val="Style_5"/>
              <w:ind/>
              <w:jc w:val="both"/>
              <w:rPr>
                <w:sz w:val="22"/>
              </w:rPr>
            </w:pPr>
            <w:r>
              <w:rPr>
                <w:sz w:val="22"/>
              </w:rPr>
              <w:t>Костюм мужской "Техно" для защиты от мех. воздействий (истирания, проколов, порезов) и ОПЗ (куртка,полукомбинезон) (128-132/182-188)</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2000000">
            <w:pPr>
              <w:pStyle w:val="Style_5"/>
              <w:ind/>
              <w:jc w:val="both"/>
              <w:rPr>
                <w:sz w:val="22"/>
              </w:rPr>
            </w:pPr>
            <w:r>
              <w:rPr>
                <w:sz w:val="22"/>
              </w:rPr>
              <w:t>2</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3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4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5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6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D7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D8000000">
            <w:pPr>
              <w:pStyle w:val="Style_5"/>
              <w:ind/>
              <w:jc w:val="both"/>
              <w:rPr>
                <w:sz w:val="22"/>
              </w:rPr>
            </w:pPr>
            <w:r>
              <w:rPr>
                <w:sz w:val="22"/>
              </w:rPr>
              <w:t>5</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D9000000">
            <w:pPr>
              <w:pStyle w:val="Style_5"/>
              <w:ind/>
              <w:jc w:val="both"/>
              <w:rPr>
                <w:sz w:val="22"/>
              </w:rPr>
            </w:pPr>
            <w:r>
              <w:rPr>
                <w:sz w:val="22"/>
              </w:rPr>
              <w:t>Костюм мужской "Техно" для защиты от мех. воздействий (истирания, проколов, порезов) и ОПЗ (куртка,полукомбинезон) (96-100/170-176)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A00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B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C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D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DE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DF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E0000000">
            <w:pPr>
              <w:pStyle w:val="Style_5"/>
              <w:ind/>
              <w:jc w:val="both"/>
              <w:rPr>
                <w:sz w:val="22"/>
              </w:rPr>
            </w:pPr>
            <w:r>
              <w:rPr>
                <w:sz w:val="22"/>
              </w:rPr>
              <w:t>6</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E1000000">
            <w:pPr>
              <w:pStyle w:val="Style_5"/>
              <w:ind/>
              <w:jc w:val="both"/>
              <w:rPr>
                <w:sz w:val="22"/>
              </w:rPr>
            </w:pPr>
            <w:r>
              <w:rPr>
                <w:sz w:val="22"/>
              </w:rPr>
              <w:t>Костюм мужской "Азов" для защиты от мех. воздействий (истирания, проколов, порезов) и ОПЗ /куртка + брюки/ (104-108/182-188)</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2000000">
            <w:pPr>
              <w:pStyle w:val="Style_5"/>
              <w:ind/>
              <w:jc w:val="both"/>
              <w:rPr>
                <w:sz w:val="22"/>
              </w:rPr>
            </w:pPr>
            <w:r>
              <w:rPr>
                <w:sz w:val="22"/>
              </w:rPr>
              <w:t>2</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3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4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5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6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E7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E8000000">
            <w:pPr>
              <w:pStyle w:val="Style_5"/>
              <w:ind/>
              <w:jc w:val="both"/>
              <w:rPr>
                <w:sz w:val="22"/>
              </w:rPr>
            </w:pPr>
            <w:r>
              <w:rPr>
                <w:sz w:val="22"/>
              </w:rPr>
              <w:t>7</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E9000000">
            <w:pPr>
              <w:pStyle w:val="Style_5"/>
              <w:ind/>
              <w:jc w:val="both"/>
              <w:rPr>
                <w:sz w:val="22"/>
              </w:rPr>
            </w:pPr>
            <w:r>
              <w:rPr>
                <w:sz w:val="22"/>
              </w:rPr>
              <w:t>Костюм мужской "Азов" для защиты от мех. воздействий (истирания, проколов, порезов) и ОПЗ /куртка + брюки/ (96-100/170-176)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A000000">
            <w:pPr>
              <w:pStyle w:val="Style_5"/>
              <w:ind/>
              <w:jc w:val="both"/>
              <w:rPr>
                <w:sz w:val="22"/>
              </w:rPr>
            </w:pPr>
            <w:r>
              <w:rPr>
                <w:sz w:val="22"/>
              </w:rPr>
              <w:t>2</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B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C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D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EE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EF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F0000000">
            <w:pPr>
              <w:pStyle w:val="Style_5"/>
              <w:ind/>
              <w:jc w:val="both"/>
              <w:rPr>
                <w:sz w:val="22"/>
              </w:rPr>
            </w:pPr>
            <w:r>
              <w:rPr>
                <w:sz w:val="22"/>
              </w:rPr>
              <w:t>8</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F1000000">
            <w:pPr>
              <w:pStyle w:val="Style_5"/>
              <w:ind/>
              <w:jc w:val="both"/>
              <w:rPr>
                <w:sz w:val="22"/>
              </w:rPr>
            </w:pPr>
            <w:r>
              <w:rPr>
                <w:sz w:val="22"/>
              </w:rPr>
              <w:t>Костюм мужской "Азов" для защиты от мех. воздействий (истирания, проколов, порезов) и ОПЗ /куртка + брюки/ (104-108/170-176)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200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3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4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5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6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F7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F8000000">
            <w:pPr>
              <w:pStyle w:val="Style_5"/>
              <w:ind/>
              <w:jc w:val="both"/>
              <w:rPr>
                <w:sz w:val="22"/>
              </w:rPr>
            </w:pPr>
            <w:r>
              <w:rPr>
                <w:sz w:val="22"/>
              </w:rPr>
              <w:t>9</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F9000000">
            <w:pPr>
              <w:pStyle w:val="Style_5"/>
              <w:ind/>
              <w:jc w:val="both"/>
              <w:rPr>
                <w:sz w:val="22"/>
              </w:rPr>
            </w:pPr>
            <w:r>
              <w:rPr>
                <w:sz w:val="22"/>
              </w:rPr>
              <w:t>Костюм мужской  "Химик" для защиты от хим. факторов (растворов кислот 3 кл. и щелочей), воздействия  статич. электричества, мех.воздействий (Ми,Мп) и ОПЗ /куртка,брюки,берет/ (128-132/182-188)</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A00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B00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C00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D00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FE00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FF00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00010000">
            <w:pPr>
              <w:pStyle w:val="Style_5"/>
              <w:ind/>
              <w:jc w:val="both"/>
              <w:rPr>
                <w:sz w:val="22"/>
              </w:rPr>
            </w:pPr>
            <w:r>
              <w:rPr>
                <w:sz w:val="22"/>
              </w:rPr>
              <w:t>10</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01010000">
            <w:pPr>
              <w:pStyle w:val="Style_5"/>
              <w:ind/>
              <w:jc w:val="both"/>
              <w:rPr>
                <w:sz w:val="22"/>
              </w:rPr>
            </w:pPr>
            <w:r>
              <w:rPr>
                <w:sz w:val="22"/>
              </w:rPr>
              <w:t>Костюм мужской  "Химик" для защиты от хим. факторов (растворов кислот 3 кл. и щелочей), воздействия  статич. электричества, мех.воздействий (Ми,Мп) и ОПЗ /куртка,брюки,берет/ (104-108/170-176)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201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301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401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501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601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0701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08010000">
            <w:pPr>
              <w:pStyle w:val="Style_5"/>
              <w:ind/>
              <w:jc w:val="both"/>
              <w:rPr>
                <w:sz w:val="22"/>
              </w:rPr>
            </w:pPr>
            <w:r>
              <w:rPr>
                <w:sz w:val="22"/>
              </w:rPr>
              <w:t>11</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09010000">
            <w:pPr>
              <w:pStyle w:val="Style_5"/>
              <w:ind/>
              <w:jc w:val="both"/>
              <w:rPr>
                <w:sz w:val="22"/>
              </w:rPr>
            </w:pPr>
            <w:r>
              <w:rPr>
                <w:sz w:val="22"/>
              </w:rPr>
              <w:t>Костюм мужской "Майнер" (Miner WPL) для защиты от воды (3 кл.)/куртка, брюки/ (104-108/170-176)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A010000">
            <w:pPr>
              <w:pStyle w:val="Style_5"/>
              <w:ind/>
              <w:jc w:val="both"/>
              <w:rPr>
                <w:sz w:val="22"/>
              </w:rPr>
            </w:pPr>
            <w:r>
              <w:rPr>
                <w:sz w:val="22"/>
              </w:rPr>
              <w:t>2</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B010000">
            <w:pPr>
              <w:pStyle w:val="Style_5"/>
              <w:ind/>
              <w:jc w:val="both"/>
              <w:rPr>
                <w:sz w:val="22"/>
              </w:rPr>
            </w:pPr>
            <w:r>
              <w:rPr>
                <w:sz w:val="22"/>
              </w:rPr>
              <w:t>компл</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C01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D01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0E01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0F01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10010000">
            <w:pPr>
              <w:pStyle w:val="Style_5"/>
              <w:ind/>
              <w:jc w:val="both"/>
              <w:rPr>
                <w:sz w:val="22"/>
              </w:rPr>
            </w:pPr>
            <w:r>
              <w:rPr>
                <w:sz w:val="22"/>
              </w:rPr>
              <w:t>12</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11010000">
            <w:pPr>
              <w:pStyle w:val="Style_5"/>
              <w:ind/>
              <w:jc w:val="both"/>
              <w:rPr>
                <w:sz w:val="22"/>
              </w:rPr>
            </w:pPr>
            <w:r>
              <w:rPr>
                <w:sz w:val="22"/>
              </w:rPr>
              <w:t>Комбинезон специальный защитный торговой марки "BTR" ограниченного срока использования из антиэлектростатического материала "Tyvek", модель 600HS с капюшоном и носками (L (100-108/176-182))</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201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3010000">
            <w:pPr>
              <w:pStyle w:val="Style_5"/>
              <w:ind/>
              <w:jc w:val="both"/>
              <w:rPr>
                <w:sz w:val="22"/>
              </w:rPr>
            </w:pPr>
            <w:r>
              <w:rPr>
                <w:sz w:val="22"/>
              </w:rPr>
              <w:t>шт</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401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501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601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1701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18010000">
            <w:pPr>
              <w:pStyle w:val="Style_5"/>
              <w:ind/>
              <w:jc w:val="both"/>
              <w:rPr>
                <w:sz w:val="22"/>
              </w:rPr>
            </w:pPr>
            <w:r>
              <w:rPr>
                <w:sz w:val="22"/>
              </w:rPr>
              <w:t>13</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19010000">
            <w:pPr>
              <w:pStyle w:val="Style_5"/>
              <w:ind/>
              <w:jc w:val="both"/>
              <w:rPr>
                <w:sz w:val="22"/>
              </w:rPr>
            </w:pPr>
            <w:r>
              <w:rPr>
                <w:sz w:val="22"/>
              </w:rPr>
              <w:t>Комбинезон специальный защитный торговой марки "BTR" ограниченного срока использования из антиэлектростатического материала "Tyvek", модель 600HS с капюшоном и носками (M (92-100/170-176))</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A01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B010000">
            <w:pPr>
              <w:pStyle w:val="Style_5"/>
              <w:ind/>
              <w:jc w:val="both"/>
              <w:rPr>
                <w:sz w:val="22"/>
              </w:rPr>
            </w:pPr>
            <w:r>
              <w:rPr>
                <w:sz w:val="22"/>
              </w:rPr>
              <w:t>шт</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C01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D01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1E01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1F010000">
            <w:pPr>
              <w:pStyle w:val="Style_5"/>
              <w:ind/>
              <w:jc w:val="both"/>
              <w:rPr>
                <w:sz w:val="22"/>
              </w:rPr>
            </w:pPr>
          </w:p>
        </w:tc>
      </w:tr>
      <w:tr>
        <w:tc>
          <w:tcPr>
            <w:tcW w:type="dxa" w:w="545"/>
            <w:tcBorders>
              <w:top w:color="000000" w:sz="5" w:val="single"/>
              <w:left w:color="000000" w:sz="10" w:val="single"/>
              <w:bottom w:color="000000" w:sz="5" w:val="single"/>
              <w:right w:color="000000" w:sz="5" w:val="single"/>
            </w:tcBorders>
            <w:shd w:fill="auto" w:val="clear"/>
            <w:tcMar>
              <w:left w:type="dxa" w:w="57"/>
              <w:right w:type="dxa" w:w="57"/>
            </w:tcMar>
            <w:vAlign w:val="bottom"/>
          </w:tcPr>
          <w:p w14:paraId="20010000">
            <w:pPr>
              <w:pStyle w:val="Style_5"/>
              <w:ind/>
              <w:jc w:val="both"/>
              <w:rPr>
                <w:sz w:val="22"/>
              </w:rPr>
            </w:pPr>
            <w:r>
              <w:rPr>
                <w:sz w:val="22"/>
              </w:rPr>
              <w:t>14</w:t>
            </w:r>
          </w:p>
        </w:tc>
        <w:tc>
          <w:tcPr>
            <w:tcW w:type="dxa" w:w="3541"/>
            <w:gridSpan w:val="13"/>
            <w:tcBorders>
              <w:top w:color="000000" w:sz="5" w:val="single"/>
              <w:left w:color="000000" w:sz="5" w:val="single"/>
              <w:bottom w:color="000000" w:sz="5" w:val="single"/>
            </w:tcBorders>
            <w:shd w:fill="auto" w:val="clear"/>
            <w:tcMar>
              <w:left w:type="dxa" w:w="57"/>
              <w:right w:type="dxa" w:w="57"/>
            </w:tcMar>
            <w:vAlign w:val="bottom"/>
          </w:tcPr>
          <w:p w14:paraId="21010000">
            <w:pPr>
              <w:pStyle w:val="Style_5"/>
              <w:ind/>
              <w:jc w:val="both"/>
              <w:rPr>
                <w:sz w:val="22"/>
              </w:rPr>
            </w:pPr>
            <w:r>
              <w:rPr>
                <w:sz w:val="22"/>
              </w:rPr>
              <w:t>Комбинезон специальный защитный торговой марки "BTR" ограниченного срока использования из антиэлектростатического материала "Tyvek", модель 600HS с капюшоном и носками (XL (108-116/182-188))</w:t>
            </w:r>
          </w:p>
        </w:tc>
        <w:tc>
          <w:tcPr>
            <w:tcW w:type="dxa" w:w="545"/>
            <w:gridSpan w:val="2"/>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22010000">
            <w:pPr>
              <w:pStyle w:val="Style_5"/>
              <w:ind/>
              <w:jc w:val="both"/>
              <w:rPr>
                <w:sz w:val="22"/>
              </w:rPr>
            </w:pPr>
            <w:r>
              <w:rPr>
                <w:sz w:val="22"/>
              </w:rPr>
              <w:t>1</w:t>
            </w:r>
          </w:p>
        </w:tc>
        <w:tc>
          <w:tcPr>
            <w:tcW w:type="dxa" w:w="817"/>
            <w:gridSpan w:val="3"/>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23010000">
            <w:pPr>
              <w:pStyle w:val="Style_5"/>
              <w:ind/>
              <w:jc w:val="both"/>
              <w:rPr>
                <w:sz w:val="22"/>
              </w:rPr>
            </w:pPr>
            <w:r>
              <w:rPr>
                <w:sz w:val="22"/>
              </w:rPr>
              <w:t>шт</w:t>
            </w:r>
          </w:p>
        </w:tc>
        <w:tc>
          <w:tcPr>
            <w:tcW w:type="dxa" w:w="105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24010000">
            <w:pPr>
              <w:pStyle w:val="Style_5"/>
              <w:ind/>
              <w:jc w:val="both"/>
              <w:rPr>
                <w:sz w:val="22"/>
              </w:rPr>
            </w:pP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25010000">
            <w:pPr>
              <w:pStyle w:val="Style_5"/>
              <w:ind/>
              <w:jc w:val="both"/>
              <w:rPr>
                <w:sz w:val="22"/>
              </w:rPr>
            </w:pPr>
            <w:r>
              <w:rPr>
                <w:sz w:val="22"/>
              </w:rPr>
              <w:t>%</w:t>
            </w:r>
          </w:p>
        </w:tc>
        <w:tc>
          <w:tcPr>
            <w:tcW w:type="dxa" w:w="1089"/>
            <w:gridSpan w:val="4"/>
            <w:tcBorders>
              <w:top w:color="000000" w:sz="5" w:val="single"/>
              <w:left w:color="000000" w:sz="5" w:val="single"/>
              <w:bottom w:color="000000" w:sz="5" w:val="single"/>
              <w:right w:color="000000" w:sz="5" w:val="single"/>
            </w:tcBorders>
            <w:shd w:fill="auto" w:val="clear"/>
            <w:tcMar>
              <w:left w:type="dxa" w:w="57"/>
              <w:right w:type="dxa" w:w="57"/>
            </w:tcMar>
            <w:vAlign w:val="bottom"/>
          </w:tcPr>
          <w:p w14:paraId="26010000">
            <w:pPr>
              <w:pStyle w:val="Style_5"/>
              <w:ind/>
              <w:jc w:val="both"/>
              <w:rPr>
                <w:sz w:val="22"/>
              </w:rPr>
            </w:pPr>
          </w:p>
        </w:tc>
        <w:tc>
          <w:tcPr>
            <w:tcW w:type="dxa" w:w="1150"/>
            <w:gridSpan w:val="4"/>
            <w:tcBorders>
              <w:top w:color="000000" w:sz="5" w:val="single"/>
              <w:left w:color="000000" w:sz="5" w:val="single"/>
              <w:bottom w:color="000000" w:sz="5" w:val="single"/>
              <w:right w:color="000000" w:sz="10" w:val="single"/>
            </w:tcBorders>
            <w:shd w:fill="auto" w:val="clear"/>
            <w:tcMar>
              <w:left w:type="dxa" w:w="57"/>
              <w:right w:type="dxa" w:w="57"/>
            </w:tcMar>
            <w:vAlign w:val="bottom"/>
          </w:tcPr>
          <w:p w14:paraId="27010000">
            <w:pPr>
              <w:pStyle w:val="Style_5"/>
              <w:ind/>
              <w:jc w:val="both"/>
              <w:rPr>
                <w:sz w:val="22"/>
              </w:rPr>
            </w:pPr>
          </w:p>
        </w:tc>
      </w:tr>
      <w:tr>
        <w:tc>
          <w:tcPr>
            <w:tcW w:type="dxa" w:w="545"/>
            <w:tcBorders>
              <w:top w:color="000000" w:sz="5" w:val="single"/>
              <w:left w:color="000000" w:sz="10" w:val="single"/>
              <w:bottom w:color="000000" w:sz="10" w:val="single"/>
              <w:right w:color="000000" w:sz="5" w:val="single"/>
            </w:tcBorders>
            <w:shd w:fill="auto" w:val="clear"/>
            <w:tcMar>
              <w:left w:type="dxa" w:w="57"/>
              <w:right w:type="dxa" w:w="57"/>
            </w:tcMar>
            <w:vAlign w:val="bottom"/>
          </w:tcPr>
          <w:p w14:paraId="28010000">
            <w:pPr>
              <w:pStyle w:val="Style_5"/>
              <w:ind/>
              <w:jc w:val="both"/>
              <w:rPr>
                <w:sz w:val="22"/>
              </w:rPr>
            </w:pPr>
            <w:r>
              <w:rPr>
                <w:sz w:val="22"/>
              </w:rPr>
              <w:t>15</w:t>
            </w:r>
          </w:p>
        </w:tc>
        <w:tc>
          <w:tcPr>
            <w:tcW w:type="dxa" w:w="3541"/>
            <w:gridSpan w:val="13"/>
            <w:tcBorders>
              <w:top w:color="000000" w:sz="5" w:val="single"/>
              <w:left w:color="000000" w:sz="5" w:val="single"/>
              <w:bottom w:color="000000" w:sz="10" w:val="single"/>
            </w:tcBorders>
            <w:shd w:fill="auto" w:val="clear"/>
            <w:tcMar>
              <w:left w:type="dxa" w:w="57"/>
              <w:right w:type="dxa" w:w="57"/>
            </w:tcMar>
            <w:vAlign w:val="bottom"/>
          </w:tcPr>
          <w:p w14:paraId="29010000">
            <w:pPr>
              <w:pStyle w:val="Style_5"/>
              <w:ind/>
              <w:jc w:val="both"/>
              <w:rPr>
                <w:sz w:val="22"/>
              </w:rPr>
            </w:pPr>
            <w:r>
              <w:rPr>
                <w:sz w:val="22"/>
              </w:rPr>
              <w:t>Аптечка для оказания первой помощи пострадавшим в дорожно-транспортных происшествиях (автомобильная) АППОМЕД</w:t>
            </w:r>
          </w:p>
        </w:tc>
        <w:tc>
          <w:tcPr>
            <w:tcW w:type="dxa" w:w="545"/>
            <w:gridSpan w:val="2"/>
            <w:tcBorders>
              <w:top w:color="000000" w:sz="5" w:val="single"/>
              <w:left w:color="000000" w:sz="5" w:val="single"/>
              <w:bottom w:color="000000" w:sz="10" w:val="single"/>
              <w:right w:color="000000" w:sz="5" w:val="single"/>
            </w:tcBorders>
            <w:shd w:fill="auto" w:val="clear"/>
            <w:tcMar>
              <w:left w:type="dxa" w:w="57"/>
              <w:right w:type="dxa" w:w="57"/>
            </w:tcMar>
            <w:vAlign w:val="bottom"/>
          </w:tcPr>
          <w:p w14:paraId="2A010000">
            <w:pPr>
              <w:pStyle w:val="Style_5"/>
              <w:ind/>
              <w:jc w:val="both"/>
              <w:rPr>
                <w:sz w:val="22"/>
              </w:rPr>
            </w:pPr>
            <w:r>
              <w:rPr>
                <w:sz w:val="22"/>
              </w:rPr>
              <w:t>7</w:t>
            </w:r>
          </w:p>
        </w:tc>
        <w:tc>
          <w:tcPr>
            <w:tcW w:type="dxa" w:w="817"/>
            <w:gridSpan w:val="3"/>
            <w:tcBorders>
              <w:top w:color="000000" w:sz="5" w:val="single"/>
              <w:left w:color="000000" w:sz="5" w:val="single"/>
              <w:bottom w:color="000000" w:sz="10" w:val="single"/>
              <w:right w:color="000000" w:sz="5" w:val="single"/>
            </w:tcBorders>
            <w:shd w:fill="auto" w:val="clear"/>
            <w:tcMar>
              <w:left w:type="dxa" w:w="57"/>
              <w:right w:type="dxa" w:w="57"/>
            </w:tcMar>
            <w:vAlign w:val="bottom"/>
          </w:tcPr>
          <w:p w14:paraId="2B010000">
            <w:pPr>
              <w:pStyle w:val="Style_5"/>
              <w:ind/>
              <w:jc w:val="both"/>
              <w:rPr>
                <w:sz w:val="22"/>
              </w:rPr>
            </w:pPr>
            <w:r>
              <w:rPr>
                <w:sz w:val="22"/>
              </w:rPr>
              <w:t>шт</w:t>
            </w:r>
          </w:p>
        </w:tc>
        <w:tc>
          <w:tcPr>
            <w:tcW w:type="dxa" w:w="1059"/>
            <w:gridSpan w:val="4"/>
            <w:tcBorders>
              <w:top w:color="000000" w:sz="5" w:val="single"/>
              <w:left w:color="000000" w:sz="5" w:val="single"/>
              <w:bottom w:color="000000" w:sz="10" w:val="single"/>
              <w:right w:color="000000" w:sz="5" w:val="single"/>
            </w:tcBorders>
            <w:shd w:fill="auto" w:val="clear"/>
            <w:tcMar>
              <w:left w:type="dxa" w:w="57"/>
              <w:right w:type="dxa" w:w="57"/>
            </w:tcMar>
            <w:vAlign w:val="bottom"/>
          </w:tcPr>
          <w:p w14:paraId="2C010000">
            <w:pPr>
              <w:pStyle w:val="Style_5"/>
              <w:ind/>
              <w:jc w:val="both"/>
              <w:rPr>
                <w:sz w:val="22"/>
              </w:rPr>
            </w:pPr>
          </w:p>
        </w:tc>
        <w:tc>
          <w:tcPr>
            <w:tcW w:type="dxa" w:w="1089"/>
            <w:gridSpan w:val="4"/>
            <w:tcBorders>
              <w:top w:color="000000" w:sz="5" w:val="single"/>
              <w:left w:color="000000" w:sz="5" w:val="single"/>
              <w:bottom w:color="000000" w:sz="10" w:val="single"/>
              <w:right w:color="000000" w:sz="5" w:val="single"/>
            </w:tcBorders>
            <w:shd w:fill="auto" w:val="clear"/>
            <w:tcMar>
              <w:left w:type="dxa" w:w="57"/>
              <w:right w:type="dxa" w:w="57"/>
            </w:tcMar>
            <w:vAlign w:val="bottom"/>
          </w:tcPr>
          <w:p w14:paraId="2D010000">
            <w:pPr>
              <w:pStyle w:val="Style_5"/>
              <w:ind/>
              <w:jc w:val="both"/>
              <w:rPr>
                <w:sz w:val="22"/>
              </w:rPr>
            </w:pPr>
            <w:r>
              <w:rPr>
                <w:sz w:val="22"/>
              </w:rPr>
              <w:t>%</w:t>
            </w:r>
          </w:p>
        </w:tc>
        <w:tc>
          <w:tcPr>
            <w:tcW w:type="dxa" w:w="1089"/>
            <w:gridSpan w:val="4"/>
            <w:tcBorders>
              <w:top w:color="000000" w:sz="5" w:val="single"/>
              <w:left w:color="000000" w:sz="5" w:val="single"/>
              <w:bottom w:color="000000" w:sz="10" w:val="single"/>
              <w:right w:color="000000" w:sz="5" w:val="single"/>
            </w:tcBorders>
            <w:shd w:fill="auto" w:val="clear"/>
            <w:tcMar>
              <w:left w:type="dxa" w:w="57"/>
              <w:right w:type="dxa" w:w="57"/>
            </w:tcMar>
            <w:vAlign w:val="bottom"/>
          </w:tcPr>
          <w:p w14:paraId="2E010000">
            <w:pPr>
              <w:pStyle w:val="Style_5"/>
              <w:ind/>
              <w:jc w:val="both"/>
              <w:rPr>
                <w:sz w:val="22"/>
              </w:rPr>
            </w:pPr>
          </w:p>
        </w:tc>
        <w:tc>
          <w:tcPr>
            <w:tcW w:type="dxa" w:w="1150"/>
            <w:gridSpan w:val="4"/>
            <w:tcBorders>
              <w:top w:color="000000" w:sz="5" w:val="single"/>
              <w:left w:color="000000" w:sz="5" w:val="single"/>
              <w:bottom w:color="000000" w:sz="10" w:val="single"/>
              <w:right w:color="000000" w:sz="10" w:val="single"/>
            </w:tcBorders>
            <w:shd w:fill="auto" w:val="clear"/>
            <w:tcMar>
              <w:left w:type="dxa" w:w="57"/>
              <w:right w:type="dxa" w:w="57"/>
            </w:tcMar>
            <w:vAlign w:val="bottom"/>
          </w:tcPr>
          <w:p w14:paraId="2F010000">
            <w:pPr>
              <w:pStyle w:val="Style_5"/>
              <w:ind/>
              <w:jc w:val="both"/>
              <w:rPr>
                <w:sz w:val="22"/>
              </w:rPr>
            </w:pPr>
          </w:p>
        </w:tc>
      </w:tr>
    </w:tbl>
    <w:p w14:paraId="30010000">
      <w:pPr>
        <w:pStyle w:val="Style_5"/>
        <w:ind/>
        <w:jc w:val="both"/>
        <w:rPr>
          <w:sz w:val="22"/>
        </w:rPr>
      </w:pPr>
    </w:p>
    <w:p w14:paraId="31010000">
      <w:pPr>
        <w:pStyle w:val="Style_5"/>
        <w:ind/>
        <w:jc w:val="both"/>
        <w:rPr>
          <w:sz w:val="22"/>
        </w:rPr>
      </w:pPr>
    </w:p>
    <w:p w14:paraId="32010000">
      <w:pPr>
        <w:pStyle w:val="Style_5"/>
        <w:ind/>
        <w:jc w:val="both"/>
        <w:rPr>
          <w:sz w:val="22"/>
        </w:rPr>
      </w:pPr>
    </w:p>
    <w:p w14:paraId="33010000">
      <w:pPr>
        <w:pStyle w:val="Style_5"/>
        <w:ind/>
        <w:jc w:val="both"/>
        <w:rPr>
          <w:sz w:val="22"/>
        </w:rPr>
      </w:pPr>
    </w:p>
    <w:p w14:paraId="34010000">
      <w:pPr>
        <w:pStyle w:val="Style_5"/>
        <w:ind/>
        <w:jc w:val="both"/>
        <w:rPr>
          <w:sz w:val="22"/>
        </w:rPr>
      </w:pPr>
      <w:r>
        <w:rPr>
          <w:sz w:val="22"/>
        </w:rPr>
        <w:t>Итого:</w:t>
      </w:r>
      <w:r>
        <w:rPr>
          <w:sz w:val="22"/>
        </w:rPr>
        <w:t xml:space="preserve"> </w:t>
      </w:r>
      <w:r>
        <w:rPr>
          <w:sz w:val="22"/>
        </w:rPr>
        <w:t>составляет _____</w:t>
      </w:r>
      <w:r>
        <w:rPr>
          <w:sz w:val="22"/>
        </w:rPr>
        <w:t xml:space="preserve"> </w:t>
      </w:r>
      <w:r>
        <w:rPr>
          <w:sz w:val="22"/>
        </w:rPr>
        <w:t>(______</w:t>
      </w:r>
      <w:r>
        <w:rPr>
          <w:sz w:val="22"/>
        </w:rPr>
        <w:t>)</w:t>
      </w:r>
      <w:r>
        <w:rPr>
          <w:sz w:val="22"/>
        </w:rPr>
        <w:t xml:space="preserve"> рублей __</w:t>
      </w:r>
      <w:r>
        <w:rPr>
          <w:sz w:val="22"/>
        </w:rPr>
        <w:t xml:space="preserve"> </w:t>
      </w:r>
      <w:r>
        <w:rPr>
          <w:sz w:val="22"/>
        </w:rPr>
        <w:t>копе</w:t>
      </w:r>
      <w:r>
        <w:rPr>
          <w:sz w:val="22"/>
        </w:rPr>
        <w:t>е</w:t>
      </w:r>
      <w:r>
        <w:rPr>
          <w:sz w:val="22"/>
        </w:rPr>
        <w:t>к</w:t>
      </w:r>
      <w:r>
        <w:rPr>
          <w:sz w:val="22"/>
        </w:rPr>
        <w:t xml:space="preserve">, </w:t>
      </w:r>
      <w:r>
        <w:rPr>
          <w:sz w:val="22"/>
        </w:rPr>
        <w:t xml:space="preserve">в том числе </w:t>
      </w:r>
      <w:r>
        <w:rPr>
          <w:sz w:val="22"/>
        </w:rPr>
        <w:t>НДС</w:t>
      </w:r>
      <w:r>
        <w:rPr>
          <w:sz w:val="22"/>
        </w:rPr>
        <w:t xml:space="preserve"> </w:t>
      </w:r>
      <w:r>
        <w:rPr>
          <w:sz w:val="22"/>
        </w:rPr>
        <w:t>% в размере ________</w:t>
      </w:r>
      <w:r>
        <w:rPr>
          <w:sz w:val="22"/>
        </w:rPr>
        <w:t xml:space="preserve"> рублей ___ </w:t>
      </w:r>
      <w:r>
        <w:rPr>
          <w:sz w:val="22"/>
        </w:rPr>
        <w:t xml:space="preserve"> копейки</w:t>
      </w:r>
      <w:r>
        <w:rPr>
          <w:sz w:val="22"/>
        </w:rPr>
        <w:t>.</w:t>
      </w:r>
    </w:p>
    <w:p w14:paraId="35010000">
      <w:pPr>
        <w:pStyle w:val="Style_5"/>
        <w:ind/>
        <w:jc w:val="both"/>
        <w:rPr>
          <w:sz w:val="22"/>
        </w:rPr>
      </w:pPr>
    </w:p>
    <w:p w14:paraId="36010000">
      <w:pPr>
        <w:pStyle w:val="Style_5"/>
        <w:ind/>
        <w:jc w:val="both"/>
        <w:rPr>
          <w:sz w:val="22"/>
        </w:rPr>
      </w:pPr>
    </w:p>
    <w:p w14:paraId="37010000">
      <w:pPr>
        <w:pStyle w:val="Style_5"/>
        <w:ind/>
        <w:jc w:val="both"/>
        <w:rPr>
          <w:sz w:val="22"/>
        </w:rPr>
      </w:pPr>
      <w:r>
        <w:rPr>
          <w:sz w:val="22"/>
        </w:rPr>
        <w:t>Подписи сторон:</w:t>
      </w:r>
    </w:p>
    <w:p w14:paraId="38010000">
      <w:pPr>
        <w:pStyle w:val="Style_5"/>
        <w:ind/>
        <w:jc w:val="both"/>
        <w:rPr>
          <w:sz w:val="22"/>
        </w:rPr>
      </w:pPr>
    </w:p>
    <w:tbl>
      <w:tblPr>
        <w:tblInd w:type="dxa" w:w="0"/>
        <w:tblLayout w:type="fixed"/>
        <w:tblCellMar>
          <w:top w:type="dxa" w:w="0"/>
          <w:left w:type="dxa" w:w="108"/>
          <w:bottom w:type="dxa" w:w="0"/>
          <w:right w:type="dxa" w:w="108"/>
        </w:tblCellMar>
      </w:tblPr>
      <w:tblGrid>
        <w:gridCol w:w="5778"/>
        <w:gridCol w:w="5040"/>
        <w:gridCol w:w="5040"/>
      </w:tblGrid>
      <w:tr>
        <w:tc>
          <w:tcPr>
            <w:tcW w:type="dxa" w:w="5778"/>
            <w:tcMar>
              <w:top w:type="dxa" w:w="0"/>
              <w:left w:type="dxa" w:w="108"/>
              <w:bottom w:type="dxa" w:w="0"/>
              <w:right w:type="dxa" w:w="108"/>
            </w:tcMar>
          </w:tcPr>
          <w:p w14:paraId="39010000">
            <w:pPr>
              <w:pStyle w:val="Style_5"/>
              <w:ind/>
              <w:jc w:val="both"/>
              <w:rPr>
                <w:sz w:val="22"/>
              </w:rPr>
            </w:pPr>
            <w:r>
              <w:rPr>
                <w:sz w:val="22"/>
              </w:rPr>
              <w:t>Поставщик</w:t>
            </w:r>
          </w:p>
        </w:tc>
        <w:tc>
          <w:tcPr>
            <w:tcW w:type="dxa" w:w="5040"/>
            <w:tcMar>
              <w:top w:type="dxa" w:w="0"/>
              <w:left w:type="dxa" w:w="108"/>
              <w:bottom w:type="dxa" w:w="0"/>
              <w:right w:type="dxa" w:w="108"/>
            </w:tcMar>
          </w:tcPr>
          <w:p w14:paraId="3A010000">
            <w:pPr>
              <w:pStyle w:val="Style_5"/>
              <w:ind/>
              <w:jc w:val="both"/>
              <w:rPr>
                <w:sz w:val="22"/>
              </w:rPr>
            </w:pPr>
            <w:r>
              <w:rPr>
                <w:sz w:val="22"/>
              </w:rPr>
              <w:t>Заказчик</w:t>
            </w:r>
          </w:p>
        </w:tc>
        <w:tc>
          <w:tcPr>
            <w:tcW w:type="dxa" w:w="5040"/>
            <w:tcMar>
              <w:top w:type="dxa" w:w="0"/>
              <w:left w:type="dxa" w:w="108"/>
              <w:bottom w:type="dxa" w:w="0"/>
              <w:right w:type="dxa" w:w="108"/>
            </w:tcMar>
          </w:tcPr>
          <w:p w14:paraId="3B010000">
            <w:pPr>
              <w:pStyle w:val="Style_5"/>
              <w:ind/>
              <w:jc w:val="both"/>
              <w:rPr>
                <w:sz w:val="22"/>
              </w:rPr>
            </w:pPr>
          </w:p>
        </w:tc>
      </w:tr>
      <w:tr>
        <w:trPr>
          <w:trHeight w:hRule="atLeast" w:val="1779"/>
        </w:trPr>
        <w:tc>
          <w:tcPr>
            <w:tcW w:type="dxa" w:w="5778"/>
            <w:tcMar>
              <w:top w:type="dxa" w:w="0"/>
              <w:left w:type="dxa" w:w="108"/>
              <w:bottom w:type="dxa" w:w="0"/>
              <w:right w:type="dxa" w:w="108"/>
            </w:tcMar>
          </w:tcPr>
          <w:p w14:paraId="3C010000">
            <w:pPr>
              <w:pStyle w:val="Style_5"/>
              <w:ind/>
              <w:jc w:val="both"/>
              <w:rPr>
                <w:sz w:val="22"/>
              </w:rPr>
            </w:pPr>
          </w:p>
          <w:p w14:paraId="3D010000">
            <w:pPr>
              <w:pStyle w:val="Style_5"/>
              <w:ind/>
              <w:jc w:val="both"/>
              <w:rPr>
                <w:sz w:val="22"/>
              </w:rPr>
            </w:pPr>
          </w:p>
          <w:p w14:paraId="3E010000">
            <w:pPr>
              <w:pStyle w:val="Style_5"/>
              <w:ind/>
              <w:jc w:val="both"/>
              <w:rPr>
                <w:sz w:val="22"/>
              </w:rPr>
            </w:pPr>
          </w:p>
          <w:p w14:paraId="3F010000">
            <w:pPr>
              <w:pStyle w:val="Style_5"/>
              <w:ind/>
              <w:jc w:val="both"/>
              <w:rPr>
                <w:sz w:val="22"/>
              </w:rPr>
            </w:pPr>
            <w:r>
              <w:rPr>
                <w:sz w:val="22"/>
              </w:rPr>
              <w:t xml:space="preserve">______________ </w:t>
            </w:r>
          </w:p>
        </w:tc>
        <w:tc>
          <w:tcPr>
            <w:tcW w:type="dxa" w:w="5040"/>
            <w:tcMar>
              <w:top w:type="dxa" w:w="0"/>
              <w:left w:type="dxa" w:w="108"/>
              <w:bottom w:type="dxa" w:w="0"/>
              <w:right w:type="dxa" w:w="108"/>
            </w:tcMar>
          </w:tcPr>
          <w:p w14:paraId="40010000">
            <w:pPr>
              <w:pStyle w:val="Style_5"/>
              <w:ind/>
              <w:jc w:val="both"/>
              <w:rPr>
                <w:sz w:val="22"/>
              </w:rPr>
            </w:pPr>
            <w:r>
              <w:rPr>
                <w:sz w:val="22"/>
              </w:rPr>
              <w:t xml:space="preserve">Директор </w:t>
            </w:r>
          </w:p>
          <w:p w14:paraId="41010000">
            <w:pPr>
              <w:pStyle w:val="Style_5"/>
              <w:ind/>
              <w:jc w:val="both"/>
              <w:rPr>
                <w:sz w:val="22"/>
              </w:rPr>
            </w:pPr>
            <w:r>
              <w:rPr>
                <w:sz w:val="22"/>
              </w:rPr>
              <w:t xml:space="preserve">ЛОГБУ «Сясьстройский </w:t>
            </w:r>
            <w:r>
              <w:rPr>
                <w:sz w:val="22"/>
              </w:rPr>
              <w:t>ДСП</w:t>
            </w:r>
            <w:r>
              <w:rPr>
                <w:sz w:val="22"/>
              </w:rPr>
              <w:t>»</w:t>
            </w:r>
          </w:p>
          <w:p w14:paraId="42010000">
            <w:pPr>
              <w:pStyle w:val="Style_5"/>
              <w:ind/>
              <w:jc w:val="both"/>
              <w:rPr>
                <w:sz w:val="22"/>
              </w:rPr>
            </w:pPr>
          </w:p>
          <w:p w14:paraId="43010000">
            <w:pPr>
              <w:pStyle w:val="Style_5"/>
              <w:ind/>
              <w:jc w:val="both"/>
              <w:rPr>
                <w:sz w:val="22"/>
              </w:rPr>
            </w:pPr>
            <w:r>
              <w:rPr>
                <w:sz w:val="22"/>
              </w:rPr>
              <w:t>______________ Журавель М.Б.</w:t>
            </w:r>
          </w:p>
        </w:tc>
        <w:tc>
          <w:tcPr>
            <w:tcW w:type="dxa" w:w="5040"/>
            <w:tcMar>
              <w:top w:type="dxa" w:w="0"/>
              <w:left w:type="dxa" w:w="108"/>
              <w:bottom w:type="dxa" w:w="0"/>
              <w:right w:type="dxa" w:w="108"/>
            </w:tcMar>
          </w:tcPr>
          <w:p w14:paraId="44010000">
            <w:pPr>
              <w:pStyle w:val="Style_5"/>
              <w:ind/>
              <w:jc w:val="both"/>
              <w:rPr>
                <w:sz w:val="22"/>
              </w:rPr>
            </w:pPr>
          </w:p>
        </w:tc>
      </w:tr>
    </w:tbl>
    <w:p w14:paraId="45010000">
      <w:pPr>
        <w:pStyle w:val="Style_3"/>
        <w:ind/>
        <w:jc w:val="both"/>
      </w:pPr>
    </w:p>
    <w:sectPr>
      <w:headerReference r:id="rId1" w:type="default"/>
      <w:footerReference r:id="rId2" w:type="default"/>
      <w:pgSz w:h="16838" w:orient="portrait" w:w="11906"/>
      <w:pgMar w:bottom="1082" w:footer="358" w:gutter="0" w:header="567" w:left="1418" w:right="851" w:top="624"/>
      <w:pgNumType w:start="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2000000">
    <w:pPr>
      <w:pStyle w:val="Style_2"/>
    </w:pPr>
    <w:r>
      <w:t>Поставщик _________________ /</w:t>
    </w:r>
    <w:r>
      <w:t>Е.А.Заиончковская</w:t>
    </w:r>
    <w:r>
      <w:t xml:space="preserve">/ </w:t>
    </w:r>
    <w:r>
      <w:tab/>
    </w:r>
    <w:r>
      <w:t xml:space="preserve">          Покупатель _________________/ </w:t>
    </w:r>
    <w:r>
      <w:t>_____________</w:t>
    </w:r>
    <w:r>
      <w:t>/</w:t>
    </w:r>
  </w:p>
  <w:p w14:paraId="03000000">
    <w:pPr>
      <w:pStyle w:val="Style_2"/>
      <w:ind/>
      <w:jc w:val="center"/>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1000000">
    <w:pPr>
      <w:pStyle w:val="Style_1"/>
      <w:ind/>
      <w:jc w:val="center"/>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pPr>
      <w:widowControl w:val="0"/>
      <w:ind/>
    </w:pPr>
  </w:style>
  <w:style w:default="1" w:styleId="Style_5_ch" w:type="character">
    <w:name w:val="Normal"/>
    <w:link w:val="Style_5"/>
  </w:style>
  <w:style w:styleId="Style_8" w:type="paragraph">
    <w:name w:val="Text body"/>
    <w:basedOn w:val="Style_3"/>
    <w:link w:val="Style_8_ch"/>
    <w:pPr>
      <w:spacing w:after="120"/>
      <w:ind/>
    </w:pPr>
  </w:style>
  <w:style w:styleId="Style_8_ch" w:type="character">
    <w:name w:val="Text body"/>
    <w:basedOn w:val="Style_3_ch"/>
    <w:link w:val="Style_8"/>
  </w:style>
  <w:style w:styleId="Style_9" w:type="paragraph">
    <w:name w:val="toc 2"/>
    <w:next w:val="Style_5"/>
    <w:link w:val="Style_9_ch"/>
    <w:uiPriority w:val="39"/>
    <w:pPr>
      <w:ind w:firstLine="0" w:left="200"/>
      <w:jc w:val="left"/>
    </w:pPr>
    <w:rPr>
      <w:rFonts w:ascii="XO Thames" w:hAnsi="XO Thames"/>
      <w:sz w:val="28"/>
    </w:rPr>
  </w:style>
  <w:style w:styleId="Style_9_ch" w:type="character">
    <w:name w:val="toc 2"/>
    <w:link w:val="Style_9"/>
    <w:rPr>
      <w:rFonts w:ascii="XO Thames" w:hAnsi="XO Thames"/>
      <w:sz w:val="28"/>
    </w:rPr>
  </w:style>
  <w:style w:styleId="Style_10" w:type="paragraph">
    <w:name w:val="annotation subject"/>
    <w:basedOn w:val="Style_11"/>
    <w:next w:val="Style_11"/>
    <w:link w:val="Style_10_ch"/>
    <w:rPr>
      <w:b w:val="1"/>
    </w:rPr>
  </w:style>
  <w:style w:styleId="Style_10_ch" w:type="character">
    <w:name w:val="annotation subject"/>
    <w:basedOn w:val="Style_11_ch"/>
    <w:link w:val="Style_10"/>
    <w:rPr>
      <w:b w:val="1"/>
    </w:rPr>
  </w:style>
  <w:style w:styleId="Style_12" w:type="paragraph">
    <w:name w:val="toc 4"/>
    <w:next w:val="Style_5"/>
    <w:link w:val="Style_12_ch"/>
    <w:uiPriority w:val="39"/>
    <w:pPr>
      <w:ind w:firstLine="0" w:left="600"/>
      <w:jc w:val="left"/>
    </w:pPr>
    <w:rPr>
      <w:rFonts w:ascii="XO Thames" w:hAnsi="XO Thames"/>
      <w:sz w:val="28"/>
    </w:rPr>
  </w:style>
  <w:style w:styleId="Style_12_ch" w:type="character">
    <w:name w:val="toc 4"/>
    <w:link w:val="Style_12"/>
    <w:rPr>
      <w:rFonts w:ascii="XO Thames" w:hAnsi="XO Thames"/>
      <w:sz w:val="28"/>
    </w:rPr>
  </w:style>
  <w:style w:styleId="Style_13" w:type="paragraph">
    <w:name w:val="annotation reference"/>
    <w:basedOn w:val="Style_14"/>
    <w:link w:val="Style_13_ch"/>
    <w:rPr>
      <w:sz w:val="16"/>
    </w:rPr>
  </w:style>
  <w:style w:styleId="Style_13_ch" w:type="character">
    <w:name w:val="annotation reference"/>
    <w:basedOn w:val="Style_14_ch"/>
    <w:link w:val="Style_13"/>
    <w:rPr>
      <w:sz w:val="16"/>
    </w:rPr>
  </w:style>
  <w:style w:styleId="Style_15" w:type="paragraph">
    <w:name w:val="toc 6"/>
    <w:next w:val="Style_5"/>
    <w:link w:val="Style_15_ch"/>
    <w:uiPriority w:val="39"/>
    <w:pPr>
      <w:ind w:firstLine="0" w:left="1000"/>
      <w:jc w:val="left"/>
    </w:pPr>
    <w:rPr>
      <w:rFonts w:ascii="XO Thames" w:hAnsi="XO Thames"/>
      <w:sz w:val="28"/>
    </w:rPr>
  </w:style>
  <w:style w:styleId="Style_15_ch" w:type="character">
    <w:name w:val="toc 6"/>
    <w:link w:val="Style_15"/>
    <w:rPr>
      <w:rFonts w:ascii="XO Thames" w:hAnsi="XO Thames"/>
      <w:sz w:val="28"/>
    </w:rPr>
  </w:style>
  <w:style w:styleId="Style_16" w:type="paragraph">
    <w:name w:val="toc 7"/>
    <w:next w:val="Style_5"/>
    <w:link w:val="Style_16_ch"/>
    <w:uiPriority w:val="39"/>
    <w:pPr>
      <w:ind w:firstLine="0" w:left="1200"/>
      <w:jc w:val="left"/>
    </w:pPr>
    <w:rPr>
      <w:rFonts w:ascii="XO Thames" w:hAnsi="XO Thames"/>
      <w:sz w:val="28"/>
    </w:rPr>
  </w:style>
  <w:style w:styleId="Style_16_ch" w:type="character">
    <w:name w:val="toc 7"/>
    <w:link w:val="Style_16"/>
    <w:rPr>
      <w:rFonts w:ascii="XO Thames" w:hAnsi="XO Thames"/>
      <w:sz w:val="28"/>
    </w:rPr>
  </w:style>
  <w:style w:styleId="Style_17" w:type="paragraph">
    <w:name w:val="Нижний колонтитул Знак"/>
    <w:basedOn w:val="Style_14"/>
    <w:link w:val="Style_17_ch"/>
  </w:style>
  <w:style w:styleId="Style_17_ch" w:type="character">
    <w:name w:val="Нижний колонтитул Знак"/>
    <w:basedOn w:val="Style_14_ch"/>
    <w:link w:val="Style_17"/>
  </w:style>
  <w:style w:styleId="Style_18" w:type="paragraph">
    <w:name w:val="Balloon Text"/>
    <w:basedOn w:val="Style_3"/>
    <w:link w:val="Style_18_ch"/>
    <w:rPr>
      <w:rFonts w:ascii="Segoe UI" w:hAnsi="Segoe UI"/>
      <w:sz w:val="18"/>
    </w:rPr>
  </w:style>
  <w:style w:styleId="Style_18_ch" w:type="character">
    <w:name w:val="Balloon Text"/>
    <w:basedOn w:val="Style_3_ch"/>
    <w:link w:val="Style_18"/>
    <w:rPr>
      <w:rFonts w:ascii="Segoe UI" w:hAnsi="Segoe UI"/>
      <w:sz w:val="18"/>
    </w:rPr>
  </w:style>
  <w:style w:styleId="Style_19" w:type="paragraph">
    <w:name w:val="page number"/>
    <w:basedOn w:val="Style_20"/>
    <w:link w:val="Style_19_ch"/>
  </w:style>
  <w:style w:styleId="Style_19_ch" w:type="character">
    <w:name w:val="page number"/>
    <w:basedOn w:val="Style_20_ch"/>
    <w:link w:val="Style_19"/>
  </w:style>
  <w:style w:styleId="Style_21" w:type="paragraph">
    <w:name w:val="heading 3"/>
    <w:basedOn w:val="Style_3"/>
    <w:next w:val="Style_5"/>
    <w:link w:val="Style_21_ch"/>
    <w:uiPriority w:val="9"/>
    <w:qFormat/>
    <w:pPr>
      <w:keepNext w:val="1"/>
      <w:ind/>
      <w:outlineLvl w:val="2"/>
    </w:pPr>
    <w:rPr>
      <w:i w:val="1"/>
    </w:rPr>
  </w:style>
  <w:style w:styleId="Style_21_ch" w:type="character">
    <w:name w:val="heading 3"/>
    <w:basedOn w:val="Style_3_ch"/>
    <w:link w:val="Style_21"/>
    <w:rPr>
      <w:i w:val="1"/>
    </w:rPr>
  </w:style>
  <w:style w:styleId="Style_22" w:type="paragraph">
    <w:name w:val="Указатель1"/>
    <w:basedOn w:val="Style_3"/>
    <w:link w:val="Style_22_ch"/>
  </w:style>
  <w:style w:styleId="Style_22_ch" w:type="character">
    <w:name w:val="Указатель1"/>
    <w:basedOn w:val="Style_3_ch"/>
    <w:link w:val="Style_22"/>
  </w:style>
  <w:style w:styleId="Style_23" w:type="paragraph">
    <w:name w:val="Ii?iaeuiue1"/>
    <w:link w:val="Style_23_ch"/>
    <w:pPr>
      <w:spacing w:after="120"/>
      <w:ind/>
      <w:jc w:val="both"/>
    </w:pPr>
    <w:rPr>
      <w:rFonts w:ascii="Baltica" w:hAnsi="Baltica"/>
      <w:color w:val="00000A"/>
      <w:sz w:val="24"/>
    </w:rPr>
  </w:style>
  <w:style w:styleId="Style_23_ch" w:type="character">
    <w:name w:val="Ii?iaeuiue1"/>
    <w:link w:val="Style_23"/>
    <w:rPr>
      <w:rFonts w:ascii="Baltica" w:hAnsi="Baltica"/>
      <w:color w:val="00000A"/>
      <w:sz w:val="24"/>
    </w:rPr>
  </w:style>
  <w:style w:styleId="Style_24" w:type="paragraph">
    <w:name w:val="Содержимое врезки"/>
    <w:basedOn w:val="Style_8"/>
    <w:link w:val="Style_24_ch"/>
  </w:style>
  <w:style w:styleId="Style_24_ch" w:type="character">
    <w:name w:val="Содержимое врезки"/>
    <w:basedOn w:val="Style_8_ch"/>
    <w:link w:val="Style_24"/>
  </w:style>
  <w:style w:styleId="Style_25" w:type="paragraph">
    <w:name w:val="Колонтитул"/>
    <w:basedOn w:val="Style_5"/>
    <w:link w:val="Style_25_ch"/>
  </w:style>
  <w:style w:styleId="Style_25_ch" w:type="character">
    <w:name w:val="Колонтитул"/>
    <w:basedOn w:val="Style_5_ch"/>
    <w:link w:val="Style_25"/>
  </w:style>
  <w:style w:styleId="Style_26" w:type="paragraph">
    <w:name w:val="Заголовок1"/>
    <w:basedOn w:val="Style_3"/>
    <w:link w:val="Style_26_ch"/>
    <w:pPr>
      <w:keepNext w:val="1"/>
      <w:spacing w:after="120" w:before="240"/>
      <w:ind/>
    </w:pPr>
    <w:rPr>
      <w:rFonts w:ascii="Arial" w:hAnsi="Arial"/>
      <w:sz w:val="28"/>
    </w:rPr>
  </w:style>
  <w:style w:styleId="Style_26_ch" w:type="character">
    <w:name w:val="Заголовок1"/>
    <w:basedOn w:val="Style_3_ch"/>
    <w:link w:val="Style_26"/>
    <w:rPr>
      <w:rFonts w:ascii="Arial" w:hAnsi="Arial"/>
      <w:sz w:val="28"/>
    </w:rPr>
  </w:style>
  <w:style w:styleId="Style_27" w:type="paragraph">
    <w:name w:val="toc 3"/>
    <w:next w:val="Style_5"/>
    <w:link w:val="Style_27_ch"/>
    <w:uiPriority w:val="39"/>
    <w:pPr>
      <w:ind w:firstLine="0" w:left="400"/>
      <w:jc w:val="left"/>
    </w:pPr>
    <w:rPr>
      <w:rFonts w:ascii="XO Thames" w:hAnsi="XO Thames"/>
      <w:sz w:val="28"/>
    </w:rPr>
  </w:style>
  <w:style w:styleId="Style_27_ch" w:type="character">
    <w:name w:val="toc 3"/>
    <w:link w:val="Style_27"/>
    <w:rPr>
      <w:rFonts w:ascii="XO Thames" w:hAnsi="XO Thames"/>
      <w:sz w:val="28"/>
    </w:rPr>
  </w:style>
  <w:style w:styleId="Style_28" w:type="paragraph">
    <w:name w:val="Указатель11"/>
    <w:basedOn w:val="Style_3"/>
    <w:link w:val="Style_28_ch"/>
    <w:rPr>
      <w:sz w:val="24"/>
    </w:rPr>
  </w:style>
  <w:style w:styleId="Style_28_ch" w:type="character">
    <w:name w:val="Указатель11"/>
    <w:basedOn w:val="Style_3_ch"/>
    <w:link w:val="Style_28"/>
    <w:rPr>
      <w:sz w:val="24"/>
    </w:rPr>
  </w:style>
  <w:style w:styleId="Style_29" w:type="paragraph">
    <w:name w:val="Верхний колонтитул Знак"/>
    <w:link w:val="Style_29_ch"/>
    <w:rPr>
      <w:color w:val="00000A"/>
    </w:rPr>
  </w:style>
  <w:style w:styleId="Style_29_ch" w:type="character">
    <w:name w:val="Верхний колонтитул Знак"/>
    <w:link w:val="Style_29"/>
    <w:rPr>
      <w:color w:val="00000A"/>
    </w:rPr>
  </w:style>
  <w:style w:styleId="Style_30" w:type="paragraph">
    <w:name w:val="Символ нумерации"/>
    <w:link w:val="Style_30_ch"/>
  </w:style>
  <w:style w:styleId="Style_30_ch" w:type="character">
    <w:name w:val="Символ нумерации"/>
    <w:link w:val="Style_30"/>
  </w:style>
  <w:style w:styleId="Style_31" w:type="paragraph">
    <w:name w:val="No Spacing"/>
    <w:link w:val="Style_31_ch"/>
    <w:rPr>
      <w:sz w:val="22"/>
    </w:rPr>
  </w:style>
  <w:style w:styleId="Style_31_ch" w:type="character">
    <w:name w:val="No Spacing"/>
    <w:link w:val="Style_31"/>
    <w:rPr>
      <w:sz w:val="22"/>
    </w:rPr>
  </w:style>
  <w:style w:styleId="Style_32" w:type="paragraph">
    <w:name w:val="Тема примечания Знак"/>
    <w:basedOn w:val="Style_33"/>
    <w:link w:val="Style_32_ch"/>
    <w:rPr>
      <w:b w:val="1"/>
    </w:rPr>
  </w:style>
  <w:style w:styleId="Style_32_ch" w:type="character">
    <w:name w:val="Тема примечания Знак"/>
    <w:basedOn w:val="Style_33_ch"/>
    <w:link w:val="Style_32"/>
    <w:rPr>
      <w:b w:val="1"/>
    </w:rPr>
  </w:style>
  <w:style w:styleId="Style_1" w:type="paragraph">
    <w:name w:val="header"/>
    <w:basedOn w:val="Style_3"/>
    <w:link w:val="Style_1_ch"/>
    <w:pPr>
      <w:tabs>
        <w:tab w:leader="none" w:pos="4536" w:val="center"/>
        <w:tab w:leader="none" w:pos="9072" w:val="right"/>
      </w:tabs>
      <w:ind/>
    </w:pPr>
  </w:style>
  <w:style w:styleId="Style_1_ch" w:type="character">
    <w:name w:val="header"/>
    <w:basedOn w:val="Style_3_ch"/>
    <w:link w:val="Style_1"/>
  </w:style>
  <w:style w:styleId="Style_33" w:type="paragraph">
    <w:name w:val="Текст примечания Знак"/>
    <w:basedOn w:val="Style_14"/>
    <w:link w:val="Style_33_ch"/>
  </w:style>
  <w:style w:styleId="Style_33_ch" w:type="character">
    <w:name w:val="Текст примечания Знак"/>
    <w:basedOn w:val="Style_14_ch"/>
    <w:link w:val="Style_33"/>
  </w:style>
  <w:style w:styleId="Style_34" w:type="paragraph">
    <w:name w:val="Ii?iaeuiue"/>
    <w:link w:val="Style_34_ch"/>
    <w:pPr>
      <w:spacing w:after="120"/>
      <w:ind/>
      <w:jc w:val="both"/>
    </w:pPr>
    <w:rPr>
      <w:rFonts w:ascii="Baltica" w:hAnsi="Baltica"/>
      <w:color w:val="00000A"/>
      <w:sz w:val="24"/>
    </w:rPr>
  </w:style>
  <w:style w:styleId="Style_34_ch" w:type="character">
    <w:name w:val="Ii?iaeuiue"/>
    <w:link w:val="Style_34"/>
    <w:rPr>
      <w:rFonts w:ascii="Baltica" w:hAnsi="Baltica"/>
      <w:color w:val="00000A"/>
      <w:sz w:val="24"/>
    </w:rPr>
  </w:style>
  <w:style w:styleId="Style_35" w:type="paragraph">
    <w:name w:val="heading 5"/>
    <w:basedOn w:val="Style_3"/>
    <w:next w:val="Style_5"/>
    <w:link w:val="Style_35_ch"/>
    <w:uiPriority w:val="9"/>
    <w:qFormat/>
    <w:pPr>
      <w:keepNext w:val="1"/>
      <w:ind/>
      <w:jc w:val="center"/>
      <w:outlineLvl w:val="4"/>
    </w:pPr>
    <w:rPr>
      <w:sz w:val="24"/>
    </w:rPr>
  </w:style>
  <w:style w:styleId="Style_35_ch" w:type="character">
    <w:name w:val="heading 5"/>
    <w:basedOn w:val="Style_3_ch"/>
    <w:link w:val="Style_35"/>
    <w:rPr>
      <w:sz w:val="24"/>
    </w:rPr>
  </w:style>
  <w:style w:styleId="Style_11" w:type="paragraph">
    <w:name w:val="annotation text"/>
    <w:basedOn w:val="Style_3"/>
    <w:link w:val="Style_11_ch"/>
  </w:style>
  <w:style w:styleId="Style_11_ch" w:type="character">
    <w:name w:val="annotation text"/>
    <w:basedOn w:val="Style_3_ch"/>
    <w:link w:val="Style_11"/>
  </w:style>
  <w:style w:styleId="Style_14" w:type="paragraph">
    <w:name w:val="Default Paragraph Font"/>
    <w:link w:val="Style_14_ch"/>
  </w:style>
  <w:style w:styleId="Style_14_ch" w:type="character">
    <w:name w:val="Default Paragraph Font"/>
    <w:link w:val="Style_14"/>
  </w:style>
  <w:style w:styleId="Style_36" w:type="paragraph">
    <w:name w:val="heading 1"/>
    <w:basedOn w:val="Style_3"/>
    <w:next w:val="Style_5"/>
    <w:link w:val="Style_36_ch"/>
    <w:uiPriority w:val="9"/>
    <w:qFormat/>
    <w:pPr>
      <w:keepNext w:val="1"/>
      <w:spacing w:line="240" w:lineRule="atLeast"/>
      <w:ind w:firstLine="720" w:left="0"/>
      <w:outlineLvl w:val="0"/>
    </w:pPr>
    <w:rPr>
      <w:b w:val="1"/>
      <w:sz w:val="24"/>
    </w:rPr>
  </w:style>
  <w:style w:styleId="Style_36_ch" w:type="character">
    <w:name w:val="heading 1"/>
    <w:basedOn w:val="Style_3_ch"/>
    <w:link w:val="Style_36"/>
    <w:rPr>
      <w:b w:val="1"/>
      <w:sz w:val="24"/>
    </w:rPr>
  </w:style>
  <w:style w:styleId="Style_37" w:type="paragraph">
    <w:name w:val="Верхний и нижний колонтитулы"/>
    <w:basedOn w:val="Style_5"/>
    <w:link w:val="Style_37_ch"/>
  </w:style>
  <w:style w:styleId="Style_37_ch" w:type="character">
    <w:name w:val="Верхний и нижний колонтитулы"/>
    <w:basedOn w:val="Style_5_ch"/>
    <w:link w:val="Style_37"/>
  </w:style>
  <w:style w:styleId="Style_38" w:type="paragraph">
    <w:name w:val="Hyperlink"/>
    <w:link w:val="Style_38_ch"/>
    <w:rPr>
      <w:color w:val="0000FF"/>
      <w:u w:val="single"/>
    </w:rPr>
  </w:style>
  <w:style w:styleId="Style_38_ch" w:type="character">
    <w:name w:val="Hyperlink"/>
    <w:link w:val="Style_38"/>
    <w:rPr>
      <w:color w:val="0000FF"/>
      <w:u w:val="single"/>
    </w:rPr>
  </w:style>
  <w:style w:styleId="Style_39" w:type="paragraph">
    <w:name w:val="Footnote"/>
    <w:link w:val="Style_39_ch"/>
    <w:pPr>
      <w:ind w:firstLine="851" w:left="0"/>
      <w:jc w:val="both"/>
    </w:pPr>
    <w:rPr>
      <w:rFonts w:ascii="XO Thames" w:hAnsi="XO Thames"/>
      <w:sz w:val="22"/>
    </w:rPr>
  </w:style>
  <w:style w:styleId="Style_39_ch" w:type="character">
    <w:name w:val="Footnote"/>
    <w:link w:val="Style_39"/>
    <w:rPr>
      <w:rFonts w:ascii="XO Thames" w:hAnsi="XO Thames"/>
      <w:sz w:val="22"/>
    </w:rPr>
  </w:style>
  <w:style w:styleId="Style_40" w:type="paragraph">
    <w:name w:val="toc 1"/>
    <w:next w:val="Style_5"/>
    <w:link w:val="Style_40_ch"/>
    <w:uiPriority w:val="39"/>
    <w:pPr>
      <w:ind w:firstLine="0" w:left="0"/>
      <w:jc w:val="left"/>
    </w:pPr>
    <w:rPr>
      <w:rFonts w:ascii="XO Thames" w:hAnsi="XO Thames"/>
      <w:b w:val="1"/>
      <w:sz w:val="28"/>
    </w:rPr>
  </w:style>
  <w:style w:styleId="Style_40_ch" w:type="character">
    <w:name w:val="toc 1"/>
    <w:link w:val="Style_40"/>
    <w:rPr>
      <w:rFonts w:ascii="XO Thames" w:hAnsi="XO Thames"/>
      <w:b w:val="1"/>
      <w:sz w:val="28"/>
    </w:rPr>
  </w:style>
  <w:style w:styleId="Style_41" w:type="paragraph">
    <w:name w:val="Header and Footer"/>
    <w:link w:val="Style_41_ch"/>
    <w:pPr>
      <w:spacing w:line="240" w:lineRule="auto"/>
      <w:ind/>
      <w:jc w:val="both"/>
    </w:pPr>
    <w:rPr>
      <w:rFonts w:ascii="XO Thames" w:hAnsi="XO Thames"/>
      <w:sz w:val="20"/>
    </w:rPr>
  </w:style>
  <w:style w:styleId="Style_41_ch" w:type="character">
    <w:name w:val="Header and Footer"/>
    <w:link w:val="Style_41"/>
    <w:rPr>
      <w:rFonts w:ascii="XO Thames" w:hAnsi="XO Thames"/>
      <w:sz w:val="20"/>
    </w:rPr>
  </w:style>
  <w:style w:styleId="Style_42" w:type="paragraph">
    <w:name w:val="Основной текст с отступом 31"/>
    <w:basedOn w:val="Style_3"/>
    <w:link w:val="Style_42_ch"/>
    <w:pPr>
      <w:ind w:firstLine="709" w:left="0"/>
      <w:jc w:val="both"/>
    </w:pPr>
    <w:rPr>
      <w:sz w:val="22"/>
    </w:rPr>
  </w:style>
  <w:style w:styleId="Style_42_ch" w:type="character">
    <w:name w:val="Основной текст с отступом 31"/>
    <w:basedOn w:val="Style_3_ch"/>
    <w:link w:val="Style_42"/>
    <w:rPr>
      <w:sz w:val="22"/>
    </w:rPr>
  </w:style>
  <w:style w:styleId="Style_43" w:type="paragraph">
    <w:name w:val="Знак примечания1"/>
    <w:basedOn w:val="Style_20"/>
    <w:link w:val="Style_43_ch"/>
    <w:rPr>
      <w:sz w:val="16"/>
    </w:rPr>
  </w:style>
  <w:style w:styleId="Style_43_ch" w:type="character">
    <w:name w:val="Знак примечания1"/>
    <w:basedOn w:val="Style_20_ch"/>
    <w:link w:val="Style_43"/>
    <w:rPr>
      <w:sz w:val="16"/>
    </w:rPr>
  </w:style>
  <w:style w:styleId="Style_44" w:type="paragraph">
    <w:name w:val="toc 9"/>
    <w:next w:val="Style_5"/>
    <w:link w:val="Style_44_ch"/>
    <w:uiPriority w:val="39"/>
    <w:pPr>
      <w:ind w:firstLine="0" w:left="1600"/>
      <w:jc w:val="left"/>
    </w:pPr>
    <w:rPr>
      <w:rFonts w:ascii="XO Thames" w:hAnsi="XO Thames"/>
      <w:sz w:val="28"/>
    </w:rPr>
  </w:style>
  <w:style w:styleId="Style_44_ch" w:type="character">
    <w:name w:val="toc 9"/>
    <w:link w:val="Style_44"/>
    <w:rPr>
      <w:rFonts w:ascii="XO Thames" w:hAnsi="XO Thames"/>
      <w:sz w:val="28"/>
    </w:rPr>
  </w:style>
  <w:style w:styleId="Style_45" w:type="paragraph">
    <w:name w:val="Название1"/>
    <w:basedOn w:val="Style_3"/>
    <w:link w:val="Style_45_ch"/>
    <w:pPr>
      <w:spacing w:after="120" w:before="120"/>
      <w:ind/>
    </w:pPr>
    <w:rPr>
      <w:i w:val="1"/>
      <w:sz w:val="24"/>
    </w:rPr>
  </w:style>
  <w:style w:styleId="Style_45_ch" w:type="character">
    <w:name w:val="Название1"/>
    <w:basedOn w:val="Style_3_ch"/>
    <w:link w:val="Style_45"/>
    <w:rPr>
      <w:i w:val="1"/>
      <w:sz w:val="24"/>
    </w:rPr>
  </w:style>
  <w:style w:styleId="Style_46" w:type="paragraph">
    <w:name w:val="List Paragraph"/>
    <w:basedOn w:val="Style_3"/>
    <w:link w:val="Style_46_ch"/>
    <w:pPr>
      <w:ind w:firstLine="0" w:left="720"/>
    </w:pPr>
  </w:style>
  <w:style w:styleId="Style_46_ch" w:type="character">
    <w:name w:val="List Paragraph"/>
    <w:basedOn w:val="Style_3_ch"/>
    <w:link w:val="Style_46"/>
  </w:style>
  <w:style w:styleId="Style_6" w:type="paragraph">
    <w:name w:val="Основной текст с отступом 21"/>
    <w:basedOn w:val="Style_3"/>
    <w:link w:val="Style_6_ch"/>
    <w:pPr>
      <w:ind w:firstLine="709" w:left="0"/>
    </w:pPr>
    <w:rPr>
      <w:sz w:val="22"/>
    </w:rPr>
  </w:style>
  <w:style w:styleId="Style_6_ch" w:type="character">
    <w:name w:val="Основной текст с отступом 21"/>
    <w:basedOn w:val="Style_3_ch"/>
    <w:link w:val="Style_6"/>
    <w:rPr>
      <w:sz w:val="22"/>
    </w:rPr>
  </w:style>
  <w:style w:styleId="Style_47" w:type="paragraph">
    <w:name w:val="toc 8"/>
    <w:next w:val="Style_5"/>
    <w:link w:val="Style_47_ch"/>
    <w:uiPriority w:val="39"/>
    <w:pPr>
      <w:ind w:firstLine="0" w:left="1400"/>
      <w:jc w:val="left"/>
    </w:pPr>
    <w:rPr>
      <w:rFonts w:ascii="XO Thames" w:hAnsi="XO Thames"/>
      <w:sz w:val="28"/>
    </w:rPr>
  </w:style>
  <w:style w:styleId="Style_47_ch" w:type="character">
    <w:name w:val="toc 8"/>
    <w:link w:val="Style_47"/>
    <w:rPr>
      <w:rFonts w:ascii="XO Thames" w:hAnsi="XO Thames"/>
      <w:sz w:val="28"/>
    </w:rPr>
  </w:style>
  <w:style w:styleId="Style_48" w:type="paragraph">
    <w:name w:val="Текст выноски Знак"/>
    <w:basedOn w:val="Style_14"/>
    <w:link w:val="Style_48_ch"/>
    <w:rPr>
      <w:rFonts w:ascii="Segoe UI" w:hAnsi="Segoe UI"/>
      <w:sz w:val="18"/>
    </w:rPr>
  </w:style>
  <w:style w:styleId="Style_48_ch" w:type="character">
    <w:name w:val="Текст выноски Знак"/>
    <w:basedOn w:val="Style_14_ch"/>
    <w:link w:val="Style_48"/>
    <w:rPr>
      <w:rFonts w:ascii="Segoe UI" w:hAnsi="Segoe UI"/>
      <w:sz w:val="18"/>
    </w:rPr>
  </w:style>
  <w:style w:styleId="Style_49" w:type="paragraph">
    <w:name w:val="List"/>
    <w:basedOn w:val="Style_8"/>
    <w:link w:val="Style_49_ch"/>
  </w:style>
  <w:style w:styleId="Style_49_ch" w:type="character">
    <w:name w:val="List"/>
    <w:basedOn w:val="Style_8_ch"/>
    <w:link w:val="Style_49"/>
  </w:style>
  <w:style w:styleId="Style_50" w:type="paragraph">
    <w:name w:val="Text body indent"/>
    <w:basedOn w:val="Style_3"/>
    <w:link w:val="Style_50_ch"/>
    <w:pPr>
      <w:spacing w:after="120"/>
      <w:ind w:firstLine="720" w:left="0"/>
      <w:jc w:val="both"/>
    </w:pPr>
    <w:rPr>
      <w:rFonts w:ascii="Arial" w:hAnsi="Arial"/>
      <w:sz w:val="22"/>
    </w:rPr>
  </w:style>
  <w:style w:styleId="Style_50_ch" w:type="character">
    <w:name w:val="Text body indent"/>
    <w:basedOn w:val="Style_3_ch"/>
    <w:link w:val="Style_50"/>
    <w:rPr>
      <w:rFonts w:ascii="Arial" w:hAnsi="Arial"/>
      <w:sz w:val="22"/>
    </w:rPr>
  </w:style>
  <w:style w:styleId="Style_51" w:type="paragraph">
    <w:name w:val="toc 5"/>
    <w:next w:val="Style_5"/>
    <w:link w:val="Style_51_ch"/>
    <w:uiPriority w:val="39"/>
    <w:pPr>
      <w:ind w:firstLine="0" w:left="800"/>
      <w:jc w:val="left"/>
    </w:pPr>
    <w:rPr>
      <w:rFonts w:ascii="XO Thames" w:hAnsi="XO Thames"/>
      <w:sz w:val="28"/>
    </w:rPr>
  </w:style>
  <w:style w:styleId="Style_51_ch" w:type="character">
    <w:name w:val="toc 5"/>
    <w:link w:val="Style_51"/>
    <w:rPr>
      <w:rFonts w:ascii="XO Thames" w:hAnsi="XO Thames"/>
      <w:sz w:val="28"/>
    </w:rPr>
  </w:style>
  <w:style w:styleId="Style_52" w:type="paragraph">
    <w:name w:val="WW8Num3z0"/>
    <w:link w:val="Style_52_ch"/>
    <w:rPr>
      <w:rFonts w:ascii="Times New Roman" w:hAnsi="Times New Roman"/>
      <w:b w:val="1"/>
      <w:sz w:val="24"/>
      <w:u w:val="single"/>
    </w:rPr>
  </w:style>
  <w:style w:styleId="Style_52_ch" w:type="character">
    <w:name w:val="WW8Num3z0"/>
    <w:link w:val="Style_52"/>
    <w:rPr>
      <w:rFonts w:ascii="Times New Roman" w:hAnsi="Times New Roman"/>
      <w:b w:val="1"/>
      <w:sz w:val="24"/>
      <w:u w:val="single"/>
    </w:rPr>
  </w:style>
  <w:style w:styleId="Style_53" w:type="paragraph">
    <w:name w:val="HTML Preformatted"/>
    <w:basedOn w:val="Style_3"/>
    <w:link w:val="Style_53_ch"/>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Courier New" w:hAnsi="Courier New"/>
      <w:color w:val="000000"/>
    </w:rPr>
  </w:style>
  <w:style w:styleId="Style_53_ch" w:type="character">
    <w:name w:val="HTML Preformatted"/>
    <w:basedOn w:val="Style_3_ch"/>
    <w:link w:val="Style_53"/>
    <w:rPr>
      <w:rFonts w:ascii="Courier New" w:hAnsi="Courier New"/>
      <w:color w:val="000000"/>
    </w:rPr>
  </w:style>
  <w:style w:styleId="Style_54" w:type="paragraph">
    <w:name w:val="Заголовок1"/>
    <w:basedOn w:val="Style_3"/>
    <w:next w:val="Style_8"/>
    <w:link w:val="Style_54_ch"/>
    <w:pPr>
      <w:keepNext w:val="1"/>
      <w:spacing w:after="120" w:before="240"/>
      <w:ind/>
    </w:pPr>
    <w:rPr>
      <w:sz w:val="24"/>
    </w:rPr>
  </w:style>
  <w:style w:styleId="Style_54_ch" w:type="character">
    <w:name w:val="Заголовок1"/>
    <w:basedOn w:val="Style_3_ch"/>
    <w:link w:val="Style_54"/>
    <w:rPr>
      <w:sz w:val="24"/>
    </w:rPr>
  </w:style>
  <w:style w:styleId="Style_7" w:type="paragraph">
    <w:name w:val="Содержимое таблицы"/>
    <w:basedOn w:val="Style_3"/>
    <w:link w:val="Style_7_ch"/>
  </w:style>
  <w:style w:styleId="Style_7_ch" w:type="character">
    <w:name w:val="Содержимое таблицы"/>
    <w:basedOn w:val="Style_3_ch"/>
    <w:link w:val="Style_7"/>
  </w:style>
  <w:style w:styleId="Style_55" w:type="paragraph">
    <w:name w:val="Subtitle"/>
    <w:basedOn w:val="Style_26"/>
    <w:link w:val="Style_55_ch"/>
    <w:uiPriority w:val="11"/>
    <w:qFormat/>
    <w:pPr>
      <w:ind/>
      <w:jc w:val="center"/>
    </w:pPr>
    <w:rPr>
      <w:i w:val="1"/>
    </w:rPr>
  </w:style>
  <w:style w:styleId="Style_55_ch" w:type="character">
    <w:name w:val="Subtitle"/>
    <w:basedOn w:val="Style_26_ch"/>
    <w:link w:val="Style_55"/>
    <w:rPr>
      <w:i w:val="1"/>
    </w:rPr>
  </w:style>
  <w:style w:styleId="Style_56" w:type="paragraph">
    <w:name w:val="index heading"/>
    <w:basedOn w:val="Style_3"/>
    <w:next w:val="Style_57"/>
    <w:link w:val="Style_56_ch"/>
  </w:style>
  <w:style w:styleId="Style_56_ch" w:type="character">
    <w:name w:val="index heading"/>
    <w:basedOn w:val="Style_3_ch"/>
    <w:link w:val="Style_56"/>
  </w:style>
  <w:style w:styleId="Style_58" w:type="paragraph">
    <w:name w:val="Title"/>
    <w:basedOn w:val="Style_3"/>
    <w:link w:val="Style_58_ch"/>
    <w:uiPriority w:val="10"/>
    <w:qFormat/>
    <w:pPr>
      <w:ind/>
      <w:jc w:val="center"/>
    </w:pPr>
    <w:rPr>
      <w:b w:val="1"/>
      <w:sz w:val="22"/>
    </w:rPr>
  </w:style>
  <w:style w:styleId="Style_58_ch" w:type="character">
    <w:name w:val="Title"/>
    <w:basedOn w:val="Style_3_ch"/>
    <w:link w:val="Style_58"/>
    <w:rPr>
      <w:b w:val="1"/>
      <w:sz w:val="22"/>
    </w:rPr>
  </w:style>
  <w:style w:styleId="Style_59" w:type="paragraph">
    <w:name w:val="heading 4"/>
    <w:basedOn w:val="Style_3"/>
    <w:next w:val="Style_5"/>
    <w:link w:val="Style_59_ch"/>
    <w:uiPriority w:val="9"/>
    <w:qFormat/>
    <w:pPr>
      <w:keepNext w:val="1"/>
      <w:ind/>
      <w:outlineLvl w:val="3"/>
    </w:pPr>
    <w:rPr>
      <w:i w:val="1"/>
      <w:sz w:val="24"/>
    </w:rPr>
  </w:style>
  <w:style w:styleId="Style_59_ch" w:type="character">
    <w:name w:val="heading 4"/>
    <w:basedOn w:val="Style_3_ch"/>
    <w:link w:val="Style_59"/>
    <w:rPr>
      <w:i w:val="1"/>
      <w:sz w:val="24"/>
    </w:rPr>
  </w:style>
  <w:style w:styleId="Style_60" w:type="paragraph">
    <w:name w:val="Body Text"/>
    <w:basedOn w:val="Style_5"/>
    <w:link w:val="Style_60_ch"/>
    <w:pPr>
      <w:spacing w:after="140" w:line="276" w:lineRule="auto"/>
      <w:ind/>
    </w:pPr>
  </w:style>
  <w:style w:styleId="Style_60_ch" w:type="character">
    <w:name w:val="Body Text"/>
    <w:basedOn w:val="Style_5_ch"/>
    <w:link w:val="Style_60"/>
  </w:style>
  <w:style w:styleId="Style_3" w:type="paragraph">
    <w:name w:val="Standard"/>
    <w:link w:val="Style_3_ch"/>
    <w:rPr>
      <w:color w:val="00000A"/>
    </w:rPr>
  </w:style>
  <w:style w:styleId="Style_3_ch" w:type="character">
    <w:name w:val="Standard"/>
    <w:link w:val="Style_3"/>
    <w:rPr>
      <w:color w:val="00000A"/>
    </w:rPr>
  </w:style>
  <w:style w:styleId="Style_61" w:type="paragraph">
    <w:name w:val="Интернет-ссылка"/>
    <w:link w:val="Style_61_ch"/>
    <w:rPr>
      <w:color w:val="000080"/>
      <w:u w:val="single"/>
    </w:rPr>
  </w:style>
  <w:style w:styleId="Style_61_ch" w:type="character">
    <w:name w:val="Интернет-ссылка"/>
    <w:link w:val="Style_61"/>
    <w:rPr>
      <w:color w:val="000080"/>
      <w:u w:val="single"/>
    </w:rPr>
  </w:style>
  <w:style w:styleId="Style_62" w:type="paragraph">
    <w:name w:val="Посещённая гиперссылка"/>
    <w:link w:val="Style_62_ch"/>
    <w:rPr>
      <w:color w:val="954F72"/>
      <w:u w:val="single"/>
    </w:rPr>
  </w:style>
  <w:style w:styleId="Style_62_ch" w:type="character">
    <w:name w:val="Посещённая гиперссылка"/>
    <w:link w:val="Style_62"/>
    <w:rPr>
      <w:color w:val="954F72"/>
      <w:u w:val="single"/>
    </w:rPr>
  </w:style>
  <w:style w:styleId="Style_20" w:type="paragraph">
    <w:name w:val="Основной шрифт абзаца1"/>
    <w:link w:val="Style_20_ch"/>
  </w:style>
  <w:style w:styleId="Style_20_ch" w:type="character">
    <w:name w:val="Основной шрифт абзаца1"/>
    <w:link w:val="Style_20"/>
  </w:style>
  <w:style w:styleId="Style_2" w:type="paragraph">
    <w:name w:val="footer"/>
    <w:basedOn w:val="Style_3"/>
    <w:link w:val="Style_2_ch"/>
    <w:pPr>
      <w:tabs>
        <w:tab w:leader="none" w:pos="4536" w:val="center"/>
        <w:tab w:leader="none" w:pos="9072" w:val="right"/>
      </w:tabs>
      <w:ind/>
    </w:pPr>
  </w:style>
  <w:style w:styleId="Style_2_ch" w:type="character">
    <w:name w:val="footer"/>
    <w:basedOn w:val="Style_3_ch"/>
    <w:link w:val="Style_2"/>
  </w:style>
  <w:style w:styleId="Style_63" w:type="paragraph">
    <w:name w:val="caption"/>
    <w:basedOn w:val="Style_5"/>
    <w:next w:val="Style_5"/>
    <w:link w:val="Style_63_ch"/>
    <w:pPr>
      <w:spacing w:after="120" w:before="120"/>
      <w:ind/>
    </w:pPr>
    <w:rPr>
      <w:i w:val="1"/>
      <w:sz w:val="24"/>
    </w:rPr>
  </w:style>
  <w:style w:styleId="Style_63_ch" w:type="character">
    <w:name w:val="caption"/>
    <w:basedOn w:val="Style_5_ch"/>
    <w:link w:val="Style_63"/>
    <w:rPr>
      <w:i w:val="1"/>
      <w:sz w:val="24"/>
    </w:rPr>
  </w:style>
  <w:style w:styleId="Style_64" w:type="paragraph">
    <w:name w:val="Обычный1"/>
    <w:link w:val="Style_64_ch"/>
    <w:pPr>
      <w:widowControl w:val="0"/>
      <w:spacing w:line="300" w:lineRule="auto"/>
      <w:ind w:firstLine="720" w:left="40"/>
      <w:jc w:val="both"/>
    </w:pPr>
    <w:rPr>
      <w:color w:val="00000A"/>
      <w:sz w:val="22"/>
    </w:rPr>
  </w:style>
  <w:style w:styleId="Style_64_ch" w:type="character">
    <w:name w:val="Обычный1"/>
    <w:link w:val="Style_64"/>
    <w:rPr>
      <w:color w:val="00000A"/>
      <w:sz w:val="22"/>
    </w:rPr>
  </w:style>
  <w:style w:styleId="Style_65" w:type="paragraph">
    <w:name w:val="heading 2"/>
    <w:basedOn w:val="Style_3"/>
    <w:next w:val="Style_5"/>
    <w:link w:val="Style_65_ch"/>
    <w:uiPriority w:val="9"/>
    <w:qFormat/>
    <w:pPr>
      <w:keepNext w:val="1"/>
      <w:ind/>
      <w:outlineLvl w:val="1"/>
    </w:pPr>
    <w:rPr>
      <w:sz w:val="24"/>
    </w:rPr>
  </w:style>
  <w:style w:styleId="Style_65_ch" w:type="character">
    <w:name w:val="heading 2"/>
    <w:basedOn w:val="Style_3_ch"/>
    <w:link w:val="Style_65"/>
    <w:rPr>
      <w:sz w:val="24"/>
    </w:rPr>
  </w:style>
  <w:style w:styleId="Style_66" w:type="paragraph">
    <w:name w:val="Текст примечания1"/>
    <w:basedOn w:val="Style_3"/>
    <w:link w:val="Style_66_ch"/>
  </w:style>
  <w:style w:styleId="Style_66_ch" w:type="character">
    <w:name w:val="Текст примечания1"/>
    <w:basedOn w:val="Style_3_ch"/>
    <w:link w:val="Style_66"/>
  </w:style>
  <w:style w:styleId="Style_67" w:type="paragraph">
    <w:name w:val="Заголовок таблицы"/>
    <w:basedOn w:val="Style_7"/>
    <w:link w:val="Style_67_ch"/>
    <w:pPr>
      <w:ind/>
      <w:jc w:val="center"/>
    </w:pPr>
    <w:rPr>
      <w:b w:val="1"/>
    </w:rPr>
  </w:style>
  <w:style w:styleId="Style_67_ch" w:type="character">
    <w:name w:val="Заголовок таблицы"/>
    <w:basedOn w:val="Style_7_ch"/>
    <w:link w:val="Style_67"/>
    <w:rPr>
      <w:b w:val="1"/>
    </w:rPr>
  </w:style>
  <w:style w:styleId="Style_57" w:type="paragraph">
    <w:name w:val="index 1"/>
    <w:basedOn w:val="Style_5"/>
    <w:next w:val="Style_5"/>
    <w:link w:val="Style_57_ch"/>
  </w:style>
  <w:style w:styleId="Style_57_ch" w:type="character">
    <w:name w:val="index 1"/>
    <w:basedOn w:val="Style_5_ch"/>
    <w:link w:val="Style_57"/>
  </w:style>
  <w:style w:default="1" w:styleId="Style_4"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8" Target="theme/theme1.xml" Type="http://schemas.openxmlformats.org/officeDocument/2006/relationships/theme"/>
  <Relationship Id="rId7" Target="webSettings.xml" Type="http://schemas.openxmlformats.org/officeDocument/2006/relationships/webSettings"/>
  <Relationship Id="rId6" Target="stylesWithEffects.xml" Type="http://schemas.microsoft.com/office/2007/relationships/stylesWithEffects"/>
  <Relationship Id="rId5" Target="styles.xml" Type="http://schemas.openxmlformats.org/officeDocument/2006/relationships/styles"/>
  <Relationship Id="rId4" Target="settings.xml" Type="http://schemas.openxmlformats.org/officeDocument/2006/relationships/settings"/>
  <Relationship Id="rId3" Target="fontTable.xml" Type="http://schemas.openxmlformats.org/officeDocument/2006/relationships/fontTable"/>
  <Relationship Id="rId2" Target="footer2.xml" Type="http://schemas.openxmlformats.org/officeDocument/2006/relationships/footer"/>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2026-09-16T13:29:45Z</dcterms:modified>
</cp:coreProperties>
</file>