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B0E1C5">
      <w:pPr>
        <w:jc w:val="center"/>
        <w:rPr>
          <w:b/>
          <w:sz w:val="20"/>
          <w:szCs w:val="20"/>
        </w:rPr>
      </w:pPr>
      <w:r>
        <w:rPr>
          <w:sz w:val="20"/>
          <w:szCs w:val="20"/>
        </w:rPr>
        <w:t>Муниципальный контракт</w:t>
      </w:r>
      <w:r>
        <w:rPr>
          <w:b/>
          <w:sz w:val="20"/>
          <w:szCs w:val="20"/>
        </w:rPr>
        <w:t xml:space="preserve">    № 10/26</w:t>
      </w:r>
    </w:p>
    <w:p w14:paraId="15BC6B6B">
      <w:pPr>
        <w:jc w:val="center"/>
        <w:rPr>
          <w:b/>
          <w:bCs/>
          <w:iCs/>
          <w:color w:val="000000"/>
          <w:sz w:val="20"/>
          <w:szCs w:val="20"/>
          <w:u w:val="single"/>
        </w:rPr>
      </w:pPr>
      <w:r>
        <w:rPr>
          <w:b/>
          <w:bCs/>
          <w:iCs/>
          <w:color w:val="000000"/>
          <w:sz w:val="20"/>
          <w:szCs w:val="20"/>
          <w:u w:val="single"/>
        </w:rPr>
        <w:t xml:space="preserve">ИКЗ 263471201377647120100100060000000000 </w:t>
      </w:r>
    </w:p>
    <w:p w14:paraId="5331E452">
      <w:pPr>
        <w:jc w:val="center"/>
        <w:rPr>
          <w:b/>
          <w:sz w:val="20"/>
          <w:szCs w:val="20"/>
        </w:rPr>
      </w:pPr>
    </w:p>
    <w:p w14:paraId="6D49D79B">
      <w:pPr>
        <w:ind w:left="1800" w:hanging="1800" w:hangingChars="900"/>
        <w:jc w:val="both"/>
        <w:rPr>
          <w:sz w:val="20"/>
          <w:szCs w:val="20"/>
        </w:rPr>
      </w:pPr>
      <w:r>
        <w:rPr>
          <w:sz w:val="20"/>
          <w:szCs w:val="20"/>
        </w:rPr>
        <w:br w:type="textWrapping"/>
      </w:r>
      <w:r>
        <w:rPr>
          <w:sz w:val="20"/>
          <w:szCs w:val="20"/>
        </w:rPr>
        <w:t xml:space="preserve">гп Кузнечное                                                          «    »  октября    2026г. </w:t>
      </w:r>
      <w:r>
        <w:rPr>
          <w:sz w:val="20"/>
          <w:szCs w:val="20"/>
        </w:rPr>
        <w:br w:type="textWrapping"/>
      </w:r>
    </w:p>
    <w:p w14:paraId="6DDF744B">
      <w:pPr>
        <w:jc w:val="both"/>
        <w:rPr>
          <w:bCs/>
          <w:sz w:val="20"/>
          <w:szCs w:val="20"/>
        </w:rPr>
      </w:pPr>
      <w:r>
        <w:rPr>
          <w:sz w:val="20"/>
          <w:szCs w:val="20"/>
        </w:rPr>
        <w:br w:type="textWrapping"/>
      </w:r>
      <w:r>
        <w:rPr>
          <w:bCs/>
          <w:sz w:val="20"/>
          <w:szCs w:val="20"/>
        </w:rPr>
        <w:t xml:space="preserve">   </w:t>
      </w:r>
      <w:r>
        <w:rPr>
          <w:bCs/>
          <w:sz w:val="20"/>
          <w:szCs w:val="20"/>
        </w:rPr>
        <w:tab/>
      </w:r>
      <w:r>
        <w:rPr>
          <w:b/>
          <w:bCs/>
          <w:sz w:val="20"/>
          <w:szCs w:val="20"/>
          <w:lang w:val="ru" w:eastAsia="ru" w:bidi="ar"/>
        </w:rPr>
        <w:t xml:space="preserve">Муниципальное общеобразовательное учреждение «Кузнеченская средняя общеобразовательная школа», </w:t>
      </w:r>
      <w:r>
        <w:rPr>
          <w:bCs/>
          <w:sz w:val="20"/>
          <w:szCs w:val="20"/>
          <w:lang w:val="ru" w:eastAsia="ru" w:bidi="ar"/>
        </w:rPr>
        <w:t xml:space="preserve">именуемое в дальнейшем </w:t>
      </w:r>
      <w:r>
        <w:rPr>
          <w:b/>
          <w:bCs/>
          <w:sz w:val="20"/>
          <w:szCs w:val="20"/>
          <w:lang w:val="ru" w:eastAsia="ru" w:bidi="ar"/>
        </w:rPr>
        <w:t>"Заказчик",</w:t>
      </w:r>
      <w:r>
        <w:rPr>
          <w:bCs/>
          <w:sz w:val="20"/>
          <w:szCs w:val="20"/>
          <w:lang w:val="ru" w:eastAsia="ru" w:bidi="ar"/>
        </w:rPr>
        <w:t xml:space="preserve"> в лице и.о. директора Никитина Дениса Юрьевича, действующего на основании Устава,  с одной стороны, и ___________________, именуемый в дальнейшем </w:t>
      </w:r>
      <w:r>
        <w:rPr>
          <w:b/>
          <w:bCs/>
          <w:sz w:val="20"/>
          <w:szCs w:val="20"/>
          <w:lang w:val="ru" w:eastAsia="ru" w:bidi="ar"/>
        </w:rPr>
        <w:t>"Подрядчик"</w:t>
      </w:r>
      <w:r>
        <w:rPr>
          <w:bCs/>
          <w:sz w:val="20"/>
          <w:szCs w:val="20"/>
          <w:lang w:val="ru" w:eastAsia="ru" w:bidi="ar"/>
        </w:rPr>
        <w:t>, в лице ______________, действующего на основании____________________, с другой стороны,  на основании  п.5 ч.1 статьи 93 Федерального закона № 44-ФЗ от 05.04.2013 «О контрактной системе в сфере закупок товаров, работ, услуг для обеспечения государственных и муниципальных нужд» (далее-Закон)   заключили настоящий муниципальный контракт (далее-Контракт) о нижеследующем.</w:t>
      </w:r>
    </w:p>
    <w:p w14:paraId="69D7A3F0">
      <w:pPr>
        <w:jc w:val="both"/>
        <w:rPr>
          <w:sz w:val="20"/>
          <w:szCs w:val="20"/>
        </w:rPr>
      </w:pPr>
    </w:p>
    <w:p w14:paraId="0CFF23E7">
      <w:pPr>
        <w:jc w:val="center"/>
        <w:rPr>
          <w:sz w:val="20"/>
          <w:szCs w:val="20"/>
        </w:rPr>
      </w:pPr>
      <w:r>
        <w:rPr>
          <w:sz w:val="20"/>
          <w:szCs w:val="20"/>
        </w:rPr>
        <w:br w:type="textWrapping"/>
      </w:r>
      <w:r>
        <w:rPr>
          <w:b/>
          <w:sz w:val="20"/>
          <w:szCs w:val="20"/>
        </w:rPr>
        <w:t>1. Предмет Контракта</w:t>
      </w:r>
    </w:p>
    <w:p w14:paraId="524A21C2">
      <w:pPr>
        <w:jc w:val="both"/>
        <w:rPr>
          <w:sz w:val="20"/>
          <w:szCs w:val="20"/>
        </w:rPr>
      </w:pPr>
      <w:r>
        <w:rPr>
          <w:sz w:val="20"/>
          <w:szCs w:val="20"/>
        </w:rPr>
        <w:br w:type="textWrapping"/>
      </w:r>
      <w:r>
        <w:rPr>
          <w:sz w:val="20"/>
          <w:szCs w:val="20"/>
        </w:rPr>
        <w:t xml:space="preserve">   1.1. </w:t>
      </w:r>
      <w:r>
        <w:rPr>
          <w:color w:val="000000"/>
          <w:sz w:val="20"/>
          <w:szCs w:val="20"/>
        </w:rPr>
        <w:t xml:space="preserve">Заказчик поручает, а Подрядчик принимает на себя обязательства на выполнение работ по монтажу системы электроснабжения противодымной вентиляции в  здании МОУ «Кузнеченская СОШ» в соответствии с </w:t>
      </w:r>
      <w:r>
        <w:rPr>
          <w:b/>
          <w:color w:val="000000"/>
          <w:sz w:val="20"/>
          <w:szCs w:val="20"/>
        </w:rPr>
        <w:t xml:space="preserve">локальным сметным расчетом № 1 </w:t>
      </w:r>
      <w:r>
        <w:rPr>
          <w:b/>
          <w:bCs/>
          <w:color w:val="000000"/>
          <w:sz w:val="20"/>
          <w:szCs w:val="20"/>
          <w:shd w:val="clear" w:color="auto" w:fill="FFFFFF"/>
        </w:rPr>
        <w:t xml:space="preserve"> (</w:t>
      </w:r>
      <w:r>
        <w:rPr>
          <w:bCs/>
          <w:color w:val="000000"/>
          <w:sz w:val="20"/>
          <w:szCs w:val="20"/>
          <w:shd w:val="clear" w:color="auto" w:fill="FFFFFF"/>
        </w:rPr>
        <w:t>Приложение №1</w:t>
      </w:r>
      <w:r>
        <w:rPr>
          <w:b/>
          <w:bCs/>
          <w:color w:val="000000"/>
          <w:sz w:val="20"/>
          <w:szCs w:val="20"/>
          <w:shd w:val="clear" w:color="auto" w:fill="FFFFFF"/>
        </w:rPr>
        <w:t xml:space="preserve">   </w:t>
      </w:r>
      <w:r>
        <w:rPr>
          <w:color w:val="000000"/>
          <w:sz w:val="20"/>
          <w:szCs w:val="20"/>
        </w:rPr>
        <w:t>к настоящему Контракту) , ведомостью объемов работ № 4 (Приложение №2 к Контракту), рабочей документацией 158/2024-ЭОМ (Приложение №3 к Контракту), являющимися неотъемлемой частью Контракта.</w:t>
      </w:r>
      <w:r>
        <w:rPr>
          <w:sz w:val="20"/>
          <w:szCs w:val="20"/>
        </w:rPr>
        <w:t xml:space="preserve"> Работы выполняются в соответствии с той частью рабочей документации (Приложение №3  к Контракту), которая учтена в указанном сметном расчёте. Работы, не включённые в сметный расчёт (Приложение №1 к Контракту),но содержащиеся в рабочей документации (Приложение №3  к Контракту),  в предмет Контракта не входят и не подлежат выполнению в его рамках,</w:t>
      </w:r>
      <w:r>
        <w:rPr>
          <w:rStyle w:val="20"/>
          <w:sz w:val="20"/>
          <w:szCs w:val="20"/>
        </w:rPr>
        <w:t xml:space="preserve"> за исключением случаев, предусмотренных статьёй 95 Закона № 44</w:t>
      </w:r>
      <w:r>
        <w:rPr>
          <w:rStyle w:val="20"/>
          <w:sz w:val="20"/>
          <w:szCs w:val="20"/>
        </w:rPr>
        <w:noBreakHyphen/>
      </w:r>
      <w:r>
        <w:rPr>
          <w:rStyle w:val="20"/>
          <w:sz w:val="20"/>
          <w:szCs w:val="20"/>
        </w:rPr>
        <w:t>ФЗ.</w:t>
      </w:r>
    </w:p>
    <w:p w14:paraId="42BBD046">
      <w:pPr>
        <w:jc w:val="both"/>
        <w:rPr>
          <w:sz w:val="20"/>
          <w:szCs w:val="20"/>
        </w:rPr>
      </w:pPr>
      <w:r>
        <w:rPr>
          <w:sz w:val="20"/>
          <w:szCs w:val="20"/>
        </w:rPr>
        <w:t xml:space="preserve">   1.2. Заказчик обязуется принять и оплатить выполненные работы в соответствии с условиями Контракта.</w:t>
      </w:r>
    </w:p>
    <w:p w14:paraId="38396AEB">
      <w:pPr>
        <w:jc w:val="both"/>
        <w:rPr>
          <w:sz w:val="20"/>
          <w:szCs w:val="20"/>
        </w:rPr>
      </w:pPr>
      <w:r>
        <w:rPr>
          <w:sz w:val="20"/>
          <w:szCs w:val="20"/>
        </w:rPr>
        <w:t xml:space="preserve">   1.3. Подрядчик обязуется выполнить весь объем работ в срок до </w:t>
      </w:r>
      <w:r>
        <w:rPr>
          <w:b/>
          <w:sz w:val="20"/>
          <w:szCs w:val="20"/>
        </w:rPr>
        <w:t>20.11.2026 г.</w:t>
      </w:r>
    </w:p>
    <w:p w14:paraId="734C11DD">
      <w:pPr>
        <w:jc w:val="center"/>
        <w:rPr>
          <w:sz w:val="20"/>
          <w:szCs w:val="20"/>
        </w:rPr>
      </w:pPr>
      <w:r>
        <w:rPr>
          <w:sz w:val="20"/>
          <w:szCs w:val="20"/>
        </w:rPr>
        <w:br w:type="textWrapping"/>
      </w:r>
      <w:r>
        <w:rPr>
          <w:b/>
          <w:sz w:val="20"/>
          <w:szCs w:val="20"/>
        </w:rPr>
        <w:t>2. Цена и порядок расчетов</w:t>
      </w:r>
    </w:p>
    <w:p w14:paraId="42B72202">
      <w:pPr>
        <w:keepNext/>
        <w:keepLines/>
        <w:ind w:firstLine="709"/>
        <w:jc w:val="both"/>
        <w:rPr>
          <w:sz w:val="20"/>
          <w:szCs w:val="20"/>
          <w:shd w:val="clear" w:color="auto" w:fill="FFFFFF"/>
          <w:lang w:val="zh-CN" w:eastAsia="zh-CN"/>
        </w:rPr>
      </w:pPr>
      <w:r>
        <w:rPr>
          <w:sz w:val="20"/>
          <w:szCs w:val="20"/>
        </w:rPr>
        <w:br w:type="textWrapping"/>
      </w:r>
      <w:r>
        <w:rPr>
          <w:sz w:val="20"/>
          <w:szCs w:val="20"/>
        </w:rPr>
        <w:t xml:space="preserve">2.1. Сумма настоящего Контракта составляет </w:t>
      </w:r>
      <w:r>
        <w:rPr>
          <w:b/>
          <w:bCs/>
          <w:sz w:val="20"/>
          <w:szCs w:val="20"/>
        </w:rPr>
        <w:t>502</w:t>
      </w:r>
      <w:r>
        <w:rPr>
          <w:rFonts w:hint="default"/>
          <w:b/>
          <w:bCs/>
          <w:sz w:val="20"/>
          <w:szCs w:val="20"/>
          <w:lang w:val="ru-RU"/>
        </w:rPr>
        <w:t xml:space="preserve"> </w:t>
      </w:r>
      <w:bookmarkStart w:id="1" w:name="_GoBack"/>
      <w:bookmarkEnd w:id="1"/>
      <w:r>
        <w:rPr>
          <w:b/>
          <w:bCs/>
          <w:sz w:val="20"/>
          <w:szCs w:val="20"/>
        </w:rPr>
        <w:t>577,65 (пятьсот две  тысячи пятьсот семьдесят семь рублей 65 копеек)</w:t>
      </w:r>
      <w:r>
        <w:rPr>
          <w:b/>
          <w:sz w:val="20"/>
          <w:szCs w:val="20"/>
        </w:rPr>
        <w:t xml:space="preserve">, с </w:t>
      </w:r>
      <w:r>
        <w:rPr>
          <w:sz w:val="20"/>
          <w:szCs w:val="20"/>
        </w:rPr>
        <w:t>НДС ________________________________</w:t>
      </w:r>
    </w:p>
    <w:p w14:paraId="0EBF0455">
      <w:pPr>
        <w:pStyle w:val="14"/>
        <w:shd w:val="clear" w:color="auto" w:fill="FFFFFF"/>
        <w:spacing w:before="0" w:beforeAutospacing="0" w:after="0" w:afterAutospacing="0"/>
        <w:jc w:val="both"/>
        <w:rPr>
          <w:sz w:val="20"/>
          <w:szCs w:val="20"/>
        </w:rPr>
      </w:pPr>
      <w:r>
        <w:rPr>
          <w:sz w:val="20"/>
          <w:szCs w:val="20"/>
        </w:rPr>
        <w:t xml:space="preserve">2.2. Оплата </w:t>
      </w:r>
      <w:r>
        <w:rPr>
          <w:color w:val="000000"/>
          <w:sz w:val="20"/>
          <w:szCs w:val="20"/>
        </w:rPr>
        <w:t xml:space="preserve">по настоящему Контракту осуществляется путем безналичного перевода денежных средств в валюте Российской Федерации (рубль) на расчетный счет Подрядчика, указанный в настоящем Контракте, </w:t>
      </w:r>
      <w:r>
        <w:rPr>
          <w:sz w:val="20"/>
          <w:szCs w:val="20"/>
        </w:rPr>
        <w:t>в течение 10 (десяти ) рабочих дней после подписания Акта выполненных работ по форме КС-2.</w:t>
      </w:r>
    </w:p>
    <w:p w14:paraId="376E7FA9">
      <w:pPr>
        <w:pStyle w:val="14"/>
        <w:shd w:val="clear" w:color="auto" w:fill="FFFFFF"/>
        <w:spacing w:before="0" w:beforeAutospacing="0" w:after="0" w:afterAutospacing="0"/>
        <w:jc w:val="both"/>
        <w:rPr>
          <w:color w:val="000000"/>
          <w:sz w:val="20"/>
          <w:szCs w:val="20"/>
        </w:rPr>
      </w:pPr>
      <w:r>
        <w:rPr>
          <w:sz w:val="20"/>
          <w:szCs w:val="20"/>
        </w:rPr>
        <w:t>2.2.1.</w:t>
      </w:r>
      <w:r>
        <w:rPr>
          <w:sz w:val="20"/>
          <w:szCs w:val="20"/>
          <w:shd w:val="clear" w:color="auto" w:fill="FFFFFF"/>
        </w:rPr>
        <w:t xml:space="preserve"> Цена Контракта включает в себя все затраты Подрядчика, связанные с выполнением работ, с транспортировкой, страхованием (если необходимо), налогами, таможенными пошлинами и другими сопутствующими расходами.</w:t>
      </w:r>
    </w:p>
    <w:p w14:paraId="731BB454">
      <w:pPr>
        <w:pStyle w:val="14"/>
        <w:shd w:val="clear" w:color="auto" w:fill="FFFFFF"/>
        <w:spacing w:before="0" w:beforeAutospacing="0" w:after="0" w:afterAutospacing="0"/>
        <w:jc w:val="both"/>
        <w:rPr>
          <w:color w:val="000000"/>
          <w:sz w:val="20"/>
          <w:szCs w:val="20"/>
        </w:rPr>
      </w:pPr>
      <w:r>
        <w:rPr>
          <w:color w:val="000000"/>
          <w:sz w:val="20"/>
          <w:szCs w:val="20"/>
        </w:rPr>
        <w:t>2.3. Цена Контракта может быть снижена по соглашению Сторон без изменения предусмотренных Контрактом объема Работы, качества оказываемой Работы и иных условий Контракта.</w:t>
      </w:r>
    </w:p>
    <w:p w14:paraId="6E5F32BF">
      <w:pPr>
        <w:pStyle w:val="14"/>
        <w:shd w:val="clear" w:color="auto" w:fill="FFFFFF"/>
        <w:spacing w:before="0" w:beforeAutospacing="0" w:after="0" w:afterAutospacing="0"/>
        <w:jc w:val="both"/>
        <w:rPr>
          <w:color w:val="000000"/>
          <w:sz w:val="20"/>
          <w:szCs w:val="20"/>
        </w:rPr>
      </w:pPr>
      <w:r>
        <w:rPr>
          <w:color w:val="000000"/>
          <w:sz w:val="20"/>
          <w:szCs w:val="20"/>
        </w:rPr>
        <w:t>2.4. Цена Контракта может быть изменена по соглашению Сторон с учетом положений бюджетного законодательства Российской Федерации и Закона, 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При этом изменение цены Контракта  осуществляется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14:paraId="04EF8A8B">
      <w:pPr>
        <w:pStyle w:val="6"/>
        <w:rPr>
          <w:sz w:val="20"/>
          <w:szCs w:val="20"/>
        </w:rPr>
      </w:pPr>
      <w:r>
        <w:rPr>
          <w:sz w:val="20"/>
          <w:szCs w:val="20"/>
        </w:rPr>
        <w:t>2.5. Работы, выполненные Подрядчиком с отклонениями от сметы, требований строительных норм и правил, а также условий настоящего Контракта не подлежат оплате Заказчиком до устранения отклонений. При этом Заказчик из сумм, подлежащих оплате Подрядчику, удерживает суммы штрафных санкций.</w:t>
      </w:r>
    </w:p>
    <w:p w14:paraId="3024C60E">
      <w:pPr>
        <w:pStyle w:val="6"/>
        <w:jc w:val="center"/>
        <w:rPr>
          <w:b/>
          <w:sz w:val="20"/>
          <w:szCs w:val="20"/>
        </w:rPr>
      </w:pPr>
      <w:r>
        <w:rPr>
          <w:sz w:val="20"/>
          <w:szCs w:val="20"/>
        </w:rPr>
        <w:br w:type="textWrapping"/>
      </w:r>
    </w:p>
    <w:p w14:paraId="51EB948C">
      <w:pPr>
        <w:pStyle w:val="6"/>
        <w:jc w:val="center"/>
        <w:rPr>
          <w:b/>
          <w:sz w:val="20"/>
          <w:szCs w:val="20"/>
        </w:rPr>
      </w:pPr>
    </w:p>
    <w:p w14:paraId="2B09705F">
      <w:pPr>
        <w:pStyle w:val="6"/>
        <w:jc w:val="center"/>
        <w:rPr>
          <w:sz w:val="20"/>
          <w:szCs w:val="20"/>
        </w:rPr>
      </w:pPr>
      <w:r>
        <w:rPr>
          <w:b/>
          <w:sz w:val="20"/>
          <w:szCs w:val="20"/>
        </w:rPr>
        <w:t>3. Обязанности сторон</w:t>
      </w:r>
    </w:p>
    <w:p w14:paraId="5A84E13B">
      <w:pPr>
        <w:pStyle w:val="11"/>
        <w:jc w:val="both"/>
        <w:rPr>
          <w:sz w:val="20"/>
          <w:szCs w:val="20"/>
        </w:rPr>
      </w:pPr>
      <w:r>
        <w:rPr>
          <w:sz w:val="20"/>
          <w:szCs w:val="20"/>
        </w:rPr>
        <w:br w:type="textWrapping"/>
      </w:r>
      <w:r>
        <w:rPr>
          <w:sz w:val="20"/>
          <w:szCs w:val="20"/>
        </w:rPr>
        <w:t>3.1. Заказчик обязан:</w:t>
      </w:r>
    </w:p>
    <w:p w14:paraId="7D058D12">
      <w:pPr>
        <w:pStyle w:val="11"/>
        <w:numPr>
          <w:ilvl w:val="0"/>
          <w:numId w:val="1"/>
        </w:numPr>
        <w:jc w:val="both"/>
        <w:rPr>
          <w:sz w:val="20"/>
          <w:szCs w:val="20"/>
        </w:rPr>
      </w:pPr>
      <w:r>
        <w:rPr>
          <w:sz w:val="20"/>
          <w:szCs w:val="20"/>
        </w:rPr>
        <w:t>создать подрядчику необходимые условия для выполнения работ;</w:t>
      </w:r>
    </w:p>
    <w:p w14:paraId="7D22DC7C">
      <w:pPr>
        <w:pStyle w:val="11"/>
        <w:numPr>
          <w:ilvl w:val="0"/>
          <w:numId w:val="1"/>
        </w:numPr>
        <w:jc w:val="both"/>
        <w:rPr>
          <w:sz w:val="20"/>
          <w:szCs w:val="20"/>
        </w:rPr>
      </w:pPr>
      <w:r>
        <w:rPr>
          <w:sz w:val="20"/>
          <w:szCs w:val="20"/>
        </w:rPr>
        <w:t>оплатить выполненные работы на основании предоставленных Подрядчиком документов, подтверждающих факт выполнения работ;</w:t>
      </w:r>
    </w:p>
    <w:p w14:paraId="4C321EEB">
      <w:pPr>
        <w:pStyle w:val="11"/>
        <w:numPr>
          <w:ilvl w:val="0"/>
          <w:numId w:val="1"/>
        </w:numPr>
        <w:jc w:val="both"/>
        <w:rPr>
          <w:sz w:val="20"/>
          <w:szCs w:val="20"/>
        </w:rPr>
      </w:pPr>
      <w:r>
        <w:rPr>
          <w:sz w:val="20"/>
          <w:szCs w:val="20"/>
        </w:rPr>
        <w:t>по окончании выполнения Подрядчиком работ по настоящему Контракту своевременно организовать их приемку и непосредственно участвовать в приемке.</w:t>
      </w:r>
    </w:p>
    <w:p w14:paraId="3A68576F">
      <w:pPr>
        <w:pStyle w:val="11"/>
        <w:ind w:left="75"/>
        <w:jc w:val="both"/>
        <w:rPr>
          <w:sz w:val="20"/>
          <w:szCs w:val="20"/>
        </w:rPr>
      </w:pPr>
      <w:r>
        <w:rPr>
          <w:sz w:val="20"/>
          <w:szCs w:val="20"/>
        </w:rPr>
        <w:t>3.2. Подрядчик обязан:</w:t>
      </w:r>
    </w:p>
    <w:p w14:paraId="0314684B">
      <w:pPr>
        <w:pStyle w:val="11"/>
        <w:numPr>
          <w:ilvl w:val="0"/>
          <w:numId w:val="1"/>
        </w:numPr>
        <w:jc w:val="both"/>
        <w:rPr>
          <w:sz w:val="20"/>
          <w:szCs w:val="20"/>
        </w:rPr>
      </w:pPr>
      <w:r>
        <w:rPr>
          <w:sz w:val="20"/>
          <w:szCs w:val="20"/>
        </w:rPr>
        <w:t>Качественно исполнить все предусмотренные Контрактом работы в соответствие со СниП, действующими строительными нормами и правилами выполнения работ, техническими требованиями Заказчика.</w:t>
      </w:r>
    </w:p>
    <w:p w14:paraId="066B0262">
      <w:pPr>
        <w:pStyle w:val="11"/>
        <w:numPr>
          <w:ilvl w:val="0"/>
          <w:numId w:val="1"/>
        </w:numPr>
        <w:jc w:val="both"/>
        <w:rPr>
          <w:sz w:val="20"/>
          <w:szCs w:val="20"/>
        </w:rPr>
      </w:pPr>
      <w:r>
        <w:rPr>
          <w:sz w:val="20"/>
          <w:szCs w:val="20"/>
        </w:rPr>
        <w:t>В случае обнаружения Заказчиком в ходе выполнения работ некачественного их исполнения Подрядчик своими силами и за свой счет обязан в согласованный срок переделать эти работы для обеспечения их надлежащего качества.</w:t>
      </w:r>
    </w:p>
    <w:p w14:paraId="7F4DB22E">
      <w:pPr>
        <w:pStyle w:val="11"/>
        <w:numPr>
          <w:ilvl w:val="0"/>
          <w:numId w:val="1"/>
        </w:numPr>
        <w:jc w:val="both"/>
        <w:rPr>
          <w:sz w:val="20"/>
          <w:szCs w:val="20"/>
        </w:rPr>
      </w:pPr>
      <w:r>
        <w:rPr>
          <w:sz w:val="20"/>
          <w:szCs w:val="20"/>
        </w:rPr>
        <w:t>Обеспечить устранение недостатков и дефектов, выявленных при сдаче –приемке работ за свой счет.</w:t>
      </w:r>
    </w:p>
    <w:p w14:paraId="6B8E12C0">
      <w:pPr>
        <w:pStyle w:val="11"/>
        <w:numPr>
          <w:ilvl w:val="0"/>
          <w:numId w:val="1"/>
        </w:numPr>
        <w:jc w:val="both"/>
        <w:rPr>
          <w:sz w:val="20"/>
          <w:szCs w:val="20"/>
        </w:rPr>
      </w:pPr>
      <w:r>
        <w:rPr>
          <w:sz w:val="20"/>
          <w:szCs w:val="20"/>
        </w:rPr>
        <w:t>Обеспечить выполнение и выполнить работы с соблюдением норм техники безопасности, охраны труда, пожарной безопасности, охраны окружающей среды.</w:t>
      </w:r>
    </w:p>
    <w:p w14:paraId="3996B915">
      <w:pPr>
        <w:pStyle w:val="11"/>
        <w:numPr>
          <w:ilvl w:val="0"/>
          <w:numId w:val="1"/>
        </w:numPr>
        <w:jc w:val="both"/>
        <w:rPr>
          <w:sz w:val="20"/>
          <w:szCs w:val="20"/>
        </w:rPr>
      </w:pPr>
      <w:r>
        <w:rPr>
          <w:sz w:val="20"/>
          <w:szCs w:val="20"/>
        </w:rPr>
        <w:t>Обеспечить в течение всего периода выполнения работ по настоящему Контракту чистоту прилегающей к объекту территории, после  выполнения работ обеспечить вывоз мусора.</w:t>
      </w:r>
    </w:p>
    <w:p w14:paraId="19193CAE">
      <w:pPr>
        <w:pStyle w:val="11"/>
        <w:numPr>
          <w:ilvl w:val="0"/>
          <w:numId w:val="1"/>
        </w:numPr>
        <w:jc w:val="both"/>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Предоставить исполнительную документацию в соответствии с п 4.1. Контракта.</w:t>
      </w:r>
    </w:p>
    <w:p w14:paraId="0D7C0814">
      <w:pPr>
        <w:pStyle w:val="11"/>
        <w:ind w:left="435"/>
        <w:jc w:val="both"/>
        <w:rPr>
          <w:color w:val="000000" w:themeColor="text1"/>
          <w:sz w:val="20"/>
          <w:szCs w:val="20"/>
          <w14:textFill>
            <w14:solidFill>
              <w14:schemeClr w14:val="tx1"/>
            </w14:solidFill>
          </w14:textFill>
        </w:rPr>
      </w:pPr>
    </w:p>
    <w:p w14:paraId="014FD6B2">
      <w:pPr>
        <w:jc w:val="center"/>
        <w:rPr>
          <w:b/>
          <w:bCs/>
          <w:sz w:val="20"/>
          <w:szCs w:val="20"/>
        </w:rPr>
      </w:pPr>
      <w:r>
        <w:rPr>
          <w:b/>
          <w:bCs/>
          <w:sz w:val="20"/>
          <w:szCs w:val="20"/>
        </w:rPr>
        <w:t>4. Порядок приемки выполнения работ</w:t>
      </w:r>
    </w:p>
    <w:p w14:paraId="421C7FB8">
      <w:pPr>
        <w:jc w:val="center"/>
        <w:rPr>
          <w:b/>
          <w:bCs/>
          <w:sz w:val="20"/>
          <w:szCs w:val="20"/>
        </w:rPr>
      </w:pPr>
    </w:p>
    <w:p w14:paraId="235034AE">
      <w:pPr>
        <w:jc w:val="both"/>
        <w:rPr>
          <w:sz w:val="20"/>
          <w:szCs w:val="20"/>
        </w:rPr>
      </w:pPr>
      <w:r>
        <w:rPr>
          <w:sz w:val="20"/>
          <w:szCs w:val="20"/>
        </w:rPr>
        <w:t xml:space="preserve">4.1. По окончании работ в течение 2-х рабочих дней Подрядчик передает Заказчику Акт приемки выполненных работ по форме КС-2, Справку о стоимости выполненных работ и затрат по форме КС-3, а также исполнительную документацию:  </w:t>
      </w:r>
    </w:p>
    <w:p w14:paraId="665B764E">
      <w:pPr>
        <w:jc w:val="both"/>
        <w:rPr>
          <w:sz w:val="20"/>
          <w:szCs w:val="20"/>
        </w:rPr>
      </w:pPr>
      <w:r>
        <w:rPr>
          <w:sz w:val="20"/>
          <w:szCs w:val="20"/>
        </w:rPr>
        <w:t>Журнал производства работ по форме КС-6;</w:t>
      </w:r>
    </w:p>
    <w:p w14:paraId="4C758B36">
      <w:pPr>
        <w:jc w:val="both"/>
        <w:rPr>
          <w:sz w:val="20"/>
          <w:szCs w:val="20"/>
        </w:rPr>
      </w:pPr>
      <w:r>
        <w:rPr>
          <w:sz w:val="20"/>
          <w:szCs w:val="20"/>
        </w:rPr>
        <w:t>Сертификаты (соответствия, пожарные, гигиенические), при использовании материалов и оборудования, подлежащих сертификации - декларации о соответствии, технические паспорта или другие документы, удостоверяющие качество используемых материалов и оборудования;</w:t>
      </w:r>
    </w:p>
    <w:p w14:paraId="662B7CDD">
      <w:pPr>
        <w:jc w:val="both"/>
        <w:rPr>
          <w:sz w:val="20"/>
          <w:szCs w:val="20"/>
        </w:rPr>
      </w:pPr>
      <w:r>
        <w:rPr>
          <w:sz w:val="20"/>
          <w:szCs w:val="20"/>
        </w:rPr>
        <w:t>Акты освидетельствования скрытых работ (за 3 рабочих дня до начала приемки скрытых работ  Подрядчик обязан информировать Заказчика);</w:t>
      </w:r>
    </w:p>
    <w:p w14:paraId="3D3A6E13">
      <w:pPr>
        <w:jc w:val="both"/>
        <w:rPr>
          <w:sz w:val="20"/>
          <w:szCs w:val="20"/>
        </w:rPr>
      </w:pPr>
      <w:r>
        <w:rPr>
          <w:sz w:val="20"/>
          <w:szCs w:val="20"/>
        </w:rPr>
        <w:t>Фотофиксацию (до ремонта, после ремонта)</w:t>
      </w:r>
    </w:p>
    <w:p w14:paraId="05565FD3">
      <w:pPr>
        <w:jc w:val="both"/>
        <w:rPr>
          <w:sz w:val="20"/>
          <w:szCs w:val="20"/>
        </w:rPr>
      </w:pPr>
      <w:r>
        <w:rPr>
          <w:sz w:val="20"/>
          <w:szCs w:val="20"/>
        </w:rPr>
        <w:t xml:space="preserve"> 4.2. Заказчик проводит внутреннюю экспертизу результатов исполнения Контракта своими силами. По итогам положительной экспертизы на документе о приёмке (товарной накладной или  УПД) проставляется штамп с надписью „Экспертиза (товаров, услуг, работ) проведена. Соответствует условиям контракта. Ответственный…“. Штамп заверяется подписью ответственного лица, проводившего экспертизу, с указанием даты проведения проверки.</w:t>
      </w:r>
    </w:p>
    <w:p w14:paraId="13FDE5DF">
      <w:pPr>
        <w:jc w:val="both"/>
        <w:rPr>
          <w:sz w:val="20"/>
          <w:szCs w:val="20"/>
        </w:rPr>
      </w:pPr>
      <w:r>
        <w:rPr>
          <w:iCs/>
          <w:sz w:val="20"/>
          <w:szCs w:val="20"/>
        </w:rPr>
        <w:t>4.3. Заказчик вправе провести экспертизу оказанных услуг с привлечением экспертов, экспертных организаций.</w:t>
      </w:r>
    </w:p>
    <w:p w14:paraId="25A45C01">
      <w:pPr>
        <w:jc w:val="both"/>
        <w:rPr>
          <w:sz w:val="20"/>
          <w:szCs w:val="20"/>
        </w:rPr>
      </w:pPr>
      <w:r>
        <w:rPr>
          <w:sz w:val="20"/>
          <w:szCs w:val="20"/>
        </w:rPr>
        <w:t xml:space="preserve"> 4.4. Заказчик  в течение 5-ти рабочих дней со дня получения от Подрядчика Акта приемки выполненных работ обязан рассмотреть документ и вернуть подрядчику подписанный со своей стороны акт или мотивированный отказ от приемки работ. В случае мотивированного отказа Заказчика от принятия работ Сторонами составляется двусторонний акт с перечнем необходимых доработок и сроком их исполнения. </w:t>
      </w:r>
    </w:p>
    <w:p w14:paraId="59F87F37">
      <w:pPr>
        <w:jc w:val="both"/>
        <w:rPr>
          <w:sz w:val="20"/>
          <w:szCs w:val="20"/>
        </w:rPr>
      </w:pPr>
      <w:r>
        <w:rPr>
          <w:sz w:val="20"/>
          <w:szCs w:val="20"/>
        </w:rPr>
        <w:t>4.5. Работы считаются принятыми с момента подписания сторонами акта приемки выполненных работ по форме КС-2.</w:t>
      </w:r>
    </w:p>
    <w:p w14:paraId="5710AD31">
      <w:pPr>
        <w:widowControl w:val="0"/>
        <w:ind w:firstLine="284"/>
        <w:jc w:val="center"/>
        <w:rPr>
          <w:rFonts w:eastAsia="Calibri"/>
          <w:b/>
          <w:bCs/>
          <w:sz w:val="20"/>
          <w:szCs w:val="20"/>
          <w:lang w:eastAsia="en-US"/>
        </w:rPr>
      </w:pPr>
      <w:r>
        <w:rPr>
          <w:rFonts w:eastAsia="Calibri"/>
          <w:b/>
          <w:bCs/>
          <w:sz w:val="20"/>
          <w:szCs w:val="20"/>
          <w:lang w:eastAsia="en-US"/>
        </w:rPr>
        <w:t>5. Ответственность сторон</w:t>
      </w:r>
    </w:p>
    <w:p w14:paraId="1A87520C">
      <w:pPr>
        <w:widowControl w:val="0"/>
        <w:ind w:firstLine="284"/>
        <w:jc w:val="center"/>
        <w:rPr>
          <w:rFonts w:eastAsia="Calibri"/>
          <w:b/>
          <w:bCs/>
          <w:sz w:val="20"/>
          <w:szCs w:val="20"/>
          <w:lang w:eastAsia="en-US"/>
        </w:rPr>
      </w:pPr>
    </w:p>
    <w:p w14:paraId="35D1C6D1">
      <w:pPr>
        <w:widowControl w:val="0"/>
        <w:ind w:firstLine="567"/>
        <w:jc w:val="both"/>
        <w:rPr>
          <w:rFonts w:eastAsia="Calibri"/>
          <w:sz w:val="20"/>
          <w:szCs w:val="20"/>
          <w:lang w:eastAsia="en-US"/>
        </w:rPr>
      </w:pPr>
      <w:r>
        <w:rPr>
          <w:rFonts w:eastAsia="Calibri"/>
          <w:sz w:val="20"/>
          <w:szCs w:val="20"/>
          <w:lang w:eastAsia="en-US"/>
        </w:rPr>
        <w:t>5.1.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05A41C61">
      <w:pPr>
        <w:widowControl w:val="0"/>
        <w:ind w:firstLine="567"/>
        <w:jc w:val="both"/>
        <w:rPr>
          <w:rFonts w:eastAsia="Calibri"/>
          <w:sz w:val="20"/>
          <w:szCs w:val="20"/>
          <w:lang w:eastAsia="en-US"/>
        </w:rPr>
      </w:pPr>
      <w:r>
        <w:rPr>
          <w:rFonts w:eastAsia="Calibri"/>
          <w:sz w:val="20"/>
          <w:szCs w:val="20"/>
          <w:lang w:eastAsia="en-US"/>
        </w:rPr>
        <w:t>5.2.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Подрядчиком) обязательств, предусмотренных настоящим контрактом (за исключением просрочки исполнения обязательств заказчиком, поставщиком (подрядчиком, Подрядчиком), утвержденными постановлением Правительства Российской Федерации от 30.08.2017 N 1042 (далее - Правила).</w:t>
      </w:r>
    </w:p>
    <w:p w14:paraId="47A6F503">
      <w:pPr>
        <w:widowControl w:val="0"/>
        <w:ind w:firstLine="567"/>
        <w:jc w:val="both"/>
        <w:rPr>
          <w:rFonts w:eastAsia="Calibri"/>
          <w:b/>
          <w:sz w:val="20"/>
          <w:szCs w:val="20"/>
          <w:lang w:eastAsia="en-US"/>
        </w:rPr>
      </w:pPr>
      <w:r>
        <w:rPr>
          <w:rFonts w:eastAsia="Calibri"/>
          <w:b/>
          <w:sz w:val="20"/>
          <w:szCs w:val="20"/>
          <w:lang w:eastAsia="en-US"/>
        </w:rPr>
        <w:t>5.3. Ответственность Подрядчика:</w:t>
      </w:r>
    </w:p>
    <w:p w14:paraId="4F8B995E">
      <w:pPr>
        <w:widowControl w:val="0"/>
        <w:ind w:firstLine="567"/>
        <w:jc w:val="both"/>
        <w:rPr>
          <w:rFonts w:eastAsia="Calibri"/>
          <w:sz w:val="20"/>
          <w:szCs w:val="20"/>
          <w:lang w:eastAsia="en-US"/>
        </w:rPr>
      </w:pPr>
      <w:r>
        <w:rPr>
          <w:rFonts w:eastAsia="Calibri"/>
          <w:sz w:val="20"/>
          <w:szCs w:val="20"/>
          <w:lang w:eastAsia="en-US"/>
        </w:rPr>
        <w:t>5.3.1.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0AFE5B9F">
      <w:pPr>
        <w:widowControl w:val="0"/>
        <w:ind w:firstLine="567"/>
        <w:jc w:val="both"/>
        <w:rPr>
          <w:rFonts w:eastAsia="Calibri"/>
          <w:sz w:val="20"/>
          <w:szCs w:val="20"/>
          <w:lang w:eastAsia="en-US"/>
        </w:rPr>
      </w:pPr>
      <w:r>
        <w:rPr>
          <w:rFonts w:eastAsia="Calibri"/>
          <w:sz w:val="20"/>
          <w:szCs w:val="20"/>
          <w:lang w:eastAsia="en-US"/>
        </w:rPr>
        <w:t>5.3.2.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2B211C84">
      <w:pPr>
        <w:widowControl w:val="0"/>
        <w:ind w:firstLine="567"/>
        <w:jc w:val="both"/>
        <w:rPr>
          <w:rFonts w:eastAsia="Calibri"/>
          <w:sz w:val="20"/>
          <w:szCs w:val="20"/>
          <w:lang w:eastAsia="en-US"/>
        </w:rPr>
      </w:pPr>
      <w:r>
        <w:rPr>
          <w:rFonts w:eastAsia="Calibri"/>
          <w:sz w:val="20"/>
          <w:szCs w:val="20"/>
          <w:lang w:eastAsia="en-US"/>
        </w:rPr>
        <w:t>5.3.3.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в размере:</w:t>
      </w:r>
    </w:p>
    <w:p w14:paraId="7AAD1E5B">
      <w:pPr>
        <w:widowControl w:val="0"/>
        <w:ind w:firstLine="567"/>
        <w:jc w:val="both"/>
        <w:rPr>
          <w:rFonts w:eastAsia="Calibri"/>
          <w:sz w:val="20"/>
          <w:szCs w:val="20"/>
          <w:lang w:eastAsia="en-US"/>
        </w:rPr>
      </w:pPr>
      <w:r>
        <w:rPr>
          <w:rFonts w:eastAsia="Calibri"/>
          <w:sz w:val="20"/>
          <w:szCs w:val="20"/>
          <w:lang w:eastAsia="en-US"/>
        </w:rPr>
        <w:t>а) 1000 рублей, если цена контракта не превышает 3 млн. рублей;</w:t>
      </w:r>
    </w:p>
    <w:p w14:paraId="07EC1BB2">
      <w:pPr>
        <w:widowControl w:val="0"/>
        <w:ind w:firstLine="567"/>
        <w:jc w:val="both"/>
        <w:rPr>
          <w:rFonts w:eastAsia="Calibri"/>
          <w:sz w:val="20"/>
          <w:szCs w:val="20"/>
          <w:lang w:eastAsia="en-US"/>
        </w:rPr>
      </w:pPr>
      <w:r>
        <w:rPr>
          <w:rFonts w:eastAsia="Calibri"/>
          <w:sz w:val="20"/>
          <w:szCs w:val="20"/>
          <w:lang w:eastAsia="en-US"/>
        </w:rPr>
        <w:t>б) 5000 рублей, если цена контракта составляет от 3 млн. рублей до 50 млн. рублей (включительно);</w:t>
      </w:r>
    </w:p>
    <w:p w14:paraId="149C848D">
      <w:pPr>
        <w:widowControl w:val="0"/>
        <w:ind w:firstLine="567"/>
        <w:jc w:val="both"/>
        <w:rPr>
          <w:rFonts w:eastAsia="Calibri"/>
          <w:sz w:val="20"/>
          <w:szCs w:val="20"/>
          <w:lang w:eastAsia="en-US"/>
        </w:rPr>
      </w:pPr>
      <w:r>
        <w:rPr>
          <w:rFonts w:eastAsia="Calibri"/>
          <w:sz w:val="20"/>
          <w:szCs w:val="20"/>
          <w:lang w:eastAsia="en-US"/>
        </w:rPr>
        <w:t>в) 10000 рублей, если цена контракта составляет от 50 млн. рублей до 100 млн. рублей (включительно);</w:t>
      </w:r>
    </w:p>
    <w:p w14:paraId="6E8A4C0E">
      <w:pPr>
        <w:widowControl w:val="0"/>
        <w:ind w:firstLine="567"/>
        <w:jc w:val="both"/>
        <w:rPr>
          <w:rFonts w:eastAsia="Calibri"/>
          <w:sz w:val="20"/>
          <w:szCs w:val="20"/>
          <w:lang w:eastAsia="en-US"/>
        </w:rPr>
      </w:pPr>
      <w:r>
        <w:rPr>
          <w:rFonts w:eastAsia="Calibri"/>
          <w:sz w:val="20"/>
          <w:szCs w:val="20"/>
          <w:lang w:eastAsia="en-US"/>
        </w:rPr>
        <w:t>г) 100000 рублей, если цена контракта превышает 100 млн. рублей.</w:t>
      </w:r>
    </w:p>
    <w:p w14:paraId="10F4F91D">
      <w:pPr>
        <w:widowControl w:val="0"/>
        <w:ind w:firstLine="567"/>
        <w:jc w:val="both"/>
        <w:rPr>
          <w:rFonts w:eastAsia="Calibri"/>
          <w:sz w:val="20"/>
          <w:szCs w:val="20"/>
          <w:lang w:eastAsia="en-US"/>
        </w:rPr>
      </w:pPr>
      <w:r>
        <w:rPr>
          <w:rFonts w:eastAsia="Calibri"/>
          <w:sz w:val="20"/>
          <w:szCs w:val="20"/>
          <w:lang w:eastAsia="en-US"/>
        </w:rPr>
        <w:t>5.3.4.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32D4A8E2">
      <w:pPr>
        <w:widowControl w:val="0"/>
        <w:ind w:firstLine="567"/>
        <w:jc w:val="both"/>
        <w:rPr>
          <w:rFonts w:eastAsia="Calibri"/>
          <w:sz w:val="20"/>
          <w:szCs w:val="20"/>
          <w:lang w:eastAsia="en-US"/>
        </w:rPr>
      </w:pPr>
      <w:r>
        <w:rPr>
          <w:rFonts w:eastAsia="Calibri"/>
          <w:b/>
          <w:sz w:val="20"/>
          <w:szCs w:val="20"/>
          <w:lang w:eastAsia="en-US"/>
        </w:rPr>
        <w:t>5.4. Ответственность Заказчика:</w:t>
      </w:r>
    </w:p>
    <w:p w14:paraId="48D8344A">
      <w:pPr>
        <w:widowControl w:val="0"/>
        <w:ind w:firstLine="567"/>
        <w:jc w:val="both"/>
        <w:rPr>
          <w:rFonts w:eastAsia="Calibri"/>
          <w:sz w:val="20"/>
          <w:szCs w:val="20"/>
          <w:lang w:eastAsia="en-US"/>
        </w:rPr>
      </w:pPr>
      <w:r>
        <w:rPr>
          <w:rFonts w:eastAsia="Calibri"/>
          <w:sz w:val="20"/>
          <w:szCs w:val="20"/>
          <w:lang w:eastAsia="en-US"/>
        </w:rPr>
        <w:t>5.4.1.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672E6F31">
      <w:pPr>
        <w:widowControl w:val="0"/>
        <w:ind w:firstLine="567"/>
        <w:jc w:val="both"/>
        <w:rPr>
          <w:rFonts w:eastAsia="Calibri"/>
          <w:sz w:val="20"/>
          <w:szCs w:val="20"/>
          <w:lang w:eastAsia="en-US"/>
        </w:rPr>
      </w:pPr>
      <w:r>
        <w:rPr>
          <w:rFonts w:eastAsia="Calibri"/>
          <w:sz w:val="20"/>
          <w:szCs w:val="20"/>
          <w:lang w:eastAsia="en-US"/>
        </w:rPr>
        <w:t>5.4.2.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3703408">
      <w:pPr>
        <w:widowControl w:val="0"/>
        <w:ind w:firstLine="567"/>
        <w:jc w:val="both"/>
        <w:rPr>
          <w:rFonts w:eastAsia="Calibri"/>
          <w:sz w:val="20"/>
          <w:szCs w:val="20"/>
          <w:lang w:eastAsia="en-US"/>
        </w:rPr>
      </w:pPr>
      <w:r>
        <w:rPr>
          <w:rFonts w:eastAsia="Calibri"/>
          <w:sz w:val="20"/>
          <w:szCs w:val="20"/>
          <w:lang w:eastAsia="en-US"/>
        </w:rPr>
        <w:t>5.4.3.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w:t>
      </w:r>
    </w:p>
    <w:p w14:paraId="24820C8F">
      <w:pPr>
        <w:widowControl w:val="0"/>
        <w:ind w:firstLine="567"/>
        <w:jc w:val="both"/>
        <w:rPr>
          <w:rFonts w:eastAsia="Calibri"/>
          <w:sz w:val="20"/>
          <w:szCs w:val="20"/>
          <w:lang w:eastAsia="en-US"/>
        </w:rPr>
      </w:pPr>
      <w:r>
        <w:rPr>
          <w:rFonts w:eastAsia="Calibri"/>
          <w:sz w:val="20"/>
          <w:szCs w:val="20"/>
          <w:lang w:eastAsia="en-US"/>
        </w:rPr>
        <w:t>а) 1000 рублей, если цена контракта не превышает 3 млн. рублей (включительно);</w:t>
      </w:r>
    </w:p>
    <w:p w14:paraId="3B86B5EC">
      <w:pPr>
        <w:widowControl w:val="0"/>
        <w:ind w:firstLine="567"/>
        <w:jc w:val="both"/>
        <w:rPr>
          <w:rFonts w:eastAsia="Calibri"/>
          <w:sz w:val="20"/>
          <w:szCs w:val="20"/>
          <w:lang w:eastAsia="en-US"/>
        </w:rPr>
      </w:pPr>
      <w:r>
        <w:rPr>
          <w:rFonts w:eastAsia="Calibri"/>
          <w:sz w:val="20"/>
          <w:szCs w:val="20"/>
          <w:lang w:eastAsia="en-US"/>
        </w:rPr>
        <w:t>б) 5000 рублей, если цена контракта составляет от 3 млн. рублей до 50 млн. рублей (включительно);</w:t>
      </w:r>
    </w:p>
    <w:p w14:paraId="3AE981D5">
      <w:pPr>
        <w:widowControl w:val="0"/>
        <w:ind w:firstLine="567"/>
        <w:jc w:val="both"/>
        <w:rPr>
          <w:rFonts w:eastAsia="Calibri"/>
          <w:sz w:val="20"/>
          <w:szCs w:val="20"/>
          <w:lang w:eastAsia="en-US"/>
        </w:rPr>
      </w:pPr>
      <w:r>
        <w:rPr>
          <w:rFonts w:eastAsia="Calibri"/>
          <w:sz w:val="20"/>
          <w:szCs w:val="20"/>
          <w:lang w:eastAsia="en-US"/>
        </w:rPr>
        <w:t>в) 10000 рублей, если цена контракта составляет от 50 млн. рублей до 100 млн. рублей (включительно);</w:t>
      </w:r>
    </w:p>
    <w:p w14:paraId="3221F2AD">
      <w:pPr>
        <w:widowControl w:val="0"/>
        <w:ind w:firstLine="567"/>
        <w:jc w:val="both"/>
        <w:rPr>
          <w:rFonts w:eastAsia="Calibri"/>
          <w:sz w:val="20"/>
          <w:szCs w:val="20"/>
          <w:lang w:eastAsia="en-US"/>
        </w:rPr>
      </w:pPr>
      <w:r>
        <w:rPr>
          <w:rFonts w:eastAsia="Calibri"/>
          <w:sz w:val="20"/>
          <w:szCs w:val="20"/>
          <w:lang w:eastAsia="en-US"/>
        </w:rPr>
        <w:t>г) 100000 рублей, если цена контракта превышает 100 млн. рублей.</w:t>
      </w:r>
    </w:p>
    <w:p w14:paraId="48A8390E">
      <w:pPr>
        <w:widowControl w:val="0"/>
        <w:ind w:firstLine="567"/>
        <w:jc w:val="both"/>
        <w:rPr>
          <w:rFonts w:eastAsia="Calibri"/>
          <w:sz w:val="20"/>
          <w:szCs w:val="20"/>
          <w:lang w:eastAsia="en-US"/>
        </w:rPr>
      </w:pPr>
      <w:r>
        <w:rPr>
          <w:rFonts w:eastAsia="Calibri"/>
          <w:sz w:val="20"/>
          <w:szCs w:val="20"/>
          <w:lang w:eastAsia="en-US"/>
        </w:rPr>
        <w:t>5.4.4.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98BE584">
      <w:pPr>
        <w:widowControl w:val="0"/>
        <w:ind w:firstLine="567"/>
        <w:jc w:val="both"/>
        <w:rPr>
          <w:rFonts w:eastAsia="Calibri"/>
          <w:sz w:val="20"/>
          <w:szCs w:val="20"/>
          <w:lang w:eastAsia="en-US"/>
        </w:rPr>
      </w:pPr>
      <w:r>
        <w:rPr>
          <w:rFonts w:eastAsia="Calibri"/>
          <w:sz w:val="20"/>
          <w:szCs w:val="20"/>
          <w:lang w:eastAsia="en-US"/>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5D2C405">
      <w:pPr>
        <w:widowControl w:val="0"/>
        <w:ind w:firstLine="567"/>
        <w:jc w:val="both"/>
        <w:rPr>
          <w:rFonts w:eastAsia="Calibri"/>
          <w:sz w:val="20"/>
          <w:szCs w:val="20"/>
          <w:lang w:eastAsia="en-US"/>
        </w:rPr>
      </w:pPr>
      <w:r>
        <w:rPr>
          <w:rFonts w:eastAsia="Calibri"/>
          <w:sz w:val="20"/>
          <w:szCs w:val="20"/>
          <w:lang w:eastAsia="en-US"/>
        </w:rPr>
        <w:t>5.6. Неустойка (штрафы, пени) по Контракту выплачивается только на основании обоснованного письменного требования Стороны.</w:t>
      </w:r>
    </w:p>
    <w:p w14:paraId="5F280B7D">
      <w:pPr>
        <w:widowControl w:val="0"/>
        <w:ind w:firstLine="567"/>
        <w:jc w:val="both"/>
        <w:rPr>
          <w:rFonts w:eastAsia="Calibri"/>
          <w:sz w:val="20"/>
          <w:szCs w:val="20"/>
          <w:lang w:eastAsia="en-US"/>
        </w:rPr>
      </w:pPr>
      <w:r>
        <w:rPr>
          <w:rFonts w:eastAsia="Calibri"/>
          <w:sz w:val="20"/>
          <w:szCs w:val="20"/>
          <w:lang w:eastAsia="en-US"/>
        </w:rPr>
        <w:t>5.7. В случае невыполнения Подрядчиком требования Заказчика устранить выявленные недостатки в течение указанного Заказчиком срока, Заказчик вправе предъявить Подрядчику требование о возмещении понесенных убытков, уплате неустойки и расторжении Контракта.</w:t>
      </w:r>
    </w:p>
    <w:p w14:paraId="529D546A">
      <w:pPr>
        <w:widowControl w:val="0"/>
        <w:ind w:firstLine="567"/>
        <w:jc w:val="both"/>
        <w:rPr>
          <w:rFonts w:eastAsia="Calibri"/>
          <w:sz w:val="20"/>
          <w:szCs w:val="20"/>
          <w:lang w:eastAsia="en-US"/>
        </w:rPr>
      </w:pPr>
      <w:r>
        <w:rPr>
          <w:rFonts w:eastAsia="Calibri"/>
          <w:sz w:val="20"/>
          <w:szCs w:val="20"/>
          <w:lang w:eastAsia="en-US"/>
        </w:rPr>
        <w:t>5.8. Подрядчик несет имущественную ответственность за причинение ущерба имуществу третьих лиц при оказании Услуг по Контракту.</w:t>
      </w:r>
    </w:p>
    <w:p w14:paraId="2B085D00">
      <w:pPr>
        <w:widowControl w:val="0"/>
        <w:ind w:firstLine="567"/>
        <w:jc w:val="both"/>
        <w:rPr>
          <w:rFonts w:eastAsia="Calibri"/>
          <w:sz w:val="20"/>
          <w:szCs w:val="20"/>
          <w:lang w:eastAsia="en-US"/>
        </w:rPr>
      </w:pPr>
      <w:r>
        <w:rPr>
          <w:rFonts w:eastAsia="Calibri"/>
          <w:sz w:val="20"/>
          <w:szCs w:val="20"/>
          <w:lang w:eastAsia="en-US"/>
        </w:rPr>
        <w:t>5.9. В случае порчи имущества Заказчика, оказавшегося во владении Подрядчика в связи с исполнением Контракта, Подрядчик обязан за свой счет возместить Заказчику понесенный ущерб.</w:t>
      </w:r>
    </w:p>
    <w:p w14:paraId="0EA6F0A4">
      <w:pPr>
        <w:widowControl w:val="0"/>
        <w:ind w:firstLine="567"/>
        <w:jc w:val="both"/>
        <w:rPr>
          <w:rFonts w:eastAsia="Calibri"/>
          <w:sz w:val="20"/>
          <w:szCs w:val="20"/>
          <w:lang w:eastAsia="en-US"/>
        </w:rPr>
      </w:pPr>
      <w:r>
        <w:rPr>
          <w:rFonts w:eastAsia="Calibri"/>
          <w:sz w:val="20"/>
          <w:szCs w:val="20"/>
          <w:lang w:eastAsia="en-US"/>
        </w:rPr>
        <w:t>5.10.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оказанных Услуг до их приемки в установленном законом порядке Заказчиком - несет Подрядчик.</w:t>
      </w:r>
    </w:p>
    <w:p w14:paraId="03C92958">
      <w:pPr>
        <w:widowControl w:val="0"/>
        <w:ind w:firstLine="567"/>
        <w:jc w:val="both"/>
        <w:rPr>
          <w:rFonts w:eastAsia="Calibri"/>
          <w:sz w:val="20"/>
          <w:szCs w:val="20"/>
          <w:lang w:eastAsia="en-US"/>
        </w:rPr>
      </w:pPr>
      <w:r>
        <w:rPr>
          <w:rFonts w:eastAsia="Calibri"/>
          <w:sz w:val="20"/>
          <w:szCs w:val="20"/>
          <w:lang w:eastAsia="en-US"/>
        </w:rPr>
        <w:t>5.11.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50B9B9B">
      <w:pPr>
        <w:widowControl w:val="0"/>
        <w:ind w:firstLine="567"/>
        <w:jc w:val="both"/>
        <w:rPr>
          <w:sz w:val="20"/>
          <w:szCs w:val="20"/>
          <w:lang w:eastAsia="en-US"/>
        </w:rPr>
      </w:pPr>
      <w:r>
        <w:rPr>
          <w:sz w:val="20"/>
          <w:szCs w:val="20"/>
          <w:lang w:eastAsia="en-US"/>
        </w:rPr>
        <w:t>5.12. В случае неисполнения Подрядчиком условий настоящего Контракта Заказчик вправе обратиться в суд с требованием о расторжении настоящего Контракта.</w:t>
      </w:r>
    </w:p>
    <w:p w14:paraId="74E58AA7">
      <w:pPr>
        <w:widowControl w:val="0"/>
        <w:ind w:firstLine="567"/>
        <w:jc w:val="both"/>
        <w:rPr>
          <w:sz w:val="20"/>
          <w:szCs w:val="20"/>
          <w:lang w:eastAsia="en-US"/>
        </w:rPr>
      </w:pPr>
      <w:r>
        <w:rPr>
          <w:sz w:val="20"/>
          <w:szCs w:val="20"/>
          <w:lang w:eastAsia="en-US"/>
        </w:rPr>
        <w:t>5.13. Применение неустойки (штрафа, пени) не освобождает Стороны от исполнения обязательств по настоящему Контракту.</w:t>
      </w:r>
    </w:p>
    <w:p w14:paraId="2619F30D">
      <w:pPr>
        <w:widowControl w:val="0"/>
        <w:ind w:firstLine="567"/>
        <w:jc w:val="both"/>
        <w:rPr>
          <w:sz w:val="20"/>
          <w:szCs w:val="20"/>
          <w:lang w:eastAsia="en-US"/>
        </w:rPr>
      </w:pPr>
      <w:r>
        <w:rPr>
          <w:sz w:val="20"/>
          <w:szCs w:val="20"/>
          <w:lang w:eastAsia="en-US"/>
        </w:rPr>
        <w:t>5.14.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163AB1E">
      <w:pPr>
        <w:widowControl w:val="0"/>
        <w:ind w:firstLine="567"/>
        <w:jc w:val="both"/>
        <w:rPr>
          <w:sz w:val="20"/>
          <w:szCs w:val="20"/>
          <w:lang w:eastAsia="en-US"/>
        </w:rPr>
      </w:pPr>
      <w:r>
        <w:rPr>
          <w:sz w:val="20"/>
          <w:szCs w:val="20"/>
          <w:lang w:eastAsia="en-US"/>
        </w:rPr>
        <w:t>5.15.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83DAA0B">
      <w:pPr>
        <w:widowControl w:val="0"/>
        <w:ind w:firstLine="567"/>
        <w:jc w:val="both"/>
        <w:rPr>
          <w:sz w:val="20"/>
          <w:szCs w:val="20"/>
          <w:lang w:eastAsia="en-US"/>
        </w:rPr>
      </w:pPr>
    </w:p>
    <w:p w14:paraId="2D97D1F5">
      <w:pPr>
        <w:jc w:val="center"/>
        <w:rPr>
          <w:b/>
          <w:bCs/>
          <w:sz w:val="20"/>
          <w:szCs w:val="20"/>
        </w:rPr>
      </w:pPr>
      <w:r>
        <w:rPr>
          <w:b/>
          <w:bCs/>
          <w:sz w:val="20"/>
          <w:szCs w:val="20"/>
        </w:rPr>
        <w:t>6. Риски случайной гибели</w:t>
      </w:r>
    </w:p>
    <w:p w14:paraId="70176ABB">
      <w:pPr>
        <w:jc w:val="center"/>
        <w:rPr>
          <w:sz w:val="20"/>
          <w:szCs w:val="20"/>
        </w:rPr>
      </w:pPr>
    </w:p>
    <w:p w14:paraId="777683C8">
      <w:pPr>
        <w:jc w:val="both"/>
        <w:rPr>
          <w:sz w:val="20"/>
          <w:szCs w:val="20"/>
        </w:rPr>
      </w:pPr>
      <w:r>
        <w:rPr>
          <w:sz w:val="20"/>
          <w:szCs w:val="20"/>
        </w:rPr>
        <w:tab/>
      </w:r>
      <w:r>
        <w:rPr>
          <w:sz w:val="20"/>
          <w:szCs w:val="20"/>
        </w:rPr>
        <w:t xml:space="preserve">6.1. Подрядчик несет риски случайной гибели материалов и оборудования, поставляемых Подрядчиком, а также выполненных, но не принятых Заказчиком работ. </w:t>
      </w:r>
    </w:p>
    <w:p w14:paraId="3FB42C47">
      <w:pPr>
        <w:jc w:val="both"/>
        <w:rPr>
          <w:sz w:val="20"/>
          <w:szCs w:val="20"/>
        </w:rPr>
      </w:pPr>
      <w:r>
        <w:rPr>
          <w:sz w:val="20"/>
          <w:szCs w:val="20"/>
        </w:rPr>
        <w:t>6.2. Заказчик несет риски случайной гибели выполненных и принятых Заказчиком работ.</w:t>
      </w:r>
    </w:p>
    <w:p w14:paraId="1A80AE3E">
      <w:pPr>
        <w:jc w:val="both"/>
        <w:rPr>
          <w:sz w:val="20"/>
          <w:szCs w:val="20"/>
        </w:rPr>
      </w:pPr>
      <w:r>
        <w:rPr>
          <w:sz w:val="20"/>
          <w:szCs w:val="20"/>
        </w:rPr>
        <w:t>6.3. В случае нарушения Подрядчиком обязательств по Контракту Заказчик вправе удержать начисленные за нарушения штрафы и пени из суммы, подлежащей уплате за исполнение обязательств по данному Контракту.</w:t>
      </w:r>
      <w:r>
        <w:rPr>
          <w:sz w:val="20"/>
          <w:szCs w:val="20"/>
        </w:rPr>
        <w:br w:type="textWrapping"/>
      </w:r>
    </w:p>
    <w:p w14:paraId="6D71BC76">
      <w:pPr>
        <w:jc w:val="center"/>
        <w:rPr>
          <w:sz w:val="20"/>
          <w:szCs w:val="20"/>
        </w:rPr>
      </w:pPr>
      <w:r>
        <w:rPr>
          <w:b/>
          <w:sz w:val="20"/>
          <w:szCs w:val="20"/>
        </w:rPr>
        <w:t>7. Форс-мажор</w:t>
      </w:r>
    </w:p>
    <w:p w14:paraId="556D6486">
      <w:pPr>
        <w:jc w:val="both"/>
        <w:outlineLvl w:val="0"/>
        <w:rPr>
          <w:sz w:val="20"/>
          <w:szCs w:val="20"/>
        </w:rPr>
      </w:pPr>
    </w:p>
    <w:p w14:paraId="362B029E">
      <w:pPr>
        <w:pStyle w:val="6"/>
        <w:outlineLvl w:val="0"/>
        <w:rPr>
          <w:sz w:val="20"/>
          <w:szCs w:val="20"/>
        </w:rPr>
      </w:pPr>
      <w:r>
        <w:rPr>
          <w:sz w:val="20"/>
          <w:szCs w:val="20"/>
        </w:rPr>
        <w:t>7.1. Стороны    освобождаются    от   частичного   или   полного неисполнения  обязательств   по   настоящему   Контракту,   если   это неисполнение  явилось  следствием  обстоятельств  непреодолимой силы, возникших после заключения настоящего Контракта в  результате  событий    чрезвычайного характера,  которые сторона не могла ни предвидеть,  ни предотвратить разумными мерами.  К обстоятельствам непреодолимой силы относятся события,  на которые участник не может оказать влияния и за возникновение  которых  он  не   несет   ответственности,   например, землетрясение,     наводнение,    пожар,    а    также    забастовка, правительственные  постановления  или  распоряжения   государственных    органов, немедленно  информировать  другую   сторону   о   наступлении    подобных  обстоятельств  в  письменной  форме,  причем  по требованию    другой  стороны  должен  быть  представлен  удостоверяющий  документ.    Информация должна содержать данные о характере обстоятельств,  оценку их влияния на исполнение стороной своих  обязательств  по  настоящему    Контракту и на срок исполнения обязательств.</w:t>
      </w:r>
    </w:p>
    <w:p w14:paraId="4FB538A6">
      <w:pPr>
        <w:pStyle w:val="8"/>
        <w:rPr>
          <w:sz w:val="20"/>
          <w:szCs w:val="20"/>
        </w:rPr>
      </w:pPr>
      <w:r>
        <w:rPr>
          <w:sz w:val="20"/>
          <w:szCs w:val="20"/>
        </w:rPr>
        <w:t>7.2. Сторона, которая не может из-за обстоятельств непреодолимой силы выполнить  обязательства  по  настоящему  Контракту,  приложит  с учетом положений Контракта все усилия к тому,  чтобы как можно скорее   компенсировать последствия невыполнения обязательств.</w:t>
      </w:r>
    </w:p>
    <w:p w14:paraId="5E7D80F9">
      <w:pPr>
        <w:pStyle w:val="8"/>
        <w:rPr>
          <w:sz w:val="20"/>
          <w:szCs w:val="20"/>
        </w:rPr>
      </w:pPr>
      <w:r>
        <w:rPr>
          <w:sz w:val="20"/>
          <w:szCs w:val="20"/>
        </w:rPr>
        <w:t>7.3. Если, по мнению Сторон, выполнение Работ может быть продолжено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14:paraId="3FCDA3C8">
      <w:pPr>
        <w:pStyle w:val="8"/>
        <w:rPr>
          <w:sz w:val="20"/>
          <w:szCs w:val="20"/>
        </w:rPr>
      </w:pPr>
    </w:p>
    <w:p w14:paraId="630533B7">
      <w:pPr>
        <w:pStyle w:val="8"/>
        <w:jc w:val="center"/>
        <w:rPr>
          <w:b/>
          <w:sz w:val="20"/>
          <w:szCs w:val="20"/>
        </w:rPr>
      </w:pPr>
      <w:r>
        <w:rPr>
          <w:b/>
          <w:sz w:val="20"/>
          <w:szCs w:val="20"/>
        </w:rPr>
        <w:t>8. Гарантийные обязательства</w:t>
      </w:r>
    </w:p>
    <w:p w14:paraId="7FFC591D">
      <w:pPr>
        <w:pStyle w:val="8"/>
        <w:jc w:val="center"/>
        <w:rPr>
          <w:b/>
          <w:sz w:val="20"/>
          <w:szCs w:val="20"/>
        </w:rPr>
      </w:pPr>
    </w:p>
    <w:p w14:paraId="4A0CBFE5">
      <w:pPr>
        <w:jc w:val="both"/>
        <w:rPr>
          <w:sz w:val="20"/>
          <w:szCs w:val="20"/>
        </w:rPr>
      </w:pPr>
      <w:r>
        <w:rPr>
          <w:sz w:val="20"/>
          <w:szCs w:val="20"/>
        </w:rPr>
        <w:t>8.1. Подрядчик гарантирует, что оказываемые услуги соответствуют требованиям, установленным в Контракте, обязательным нормам и правилам, регулирующим данную деятельность, а также иным требованиям законодательства Российской Федерации, действующим на момент оказания услуг.</w:t>
      </w:r>
    </w:p>
    <w:p w14:paraId="568D2664">
      <w:pPr>
        <w:jc w:val="both"/>
        <w:rPr>
          <w:sz w:val="20"/>
          <w:szCs w:val="20"/>
        </w:rPr>
      </w:pPr>
      <w:r>
        <w:rPr>
          <w:sz w:val="20"/>
          <w:szCs w:val="20"/>
        </w:rPr>
        <w:t xml:space="preserve">8.2. Гарантийный срок на оказываемые по Контракту услуги составляет 24 месяца с даты подписания Сторонами </w:t>
      </w:r>
      <w:r>
        <w:rPr>
          <w:rStyle w:val="15"/>
          <w:color w:val="000000"/>
          <w:sz w:val="20"/>
          <w:szCs w:val="20"/>
        </w:rPr>
        <w:t>а</w:t>
      </w:r>
      <w:r>
        <w:rPr>
          <w:sz w:val="20"/>
          <w:szCs w:val="20"/>
        </w:rPr>
        <w:t>кта оказанных услуг.</w:t>
      </w:r>
    </w:p>
    <w:p w14:paraId="6D3BEB85">
      <w:pPr>
        <w:jc w:val="both"/>
        <w:rPr>
          <w:sz w:val="20"/>
          <w:szCs w:val="20"/>
        </w:rPr>
      </w:pPr>
      <w:r>
        <w:rPr>
          <w:sz w:val="20"/>
          <w:szCs w:val="20"/>
        </w:rPr>
        <w:t>8.3. Под гарантией понимается устранение Подрядчиком своими силами и за свой счет допущенных по его вине недостатков, выявленных после оказания услуг.</w:t>
      </w:r>
    </w:p>
    <w:p w14:paraId="32B64F7E">
      <w:pPr>
        <w:jc w:val="both"/>
        <w:rPr>
          <w:sz w:val="20"/>
          <w:szCs w:val="20"/>
        </w:rPr>
      </w:pPr>
      <w:r>
        <w:rPr>
          <w:sz w:val="20"/>
          <w:szCs w:val="20"/>
        </w:rPr>
        <w:t>8.4.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6E23B7A3">
      <w:pPr>
        <w:jc w:val="both"/>
        <w:rPr>
          <w:sz w:val="20"/>
          <w:szCs w:val="20"/>
        </w:rPr>
      </w:pPr>
      <w:r>
        <w:rPr>
          <w:sz w:val="20"/>
          <w:szCs w:val="20"/>
        </w:rPr>
        <w:t>8.5. Подрядчик гарантирует возможность безопасного использования результата оказанных услуг по назначению в течение всего гарантийного срока.</w:t>
      </w:r>
    </w:p>
    <w:p w14:paraId="6673F8BA">
      <w:pPr>
        <w:jc w:val="both"/>
        <w:rPr>
          <w:sz w:val="20"/>
          <w:szCs w:val="20"/>
        </w:rPr>
      </w:pPr>
    </w:p>
    <w:p w14:paraId="0DBBDE61">
      <w:pPr>
        <w:tabs>
          <w:tab w:val="left" w:pos="5680"/>
        </w:tabs>
        <w:ind w:hanging="1069"/>
        <w:jc w:val="center"/>
        <w:rPr>
          <w:b/>
          <w:bCs/>
          <w:sz w:val="20"/>
          <w:szCs w:val="20"/>
        </w:rPr>
      </w:pPr>
      <w:r>
        <w:rPr>
          <w:b/>
          <w:bCs/>
          <w:sz w:val="20"/>
          <w:szCs w:val="20"/>
        </w:rPr>
        <w:t>9. Разрешение споров</w:t>
      </w:r>
    </w:p>
    <w:p w14:paraId="30771021">
      <w:pPr>
        <w:jc w:val="both"/>
        <w:rPr>
          <w:sz w:val="20"/>
          <w:szCs w:val="20"/>
        </w:rPr>
      </w:pPr>
    </w:p>
    <w:p w14:paraId="2CDEA8F4">
      <w:pPr>
        <w:jc w:val="both"/>
        <w:rPr>
          <w:sz w:val="20"/>
          <w:szCs w:val="20"/>
        </w:rPr>
      </w:pPr>
      <w:r>
        <w:rPr>
          <w:sz w:val="20"/>
          <w:szCs w:val="20"/>
        </w:rPr>
        <w:t xml:space="preserve"> 9.1. Все споры и разногласия,  которые могут возникнуть  в  ходе  исполнения  настоящего  Контракта,  будут  разрешаться сторонами путем  переговоров.</w:t>
      </w:r>
    </w:p>
    <w:p w14:paraId="2397E814">
      <w:pPr>
        <w:jc w:val="both"/>
        <w:rPr>
          <w:sz w:val="20"/>
          <w:szCs w:val="20"/>
        </w:rPr>
      </w:pPr>
      <w:r>
        <w:rPr>
          <w:sz w:val="20"/>
          <w:szCs w:val="20"/>
        </w:rPr>
        <w:t xml:space="preserve"> 9.2. В случае  невозможности  разрешения споров путем переговоров стороны передают их на рассмотрение в арбитражный суд Санкт-Петербурга и Ленинградской области. Во всем  остальном,  что  не  оговорено  в  настоящем  Контракте, стороны руководствуются действующим законодательством РФ.</w:t>
      </w:r>
    </w:p>
    <w:p w14:paraId="0746CDE5">
      <w:pPr>
        <w:jc w:val="both"/>
        <w:rPr>
          <w:b/>
          <w:bCs/>
          <w:sz w:val="20"/>
          <w:szCs w:val="20"/>
        </w:rPr>
      </w:pPr>
    </w:p>
    <w:p w14:paraId="3FB49209">
      <w:pPr>
        <w:widowControl w:val="0"/>
        <w:numPr>
          <w:ilvl w:val="0"/>
          <w:numId w:val="2"/>
        </w:numPr>
        <w:autoSpaceDE w:val="0"/>
        <w:autoSpaceDN w:val="0"/>
        <w:adjustRightInd w:val="0"/>
        <w:jc w:val="center"/>
        <w:outlineLvl w:val="1"/>
        <w:rPr>
          <w:b/>
          <w:sz w:val="20"/>
          <w:szCs w:val="20"/>
        </w:rPr>
      </w:pPr>
      <w:r>
        <w:rPr>
          <w:b/>
          <w:sz w:val="20"/>
          <w:szCs w:val="20"/>
        </w:rPr>
        <w:t>Срок действия, порядок изменения и расторжения Контракта</w:t>
      </w:r>
    </w:p>
    <w:p w14:paraId="5191376D">
      <w:pPr>
        <w:widowControl w:val="0"/>
        <w:autoSpaceDE w:val="0"/>
        <w:autoSpaceDN w:val="0"/>
        <w:adjustRightInd w:val="0"/>
        <w:ind w:left="360"/>
        <w:outlineLvl w:val="1"/>
        <w:rPr>
          <w:b/>
          <w:sz w:val="20"/>
          <w:szCs w:val="20"/>
        </w:rPr>
      </w:pPr>
    </w:p>
    <w:p w14:paraId="3BE8E0D8">
      <w:pPr>
        <w:autoSpaceDE w:val="0"/>
        <w:autoSpaceDN w:val="0"/>
        <w:jc w:val="both"/>
        <w:rPr>
          <w:rFonts w:eastAsia="Calibri"/>
          <w:color w:val="000000"/>
          <w:sz w:val="20"/>
          <w:szCs w:val="20"/>
          <w:lang w:eastAsia="en-US"/>
        </w:rPr>
      </w:pPr>
      <w:r>
        <w:rPr>
          <w:rFonts w:eastAsia="Calibri"/>
          <w:color w:val="000000"/>
          <w:sz w:val="20"/>
          <w:szCs w:val="20"/>
          <w:lang w:eastAsia="en-US"/>
        </w:rPr>
        <w:t>10.1. Контракт вступает в силу со дня его подписания Сторонами и  действует до 31 декабря 2026г.</w:t>
      </w:r>
    </w:p>
    <w:p w14:paraId="09B1D153">
      <w:pPr>
        <w:autoSpaceDE w:val="0"/>
        <w:autoSpaceDN w:val="0"/>
        <w:adjustRightInd w:val="0"/>
        <w:jc w:val="both"/>
        <w:rPr>
          <w:rFonts w:eastAsia="Calibri"/>
          <w:sz w:val="20"/>
          <w:szCs w:val="20"/>
        </w:rPr>
      </w:pPr>
      <w:r>
        <w:rPr>
          <w:rFonts w:eastAsia="Calibri"/>
          <w:color w:val="000000"/>
          <w:sz w:val="20"/>
          <w:szCs w:val="20"/>
          <w:lang w:eastAsia="en-US"/>
        </w:rPr>
        <w:t xml:space="preserve">10.2. </w:t>
      </w:r>
      <w:r>
        <w:rPr>
          <w:rFonts w:eastAsia="Calibri"/>
          <w:sz w:val="20"/>
          <w:szCs w:val="20"/>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w:t>
      </w:r>
      <w:r>
        <w:rPr>
          <w:sz w:val="20"/>
          <w:szCs w:val="20"/>
        </w:rPr>
        <w:t>Федерального закона № 44-ФЗ от 05.04.2013 «О контрактной системе в сфере закупок товаров, работ, услуг для обеспечения государственных и муниципальных нужд»</w:t>
      </w:r>
      <w:r>
        <w:rPr>
          <w:rFonts w:eastAsia="Calibri"/>
          <w:sz w:val="20"/>
          <w:szCs w:val="20"/>
        </w:rPr>
        <w:t>.</w:t>
      </w:r>
    </w:p>
    <w:p w14:paraId="0CCFC144">
      <w:pPr>
        <w:widowControl w:val="0"/>
        <w:tabs>
          <w:tab w:val="left" w:pos="709"/>
        </w:tabs>
        <w:autoSpaceDE w:val="0"/>
        <w:autoSpaceDN w:val="0"/>
        <w:adjustRightInd w:val="0"/>
        <w:jc w:val="both"/>
        <w:rPr>
          <w:rFonts w:eastAsia="Calibri"/>
          <w:sz w:val="20"/>
          <w:szCs w:val="20"/>
          <w:lang w:eastAsia="en-US"/>
        </w:rPr>
      </w:pPr>
      <w:r>
        <w:rPr>
          <w:rFonts w:eastAsia="Calibri"/>
          <w:sz w:val="20"/>
          <w:szCs w:val="20"/>
          <w:lang w:eastAsia="en-US"/>
        </w:rPr>
        <w:t>10.3. Контракт может быть расторгнут:</w:t>
      </w:r>
    </w:p>
    <w:p w14:paraId="5D0992A0">
      <w:pPr>
        <w:widowControl w:val="0"/>
        <w:tabs>
          <w:tab w:val="left" w:pos="709"/>
        </w:tabs>
        <w:autoSpaceDE w:val="0"/>
        <w:autoSpaceDN w:val="0"/>
        <w:adjustRightInd w:val="0"/>
        <w:jc w:val="both"/>
        <w:rPr>
          <w:rFonts w:eastAsia="Calibri"/>
          <w:sz w:val="20"/>
          <w:szCs w:val="20"/>
          <w:lang w:eastAsia="en-US"/>
        </w:rPr>
      </w:pPr>
      <w:r>
        <w:rPr>
          <w:rFonts w:eastAsia="Calibri"/>
          <w:sz w:val="20"/>
          <w:szCs w:val="20"/>
          <w:lang w:eastAsia="en-US"/>
        </w:rPr>
        <w:t>- по соглашению Сторон;</w:t>
      </w:r>
    </w:p>
    <w:p w14:paraId="6EA1B31D">
      <w:pPr>
        <w:widowControl w:val="0"/>
        <w:tabs>
          <w:tab w:val="left" w:pos="709"/>
        </w:tabs>
        <w:autoSpaceDE w:val="0"/>
        <w:autoSpaceDN w:val="0"/>
        <w:adjustRightInd w:val="0"/>
        <w:jc w:val="both"/>
        <w:rPr>
          <w:rFonts w:eastAsia="Calibri"/>
          <w:sz w:val="20"/>
          <w:szCs w:val="20"/>
          <w:lang w:eastAsia="en-US"/>
        </w:rPr>
      </w:pPr>
      <w:r>
        <w:rPr>
          <w:rFonts w:eastAsia="Calibri"/>
          <w:sz w:val="20"/>
          <w:szCs w:val="20"/>
          <w:lang w:eastAsia="en-US"/>
        </w:rPr>
        <w:t>- в случае одностороннего отказа Стороны от исполнения Контракта;</w:t>
      </w:r>
    </w:p>
    <w:p w14:paraId="3DE5A013">
      <w:pPr>
        <w:widowControl w:val="0"/>
        <w:tabs>
          <w:tab w:val="left" w:pos="709"/>
        </w:tabs>
        <w:autoSpaceDE w:val="0"/>
        <w:autoSpaceDN w:val="0"/>
        <w:adjustRightInd w:val="0"/>
        <w:jc w:val="both"/>
        <w:rPr>
          <w:rFonts w:eastAsia="Calibri"/>
          <w:sz w:val="20"/>
          <w:szCs w:val="20"/>
          <w:lang w:eastAsia="en-US"/>
        </w:rPr>
      </w:pPr>
      <w:r>
        <w:rPr>
          <w:rFonts w:eastAsia="Calibri"/>
          <w:sz w:val="20"/>
          <w:szCs w:val="20"/>
          <w:lang w:eastAsia="en-US"/>
        </w:rPr>
        <w:t>- по решению суда.</w:t>
      </w:r>
    </w:p>
    <w:p w14:paraId="7033912F">
      <w:pPr>
        <w:widowControl w:val="0"/>
        <w:autoSpaceDE w:val="0"/>
        <w:autoSpaceDN w:val="0"/>
        <w:adjustRightInd w:val="0"/>
        <w:jc w:val="both"/>
        <w:rPr>
          <w:rFonts w:eastAsia="Calibri"/>
          <w:sz w:val="20"/>
          <w:szCs w:val="20"/>
        </w:rPr>
      </w:pPr>
      <w:r>
        <w:rPr>
          <w:rFonts w:eastAsia="Calibri"/>
          <w:sz w:val="20"/>
          <w:szCs w:val="20"/>
        </w:rPr>
        <w:t>10.4. Расторжение Контракта по соглашению Сторон производится путем подписания соответствующего соглашения о расторжении.</w:t>
      </w:r>
    </w:p>
    <w:p w14:paraId="72AAEFB7">
      <w:pPr>
        <w:widowControl w:val="0"/>
        <w:autoSpaceDE w:val="0"/>
        <w:autoSpaceDN w:val="0"/>
        <w:adjustRightInd w:val="0"/>
        <w:jc w:val="both"/>
        <w:rPr>
          <w:rFonts w:eastAsia="Calibri"/>
          <w:sz w:val="20"/>
          <w:szCs w:val="20"/>
        </w:rPr>
      </w:pPr>
      <w:r>
        <w:rPr>
          <w:rFonts w:eastAsia="Calibri"/>
          <w:sz w:val="20"/>
          <w:szCs w:val="20"/>
        </w:rPr>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w:t>
      </w:r>
      <w:r>
        <w:rPr>
          <w:rFonts w:eastAsia="Calibri"/>
          <w:sz w:val="20"/>
          <w:szCs w:val="20"/>
        </w:rPr>
        <w:br w:type="textWrapping"/>
      </w:r>
      <w:r>
        <w:rPr>
          <w:rFonts w:eastAsia="Calibri"/>
          <w:sz w:val="20"/>
          <w:szCs w:val="20"/>
        </w:rPr>
        <w:t>5 (пяти) календарных дней с даты его получения.</w:t>
      </w:r>
    </w:p>
    <w:p w14:paraId="28A880E5">
      <w:pPr>
        <w:widowControl w:val="0"/>
        <w:autoSpaceDE w:val="0"/>
        <w:autoSpaceDN w:val="0"/>
        <w:adjustRightInd w:val="0"/>
        <w:jc w:val="both"/>
        <w:rPr>
          <w:rFonts w:eastAsia="Calibri"/>
          <w:sz w:val="20"/>
          <w:szCs w:val="20"/>
        </w:rPr>
      </w:pPr>
      <w:r>
        <w:rPr>
          <w:rFonts w:eastAsia="Calibri"/>
          <w:sz w:val="20"/>
          <w:szCs w:val="20"/>
        </w:rPr>
        <w:t xml:space="preserve">10.5. В случае расторжения Контракта по инициативе любой из Сторон производится сверка расчетов, которой подтверждается объем выполненных Подрядчиком Работ. </w:t>
      </w:r>
    </w:p>
    <w:p w14:paraId="144E90D3">
      <w:pPr>
        <w:widowControl w:val="0"/>
        <w:autoSpaceDE w:val="0"/>
        <w:autoSpaceDN w:val="0"/>
        <w:adjustRightInd w:val="0"/>
        <w:jc w:val="both"/>
        <w:rPr>
          <w:rFonts w:eastAsia="Calibri"/>
          <w:sz w:val="20"/>
          <w:szCs w:val="20"/>
        </w:rPr>
      </w:pPr>
      <w:r>
        <w:rPr>
          <w:rFonts w:eastAsia="Calibri"/>
          <w:sz w:val="20"/>
          <w:szCs w:val="20"/>
        </w:rPr>
        <w:t>10.6.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E7D892C">
      <w:pPr>
        <w:widowControl w:val="0"/>
        <w:autoSpaceDE w:val="0"/>
        <w:autoSpaceDN w:val="0"/>
        <w:adjustRightInd w:val="0"/>
        <w:jc w:val="both"/>
        <w:rPr>
          <w:rFonts w:eastAsia="Calibri"/>
          <w:sz w:val="20"/>
          <w:szCs w:val="20"/>
        </w:rPr>
      </w:pPr>
      <w:r>
        <w:rPr>
          <w:rFonts w:eastAsia="Calibri"/>
          <w:sz w:val="20"/>
          <w:szCs w:val="20"/>
        </w:rPr>
        <w:t>10.7. Односторонний отказ стороны от исполнения Контракта осуществляется в порядке, предусмотренном статьей 95 Закона.</w:t>
      </w:r>
    </w:p>
    <w:p w14:paraId="45E9AA5D">
      <w:pPr>
        <w:autoSpaceDE w:val="0"/>
        <w:autoSpaceDN w:val="0"/>
        <w:adjustRightInd w:val="0"/>
        <w:jc w:val="both"/>
        <w:rPr>
          <w:rFonts w:eastAsia="Calibri"/>
          <w:sz w:val="20"/>
          <w:szCs w:val="20"/>
        </w:rPr>
      </w:pPr>
      <w:r>
        <w:rPr>
          <w:rFonts w:eastAsia="Calibri"/>
          <w:sz w:val="20"/>
          <w:szCs w:val="20"/>
        </w:rPr>
        <w:t>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0" w:name="Par834"/>
      <w:bookmarkEnd w:id="0"/>
      <w:r>
        <w:rPr>
          <w:rFonts w:eastAsia="Calibri"/>
          <w:sz w:val="20"/>
          <w:szCs w:val="20"/>
        </w:rPr>
        <w:t>.</w:t>
      </w:r>
    </w:p>
    <w:p w14:paraId="7867EB90">
      <w:pPr>
        <w:tabs>
          <w:tab w:val="left" w:pos="4114"/>
        </w:tabs>
        <w:jc w:val="center"/>
        <w:rPr>
          <w:b/>
          <w:sz w:val="20"/>
          <w:szCs w:val="20"/>
        </w:rPr>
      </w:pPr>
    </w:p>
    <w:p w14:paraId="4AF0AB82">
      <w:pPr>
        <w:tabs>
          <w:tab w:val="left" w:pos="4114"/>
        </w:tabs>
        <w:jc w:val="center"/>
        <w:rPr>
          <w:sz w:val="20"/>
          <w:szCs w:val="20"/>
        </w:rPr>
      </w:pPr>
      <w:r>
        <w:rPr>
          <w:b/>
          <w:sz w:val="20"/>
          <w:szCs w:val="20"/>
        </w:rPr>
        <w:t>11. Реквизиты и подписи сторон</w:t>
      </w:r>
      <w:r>
        <w:rPr>
          <w:sz w:val="20"/>
          <w:szCs w:val="20"/>
        </w:rPr>
        <w:br w:type="textWrapping"/>
      </w:r>
      <w:r>
        <w:rPr>
          <w:sz w:val="20"/>
          <w:szCs w:val="20"/>
        </w:rPr>
        <w:t xml:space="preserve">11.1. В случае изменения юридического адреса или обслуживающего банка, стороны обязаны в 3( трёх) -дневный срок уведомить об этом друг друга. </w:t>
      </w:r>
    </w:p>
    <w:p w14:paraId="56AFDDBA">
      <w:pPr>
        <w:jc w:val="both"/>
        <w:rPr>
          <w:sz w:val="20"/>
          <w:szCs w:val="20"/>
        </w:rPr>
      </w:pPr>
      <w:r>
        <w:rPr>
          <w:sz w:val="20"/>
          <w:szCs w:val="20"/>
        </w:rPr>
        <w:t xml:space="preserve">11.2. Реквизиты и подписи сторон. </w:t>
      </w:r>
    </w:p>
    <w:tbl>
      <w:tblPr>
        <w:tblStyle w:val="3"/>
        <w:tblW w:w="9571" w:type="dxa"/>
        <w:tblInd w:w="-186" w:type="dxa"/>
        <w:tblLayout w:type="fixed"/>
        <w:tblCellMar>
          <w:top w:w="0" w:type="dxa"/>
          <w:left w:w="10" w:type="dxa"/>
          <w:bottom w:w="0" w:type="dxa"/>
          <w:right w:w="10" w:type="dxa"/>
        </w:tblCellMar>
      </w:tblPr>
      <w:tblGrid>
        <w:gridCol w:w="4785"/>
        <w:gridCol w:w="4786"/>
      </w:tblGrid>
      <w:tr w14:paraId="45C86429">
        <w:tblPrEx>
          <w:tblCellMar>
            <w:top w:w="0" w:type="dxa"/>
            <w:left w:w="10" w:type="dxa"/>
            <w:bottom w:w="0" w:type="dxa"/>
            <w:right w:w="10" w:type="dxa"/>
          </w:tblCellMar>
        </w:tblPrEx>
        <w:tc>
          <w:tcPr>
            <w:tcW w:w="4785" w:type="dxa"/>
            <w:shd w:val="clear" w:color="auto" w:fill="auto"/>
          </w:tcPr>
          <w:p w14:paraId="44C9ED17">
            <w:pPr>
              <w:rPr>
                <w:b/>
                <w:sz w:val="20"/>
                <w:szCs w:val="20"/>
              </w:rPr>
            </w:pPr>
            <w:r>
              <w:rPr>
                <w:b/>
                <w:sz w:val="20"/>
                <w:szCs w:val="20"/>
              </w:rPr>
              <w:t xml:space="preserve">Муниципальное общеобразовательное учреждение «Кузнеченская средняя общеобразовательная школа» </w:t>
            </w:r>
          </w:p>
          <w:p w14:paraId="61BA22F7">
            <w:pPr>
              <w:rPr>
                <w:b/>
                <w:sz w:val="20"/>
                <w:szCs w:val="20"/>
              </w:rPr>
            </w:pPr>
            <w:r>
              <w:rPr>
                <w:b/>
                <w:sz w:val="20"/>
                <w:szCs w:val="20"/>
              </w:rPr>
              <w:t>«МОУ Кузнеченская СОШ»</w:t>
            </w:r>
          </w:p>
          <w:p w14:paraId="241E2864">
            <w:pPr>
              <w:rPr>
                <w:sz w:val="20"/>
                <w:szCs w:val="20"/>
              </w:rPr>
            </w:pPr>
            <w:r>
              <w:rPr>
                <w:sz w:val="20"/>
                <w:szCs w:val="20"/>
              </w:rPr>
              <w:t>Адрес: 188751, Ленинградская область, Приозерский район, гп Кузнечное, улица Пионерская, д.1а</w:t>
            </w:r>
          </w:p>
          <w:p w14:paraId="38E4FBDC">
            <w:pPr>
              <w:rPr>
                <w:sz w:val="20"/>
                <w:szCs w:val="20"/>
              </w:rPr>
            </w:pPr>
            <w:r>
              <w:rPr>
                <w:sz w:val="20"/>
                <w:szCs w:val="20"/>
              </w:rPr>
              <w:t xml:space="preserve">ИНН: 4712013776 , КПП: 471201001, </w:t>
            </w:r>
          </w:p>
          <w:p w14:paraId="32A78CAD">
            <w:pPr>
              <w:rPr>
                <w:sz w:val="20"/>
                <w:szCs w:val="20"/>
              </w:rPr>
            </w:pPr>
            <w:r>
              <w:rPr>
                <w:sz w:val="20"/>
                <w:szCs w:val="20"/>
              </w:rPr>
              <w:t>ОГРН</w:t>
            </w:r>
            <w:r>
              <w:rPr>
                <w:color w:val="222222"/>
                <w:sz w:val="20"/>
                <w:szCs w:val="20"/>
                <w:shd w:val="clear" w:color="auto" w:fill="FFFFFF"/>
              </w:rPr>
              <w:t xml:space="preserve"> </w:t>
            </w:r>
            <w:r>
              <w:rPr>
                <w:sz w:val="20"/>
                <w:szCs w:val="20"/>
              </w:rPr>
              <w:t>1024701652700</w:t>
            </w:r>
          </w:p>
          <w:p w14:paraId="6AE61160">
            <w:pPr>
              <w:rPr>
                <w:sz w:val="20"/>
                <w:szCs w:val="20"/>
              </w:rPr>
            </w:pPr>
            <w:r>
              <w:rPr>
                <w:sz w:val="20"/>
                <w:szCs w:val="20"/>
              </w:rPr>
              <w:t>ОКТМО</w:t>
            </w:r>
            <w:r>
              <w:rPr>
                <w:color w:val="222222"/>
                <w:sz w:val="20"/>
                <w:szCs w:val="20"/>
                <w:shd w:val="clear" w:color="auto" w:fill="FFFFFF"/>
              </w:rPr>
              <w:t xml:space="preserve"> </w:t>
            </w:r>
            <w:r>
              <w:rPr>
                <w:sz w:val="20"/>
                <w:szCs w:val="20"/>
              </w:rPr>
              <w:t>41639154051</w:t>
            </w:r>
          </w:p>
          <w:p w14:paraId="13C70E8B">
            <w:pPr>
              <w:rPr>
                <w:sz w:val="20"/>
                <w:szCs w:val="20"/>
              </w:rPr>
            </w:pPr>
            <w:r>
              <w:rPr>
                <w:sz w:val="20"/>
                <w:szCs w:val="20"/>
              </w:rPr>
              <w:t>Банк:  ОКЦ № 1 Северо-западного ГУ Банка России//УФК по Ленинградской области,  г. Санкт-Петербург</w:t>
            </w:r>
          </w:p>
          <w:p w14:paraId="727C3EFC">
            <w:pPr>
              <w:rPr>
                <w:b/>
                <w:sz w:val="20"/>
                <w:szCs w:val="20"/>
              </w:rPr>
            </w:pPr>
            <w:r>
              <w:rPr>
                <w:sz w:val="20"/>
                <w:szCs w:val="20"/>
              </w:rPr>
              <w:t>БИК:</w:t>
            </w:r>
            <w:r>
              <w:rPr>
                <w:b/>
                <w:sz w:val="20"/>
                <w:szCs w:val="20"/>
              </w:rPr>
              <w:t>044030098</w:t>
            </w:r>
          </w:p>
          <w:p w14:paraId="1BA87038">
            <w:pPr>
              <w:rPr>
                <w:b/>
                <w:sz w:val="20"/>
                <w:szCs w:val="20"/>
              </w:rPr>
            </w:pPr>
            <w:r>
              <w:rPr>
                <w:b/>
                <w:sz w:val="20"/>
                <w:szCs w:val="20"/>
              </w:rPr>
              <w:t>р/с 03234643416390004500</w:t>
            </w:r>
          </w:p>
          <w:p w14:paraId="667D9661">
            <w:pPr>
              <w:rPr>
                <w:b/>
                <w:sz w:val="20"/>
                <w:szCs w:val="20"/>
              </w:rPr>
            </w:pPr>
            <w:r>
              <w:rPr>
                <w:b/>
                <w:sz w:val="20"/>
                <w:szCs w:val="20"/>
              </w:rPr>
              <w:t>к/с 40102810745370000098</w:t>
            </w:r>
          </w:p>
          <w:p w14:paraId="36385EB5">
            <w:pPr>
              <w:rPr>
                <w:b/>
                <w:sz w:val="20"/>
                <w:szCs w:val="20"/>
              </w:rPr>
            </w:pPr>
            <w:r>
              <w:rPr>
                <w:b/>
                <w:sz w:val="20"/>
                <w:szCs w:val="20"/>
              </w:rPr>
              <w:t>л/с 20884908419</w:t>
            </w:r>
          </w:p>
          <w:p w14:paraId="574F9D72">
            <w:pPr>
              <w:rPr>
                <w:sz w:val="20"/>
                <w:szCs w:val="20"/>
              </w:rPr>
            </w:pPr>
            <w:r>
              <w:rPr>
                <w:sz w:val="20"/>
                <w:szCs w:val="20"/>
              </w:rPr>
              <w:t>Тел./факс (81379)98-317</w:t>
            </w:r>
          </w:p>
          <w:p w14:paraId="549F7771">
            <w:pPr>
              <w:rPr>
                <w:color w:val="0000FF"/>
                <w:sz w:val="20"/>
                <w:szCs w:val="20"/>
                <w:u w:val="single"/>
                <w:shd w:val="clear" w:color="auto" w:fill="FFFFFF"/>
                <w:lang w:val="en-US"/>
              </w:rPr>
            </w:pPr>
            <w:r>
              <w:rPr>
                <w:sz w:val="20"/>
                <w:szCs w:val="20"/>
                <w:lang w:val="en-US"/>
              </w:rPr>
              <w:t xml:space="preserve">E-mail: </w:t>
            </w:r>
            <w:r>
              <w:fldChar w:fldCharType="begin"/>
            </w:r>
            <w:r>
              <w:instrText xml:space="preserve"> HYPERLINK "mailto:kuznechnoe-school@yandex.ru" </w:instrText>
            </w:r>
            <w:r>
              <w:fldChar w:fldCharType="separate"/>
            </w:r>
            <w:r>
              <w:rPr>
                <w:color w:val="0000FF"/>
                <w:sz w:val="20"/>
                <w:szCs w:val="20"/>
                <w:u w:val="single"/>
                <w:shd w:val="clear" w:color="auto" w:fill="FFFFFF"/>
                <w:lang w:val="en-US"/>
              </w:rPr>
              <w:t>kuznechnoe-school@yandex.ru</w:t>
            </w:r>
            <w:r>
              <w:rPr>
                <w:color w:val="0000FF"/>
                <w:sz w:val="20"/>
                <w:szCs w:val="20"/>
                <w:u w:val="single"/>
                <w:shd w:val="clear" w:color="auto" w:fill="FFFFFF"/>
                <w:lang w:val="en-US"/>
              </w:rPr>
              <w:fldChar w:fldCharType="end"/>
            </w:r>
          </w:p>
          <w:p w14:paraId="0BCF8BDF">
            <w:pPr>
              <w:rPr>
                <w:b/>
                <w:sz w:val="20"/>
                <w:szCs w:val="20"/>
                <w:shd w:val="clear" w:color="auto" w:fill="FFFFFF"/>
              </w:rPr>
            </w:pPr>
            <w:r>
              <w:rPr>
                <w:b/>
                <w:sz w:val="20"/>
                <w:szCs w:val="20"/>
                <w:shd w:val="clear" w:color="auto" w:fill="FFFFFF"/>
                <w:lang w:val="en-US"/>
              </w:rPr>
              <w:t xml:space="preserve">             </w:t>
            </w:r>
            <w:r>
              <w:rPr>
                <w:b/>
                <w:sz w:val="20"/>
                <w:szCs w:val="20"/>
                <w:shd w:val="clear" w:color="auto" w:fill="FFFFFF"/>
              </w:rPr>
              <w:t>Заказчик:</w:t>
            </w:r>
          </w:p>
          <w:p w14:paraId="3435A8F4">
            <w:pPr>
              <w:rPr>
                <w:sz w:val="20"/>
                <w:szCs w:val="20"/>
                <w:shd w:val="clear" w:color="auto" w:fill="FFFFFF"/>
              </w:rPr>
            </w:pPr>
            <w:r>
              <w:rPr>
                <w:sz w:val="20"/>
                <w:szCs w:val="20"/>
                <w:shd w:val="clear" w:color="auto" w:fill="FFFFFF"/>
              </w:rPr>
              <w:t xml:space="preserve">И.о. директора ___________       Никитин Д.Ю. </w:t>
            </w:r>
          </w:p>
          <w:p w14:paraId="3700BBEA">
            <w:pPr>
              <w:suppressAutoHyphens/>
              <w:autoSpaceDN w:val="0"/>
              <w:textAlignment w:val="baseline"/>
              <w:rPr>
                <w:rFonts w:eastAsia="MS Mincho"/>
                <w:sz w:val="20"/>
                <w:szCs w:val="20"/>
              </w:rPr>
            </w:pPr>
          </w:p>
        </w:tc>
        <w:tc>
          <w:tcPr>
            <w:tcW w:w="4786" w:type="dxa"/>
            <w:shd w:val="clear" w:color="auto" w:fill="auto"/>
          </w:tcPr>
          <w:p w14:paraId="5E2A5DEA">
            <w:pPr>
              <w:jc w:val="both"/>
              <w:rPr>
                <w:sz w:val="20"/>
                <w:szCs w:val="20"/>
              </w:rPr>
            </w:pPr>
            <w:r>
              <w:rPr>
                <w:sz w:val="20"/>
                <w:szCs w:val="20"/>
              </w:rPr>
              <w:t xml:space="preserve"> </w:t>
            </w:r>
          </w:p>
          <w:p w14:paraId="1A61CB60">
            <w:pPr>
              <w:jc w:val="both"/>
              <w:rPr>
                <w:sz w:val="20"/>
                <w:szCs w:val="20"/>
              </w:rPr>
            </w:pPr>
          </w:p>
          <w:p w14:paraId="34C3F4E6">
            <w:pPr>
              <w:jc w:val="both"/>
              <w:rPr>
                <w:sz w:val="20"/>
                <w:szCs w:val="20"/>
              </w:rPr>
            </w:pPr>
          </w:p>
          <w:p w14:paraId="5C96D8EB">
            <w:pPr>
              <w:jc w:val="both"/>
              <w:rPr>
                <w:sz w:val="20"/>
                <w:szCs w:val="20"/>
              </w:rPr>
            </w:pPr>
          </w:p>
          <w:p w14:paraId="52D2527E">
            <w:pPr>
              <w:jc w:val="both"/>
              <w:rPr>
                <w:sz w:val="20"/>
                <w:szCs w:val="20"/>
              </w:rPr>
            </w:pPr>
          </w:p>
          <w:p w14:paraId="787C298D">
            <w:pPr>
              <w:jc w:val="both"/>
              <w:rPr>
                <w:sz w:val="20"/>
                <w:szCs w:val="20"/>
              </w:rPr>
            </w:pPr>
          </w:p>
          <w:p w14:paraId="19A26D5D">
            <w:pPr>
              <w:jc w:val="both"/>
              <w:rPr>
                <w:sz w:val="20"/>
                <w:szCs w:val="20"/>
              </w:rPr>
            </w:pPr>
          </w:p>
          <w:p w14:paraId="43CF29DE">
            <w:pPr>
              <w:jc w:val="both"/>
              <w:rPr>
                <w:rFonts w:eastAsia="MS Mincho"/>
                <w:sz w:val="20"/>
                <w:szCs w:val="20"/>
              </w:rPr>
            </w:pPr>
          </w:p>
          <w:p w14:paraId="7D85F3E6">
            <w:pPr>
              <w:jc w:val="both"/>
              <w:rPr>
                <w:rFonts w:eastAsia="MS Mincho"/>
                <w:sz w:val="20"/>
                <w:szCs w:val="20"/>
              </w:rPr>
            </w:pPr>
            <w:r>
              <w:rPr>
                <w:rFonts w:eastAsia="MS Mincho"/>
                <w:sz w:val="20"/>
                <w:szCs w:val="20"/>
              </w:rPr>
              <w:t xml:space="preserve"> </w:t>
            </w:r>
          </w:p>
          <w:p w14:paraId="295537F9">
            <w:pPr>
              <w:jc w:val="both"/>
              <w:rPr>
                <w:rFonts w:eastAsia="MS Mincho"/>
                <w:b/>
                <w:sz w:val="20"/>
                <w:szCs w:val="20"/>
              </w:rPr>
            </w:pPr>
          </w:p>
          <w:p w14:paraId="4551115D">
            <w:pPr>
              <w:jc w:val="both"/>
              <w:rPr>
                <w:rFonts w:eastAsia="MS Mincho"/>
                <w:b/>
                <w:sz w:val="20"/>
                <w:szCs w:val="20"/>
              </w:rPr>
            </w:pPr>
          </w:p>
          <w:p w14:paraId="521408AE">
            <w:pPr>
              <w:jc w:val="both"/>
              <w:rPr>
                <w:rFonts w:eastAsia="MS Mincho"/>
                <w:b/>
                <w:sz w:val="20"/>
                <w:szCs w:val="20"/>
              </w:rPr>
            </w:pPr>
          </w:p>
          <w:p w14:paraId="659DEAA1">
            <w:pPr>
              <w:jc w:val="both"/>
              <w:rPr>
                <w:rFonts w:eastAsia="MS Mincho"/>
                <w:b/>
                <w:sz w:val="20"/>
                <w:szCs w:val="20"/>
              </w:rPr>
            </w:pPr>
          </w:p>
          <w:p w14:paraId="763F0025">
            <w:pPr>
              <w:jc w:val="both"/>
              <w:rPr>
                <w:rFonts w:eastAsia="MS Mincho"/>
                <w:b/>
                <w:sz w:val="20"/>
                <w:szCs w:val="20"/>
              </w:rPr>
            </w:pPr>
          </w:p>
          <w:p w14:paraId="69F58D97">
            <w:pPr>
              <w:jc w:val="both"/>
              <w:rPr>
                <w:rFonts w:eastAsia="MS Mincho"/>
                <w:b/>
                <w:sz w:val="20"/>
                <w:szCs w:val="20"/>
              </w:rPr>
            </w:pPr>
          </w:p>
          <w:p w14:paraId="0C45C754">
            <w:pPr>
              <w:jc w:val="both"/>
              <w:rPr>
                <w:rFonts w:eastAsia="MS Mincho"/>
                <w:b/>
                <w:sz w:val="20"/>
                <w:szCs w:val="20"/>
              </w:rPr>
            </w:pPr>
          </w:p>
          <w:p w14:paraId="037805FF">
            <w:pPr>
              <w:jc w:val="both"/>
              <w:rPr>
                <w:rFonts w:eastAsia="MS Mincho"/>
                <w:sz w:val="20"/>
                <w:szCs w:val="20"/>
              </w:rPr>
            </w:pPr>
            <w:r>
              <w:rPr>
                <w:rFonts w:eastAsia="MS Mincho"/>
                <w:b/>
                <w:sz w:val="20"/>
                <w:szCs w:val="20"/>
              </w:rPr>
              <w:t>Подрядчик</w:t>
            </w:r>
            <w:r>
              <w:rPr>
                <w:rFonts w:eastAsia="MS Mincho"/>
                <w:sz w:val="20"/>
                <w:szCs w:val="20"/>
              </w:rPr>
              <w:t>:</w:t>
            </w:r>
          </w:p>
          <w:p w14:paraId="1564F5BD">
            <w:pPr>
              <w:jc w:val="both"/>
              <w:rPr>
                <w:rFonts w:eastAsia="MS Mincho"/>
                <w:sz w:val="20"/>
                <w:szCs w:val="20"/>
              </w:rPr>
            </w:pPr>
          </w:p>
        </w:tc>
      </w:tr>
    </w:tbl>
    <w:p w14:paraId="088510EB">
      <w:pPr>
        <w:suppressAutoHyphens/>
        <w:autoSpaceDN w:val="0"/>
        <w:textAlignment w:val="baseline"/>
        <w:rPr>
          <w:rFonts w:eastAsia="MS Mincho"/>
          <w:b/>
          <w:sz w:val="20"/>
          <w:szCs w:val="20"/>
        </w:rPr>
      </w:pPr>
    </w:p>
    <w:p w14:paraId="36BF4DD1">
      <w:pPr>
        <w:suppressAutoHyphens/>
        <w:autoSpaceDN w:val="0"/>
        <w:textAlignment w:val="baseline"/>
        <w:rPr>
          <w:rFonts w:eastAsia="MS Mincho"/>
          <w:b/>
          <w:sz w:val="20"/>
          <w:szCs w:val="20"/>
        </w:rPr>
        <w:sectPr>
          <w:pgSz w:w="11906" w:h="16838"/>
          <w:pgMar w:top="899" w:right="746" w:bottom="1079" w:left="1080" w:header="708" w:footer="708" w:gutter="0"/>
          <w:cols w:space="708" w:num="1"/>
          <w:docGrid w:linePitch="360" w:charSpace="0"/>
        </w:sectPr>
      </w:pPr>
    </w:p>
    <w:p w14:paraId="651338D3">
      <w:pPr>
        <w:jc w:val="right"/>
        <w:rPr>
          <w:sz w:val="20"/>
          <w:szCs w:val="20"/>
        </w:rPr>
      </w:pPr>
    </w:p>
    <w:sectPr>
      <w:pgSz w:w="11906" w:h="16838"/>
      <w:pgMar w:top="899" w:right="746" w:bottom="1079" w:left="108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 w:name="Calibri">
    <w:panose1 w:val="020F0502020204030204"/>
    <w:charset w:val="CC"/>
    <w:family w:val="swiss"/>
    <w:pitch w:val="default"/>
    <w:sig w:usb0="E4002EFF" w:usb1="C000247B" w:usb2="00000009" w:usb3="00000000" w:csb0="200001F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MS Gothic"/>
    <w:panose1 w:val="02020609040205080304"/>
    <w:charset w:val="80"/>
    <w:family w:val="roman"/>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3B537A"/>
    <w:multiLevelType w:val="multilevel"/>
    <w:tmpl w:val="0C3B537A"/>
    <w:lvl w:ilvl="0" w:tentative="0">
      <w:start w:val="10"/>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A7A17F9"/>
    <w:multiLevelType w:val="multilevel"/>
    <w:tmpl w:val="6A7A17F9"/>
    <w:lvl w:ilvl="0" w:tentative="0">
      <w:start w:val="2"/>
      <w:numFmt w:val="bullet"/>
      <w:lvlText w:val="-"/>
      <w:lvlJc w:val="left"/>
      <w:pPr>
        <w:tabs>
          <w:tab w:val="left" w:pos="435"/>
        </w:tabs>
        <w:ind w:left="435" w:hanging="360"/>
      </w:pPr>
      <w:rPr>
        <w:rFonts w:hint="default" w:ascii="Times New Roman" w:hAnsi="Times New Roman" w:eastAsia="Times New Roman" w:cs="Times New Roman"/>
      </w:rPr>
    </w:lvl>
    <w:lvl w:ilvl="1" w:tentative="0">
      <w:start w:val="1"/>
      <w:numFmt w:val="bullet"/>
      <w:lvlText w:val="o"/>
      <w:lvlJc w:val="left"/>
      <w:pPr>
        <w:tabs>
          <w:tab w:val="left" w:pos="1155"/>
        </w:tabs>
        <w:ind w:left="1155" w:hanging="360"/>
      </w:pPr>
      <w:rPr>
        <w:rFonts w:hint="default" w:ascii="Courier New" w:hAnsi="Courier New"/>
      </w:rPr>
    </w:lvl>
    <w:lvl w:ilvl="2" w:tentative="0">
      <w:start w:val="1"/>
      <w:numFmt w:val="bullet"/>
      <w:lvlText w:val=""/>
      <w:lvlJc w:val="left"/>
      <w:pPr>
        <w:tabs>
          <w:tab w:val="left" w:pos="1875"/>
        </w:tabs>
        <w:ind w:left="1875" w:hanging="360"/>
      </w:pPr>
      <w:rPr>
        <w:rFonts w:hint="default" w:ascii="Wingdings" w:hAnsi="Wingdings"/>
      </w:rPr>
    </w:lvl>
    <w:lvl w:ilvl="3" w:tentative="0">
      <w:start w:val="1"/>
      <w:numFmt w:val="bullet"/>
      <w:lvlText w:val=""/>
      <w:lvlJc w:val="left"/>
      <w:pPr>
        <w:tabs>
          <w:tab w:val="left" w:pos="2595"/>
        </w:tabs>
        <w:ind w:left="2595" w:hanging="360"/>
      </w:pPr>
      <w:rPr>
        <w:rFonts w:hint="default" w:ascii="Symbol" w:hAnsi="Symbol"/>
      </w:rPr>
    </w:lvl>
    <w:lvl w:ilvl="4" w:tentative="0">
      <w:start w:val="1"/>
      <w:numFmt w:val="bullet"/>
      <w:lvlText w:val="o"/>
      <w:lvlJc w:val="left"/>
      <w:pPr>
        <w:tabs>
          <w:tab w:val="left" w:pos="3315"/>
        </w:tabs>
        <w:ind w:left="3315" w:hanging="360"/>
      </w:pPr>
      <w:rPr>
        <w:rFonts w:hint="default" w:ascii="Courier New" w:hAnsi="Courier New"/>
      </w:rPr>
    </w:lvl>
    <w:lvl w:ilvl="5" w:tentative="0">
      <w:start w:val="1"/>
      <w:numFmt w:val="bullet"/>
      <w:lvlText w:val=""/>
      <w:lvlJc w:val="left"/>
      <w:pPr>
        <w:tabs>
          <w:tab w:val="left" w:pos="4035"/>
        </w:tabs>
        <w:ind w:left="4035" w:hanging="360"/>
      </w:pPr>
      <w:rPr>
        <w:rFonts w:hint="default" w:ascii="Wingdings" w:hAnsi="Wingdings"/>
      </w:rPr>
    </w:lvl>
    <w:lvl w:ilvl="6" w:tentative="0">
      <w:start w:val="1"/>
      <w:numFmt w:val="bullet"/>
      <w:lvlText w:val=""/>
      <w:lvlJc w:val="left"/>
      <w:pPr>
        <w:tabs>
          <w:tab w:val="left" w:pos="4755"/>
        </w:tabs>
        <w:ind w:left="4755" w:hanging="360"/>
      </w:pPr>
      <w:rPr>
        <w:rFonts w:hint="default" w:ascii="Symbol" w:hAnsi="Symbol"/>
      </w:rPr>
    </w:lvl>
    <w:lvl w:ilvl="7" w:tentative="0">
      <w:start w:val="1"/>
      <w:numFmt w:val="bullet"/>
      <w:lvlText w:val="o"/>
      <w:lvlJc w:val="left"/>
      <w:pPr>
        <w:tabs>
          <w:tab w:val="left" w:pos="5475"/>
        </w:tabs>
        <w:ind w:left="5475" w:hanging="360"/>
      </w:pPr>
      <w:rPr>
        <w:rFonts w:hint="default" w:ascii="Courier New" w:hAnsi="Courier New"/>
      </w:rPr>
    </w:lvl>
    <w:lvl w:ilvl="8" w:tentative="0">
      <w:start w:val="1"/>
      <w:numFmt w:val="bullet"/>
      <w:lvlText w:val=""/>
      <w:lvlJc w:val="left"/>
      <w:pPr>
        <w:tabs>
          <w:tab w:val="left" w:pos="6195"/>
        </w:tabs>
        <w:ind w:left="6195"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76A"/>
    <w:rsid w:val="000004C3"/>
    <w:rsid w:val="00006603"/>
    <w:rsid w:val="00023801"/>
    <w:rsid w:val="0006436A"/>
    <w:rsid w:val="00067174"/>
    <w:rsid w:val="0006764B"/>
    <w:rsid w:val="00075114"/>
    <w:rsid w:val="00077FEB"/>
    <w:rsid w:val="000A7A94"/>
    <w:rsid w:val="000C38E7"/>
    <w:rsid w:val="000F2A95"/>
    <w:rsid w:val="000F529E"/>
    <w:rsid w:val="00116823"/>
    <w:rsid w:val="00136015"/>
    <w:rsid w:val="00146C51"/>
    <w:rsid w:val="00166DD5"/>
    <w:rsid w:val="00171A24"/>
    <w:rsid w:val="00174A27"/>
    <w:rsid w:val="00184BC2"/>
    <w:rsid w:val="0019425B"/>
    <w:rsid w:val="001A640C"/>
    <w:rsid w:val="001B2B3C"/>
    <w:rsid w:val="001B3D59"/>
    <w:rsid w:val="001C7E33"/>
    <w:rsid w:val="001F2EB1"/>
    <w:rsid w:val="002037DB"/>
    <w:rsid w:val="00206822"/>
    <w:rsid w:val="00217345"/>
    <w:rsid w:val="002471B4"/>
    <w:rsid w:val="002522E9"/>
    <w:rsid w:val="002601C1"/>
    <w:rsid w:val="002B0A7A"/>
    <w:rsid w:val="002B704C"/>
    <w:rsid w:val="002C0E2E"/>
    <w:rsid w:val="002D2EEF"/>
    <w:rsid w:val="002D5697"/>
    <w:rsid w:val="002D7338"/>
    <w:rsid w:val="002D7FB5"/>
    <w:rsid w:val="002E3ADB"/>
    <w:rsid w:val="00315812"/>
    <w:rsid w:val="003267C6"/>
    <w:rsid w:val="00356B7D"/>
    <w:rsid w:val="00365C50"/>
    <w:rsid w:val="003A0BF3"/>
    <w:rsid w:val="003B467B"/>
    <w:rsid w:val="003B4706"/>
    <w:rsid w:val="003D2D50"/>
    <w:rsid w:val="003D34A2"/>
    <w:rsid w:val="003F2CE4"/>
    <w:rsid w:val="00402CA9"/>
    <w:rsid w:val="00410BD7"/>
    <w:rsid w:val="00411FAB"/>
    <w:rsid w:val="00440A81"/>
    <w:rsid w:val="00481083"/>
    <w:rsid w:val="00494462"/>
    <w:rsid w:val="004B28CA"/>
    <w:rsid w:val="004B412B"/>
    <w:rsid w:val="004F03A1"/>
    <w:rsid w:val="004F0B06"/>
    <w:rsid w:val="005158C5"/>
    <w:rsid w:val="00516B98"/>
    <w:rsid w:val="00556D83"/>
    <w:rsid w:val="00561AC6"/>
    <w:rsid w:val="005756A6"/>
    <w:rsid w:val="00576F33"/>
    <w:rsid w:val="005D23D7"/>
    <w:rsid w:val="006160AF"/>
    <w:rsid w:val="00640047"/>
    <w:rsid w:val="00680F81"/>
    <w:rsid w:val="006A1FB8"/>
    <w:rsid w:val="006A469A"/>
    <w:rsid w:val="006B303D"/>
    <w:rsid w:val="006C6FC2"/>
    <w:rsid w:val="006D176A"/>
    <w:rsid w:val="006D276B"/>
    <w:rsid w:val="006D5936"/>
    <w:rsid w:val="00705393"/>
    <w:rsid w:val="00710173"/>
    <w:rsid w:val="0073267A"/>
    <w:rsid w:val="0074004A"/>
    <w:rsid w:val="00773F9F"/>
    <w:rsid w:val="00787B93"/>
    <w:rsid w:val="007A2475"/>
    <w:rsid w:val="0080712C"/>
    <w:rsid w:val="00812C72"/>
    <w:rsid w:val="00820C90"/>
    <w:rsid w:val="0082184C"/>
    <w:rsid w:val="008347CF"/>
    <w:rsid w:val="008600A1"/>
    <w:rsid w:val="0087326F"/>
    <w:rsid w:val="00882780"/>
    <w:rsid w:val="008873B4"/>
    <w:rsid w:val="008919E4"/>
    <w:rsid w:val="0089320B"/>
    <w:rsid w:val="00897FCD"/>
    <w:rsid w:val="008C3037"/>
    <w:rsid w:val="008F5E79"/>
    <w:rsid w:val="008F7696"/>
    <w:rsid w:val="00901F5B"/>
    <w:rsid w:val="00915623"/>
    <w:rsid w:val="009208A6"/>
    <w:rsid w:val="00946C6C"/>
    <w:rsid w:val="00950C48"/>
    <w:rsid w:val="00964A73"/>
    <w:rsid w:val="00974120"/>
    <w:rsid w:val="00986C85"/>
    <w:rsid w:val="00992655"/>
    <w:rsid w:val="00996039"/>
    <w:rsid w:val="009A4C50"/>
    <w:rsid w:val="009F244A"/>
    <w:rsid w:val="00A047CE"/>
    <w:rsid w:val="00A06F25"/>
    <w:rsid w:val="00A150F3"/>
    <w:rsid w:val="00A15FF2"/>
    <w:rsid w:val="00A34E93"/>
    <w:rsid w:val="00A43378"/>
    <w:rsid w:val="00A4681D"/>
    <w:rsid w:val="00A62A7F"/>
    <w:rsid w:val="00AA1A4E"/>
    <w:rsid w:val="00AC0B94"/>
    <w:rsid w:val="00AC11BF"/>
    <w:rsid w:val="00AC7D84"/>
    <w:rsid w:val="00AF540B"/>
    <w:rsid w:val="00B232E0"/>
    <w:rsid w:val="00B324D2"/>
    <w:rsid w:val="00B74F3E"/>
    <w:rsid w:val="00B7593C"/>
    <w:rsid w:val="00B77C12"/>
    <w:rsid w:val="00BA0665"/>
    <w:rsid w:val="00BA56B1"/>
    <w:rsid w:val="00BB24E8"/>
    <w:rsid w:val="00BE38A2"/>
    <w:rsid w:val="00C131F9"/>
    <w:rsid w:val="00C25263"/>
    <w:rsid w:val="00C426A5"/>
    <w:rsid w:val="00C53AC6"/>
    <w:rsid w:val="00C72561"/>
    <w:rsid w:val="00C7260D"/>
    <w:rsid w:val="00CC1580"/>
    <w:rsid w:val="00CD37E0"/>
    <w:rsid w:val="00CE2D42"/>
    <w:rsid w:val="00CE30EC"/>
    <w:rsid w:val="00D03F80"/>
    <w:rsid w:val="00D0471A"/>
    <w:rsid w:val="00D129EE"/>
    <w:rsid w:val="00D32D71"/>
    <w:rsid w:val="00D51125"/>
    <w:rsid w:val="00D6228C"/>
    <w:rsid w:val="00D84AB7"/>
    <w:rsid w:val="00D857D3"/>
    <w:rsid w:val="00DB03AA"/>
    <w:rsid w:val="00DB38E1"/>
    <w:rsid w:val="00DB44B6"/>
    <w:rsid w:val="00DB6E90"/>
    <w:rsid w:val="00DE39AC"/>
    <w:rsid w:val="00DF4F5C"/>
    <w:rsid w:val="00E14A78"/>
    <w:rsid w:val="00E259CF"/>
    <w:rsid w:val="00E26663"/>
    <w:rsid w:val="00E405D2"/>
    <w:rsid w:val="00E42B82"/>
    <w:rsid w:val="00E42FEB"/>
    <w:rsid w:val="00E43A0D"/>
    <w:rsid w:val="00E6011E"/>
    <w:rsid w:val="00E7354D"/>
    <w:rsid w:val="00E739E9"/>
    <w:rsid w:val="00E80F89"/>
    <w:rsid w:val="00EA6A11"/>
    <w:rsid w:val="00EF2A06"/>
    <w:rsid w:val="00EF5554"/>
    <w:rsid w:val="00F048E0"/>
    <w:rsid w:val="00F07F5B"/>
    <w:rsid w:val="00F227D6"/>
    <w:rsid w:val="00F24756"/>
    <w:rsid w:val="00F443B9"/>
    <w:rsid w:val="00F72029"/>
    <w:rsid w:val="00F72FF3"/>
    <w:rsid w:val="00F74F9F"/>
    <w:rsid w:val="00F8432E"/>
    <w:rsid w:val="00FA4426"/>
    <w:rsid w:val="00FB55BB"/>
    <w:rsid w:val="00FC2A57"/>
    <w:rsid w:val="00FE25F1"/>
    <w:rsid w:val="00FE6399"/>
    <w:rsid w:val="339374DE"/>
    <w:rsid w:val="37F2437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name="Body Text 2"/>
    <w:lsdException w:qFormat="1" w:unhideWhenUsed="0" w:uiPriority="0" w:name="Body Text 3"/>
    <w:lsdException w:qFormat="1" w:unhideWhenUsed="0" w:uiPriority="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semiHidden="0" w:name="List Paragraph"/>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Strong"/>
    <w:qFormat/>
    <w:uiPriority w:val="22"/>
    <w:rPr>
      <w:b/>
      <w:bCs/>
    </w:rPr>
  </w:style>
  <w:style w:type="paragraph" w:styleId="5">
    <w:name w:val="Balloon Text"/>
    <w:basedOn w:val="1"/>
    <w:link w:val="13"/>
    <w:semiHidden/>
    <w:unhideWhenUsed/>
    <w:qFormat/>
    <w:uiPriority w:val="99"/>
    <w:rPr>
      <w:rFonts w:ascii="Segoe UI" w:hAnsi="Segoe UI" w:cs="Segoe UI"/>
      <w:sz w:val="18"/>
      <w:szCs w:val="18"/>
    </w:rPr>
  </w:style>
  <w:style w:type="paragraph" w:styleId="6">
    <w:name w:val="Body Text 2"/>
    <w:basedOn w:val="1"/>
    <w:semiHidden/>
    <w:qFormat/>
    <w:uiPriority w:val="0"/>
    <w:pPr>
      <w:jc w:val="both"/>
    </w:pPr>
    <w:rPr>
      <w:sz w:val="28"/>
      <w:szCs w:val="28"/>
    </w:rPr>
  </w:style>
  <w:style w:type="paragraph" w:styleId="7">
    <w:name w:val="header"/>
    <w:basedOn w:val="1"/>
    <w:link w:val="18"/>
    <w:qFormat/>
    <w:uiPriority w:val="99"/>
    <w:pPr>
      <w:tabs>
        <w:tab w:val="center" w:pos="4677"/>
        <w:tab w:val="right" w:pos="9355"/>
      </w:tabs>
      <w:spacing w:after="200" w:line="276" w:lineRule="auto"/>
    </w:pPr>
    <w:rPr>
      <w:rFonts w:asciiTheme="minorHAnsi" w:hAnsiTheme="minorHAnsi" w:eastAsiaTheme="minorEastAsia"/>
      <w:sz w:val="22"/>
      <w:szCs w:val="22"/>
    </w:rPr>
  </w:style>
  <w:style w:type="paragraph" w:styleId="8">
    <w:name w:val="Body Text"/>
    <w:basedOn w:val="1"/>
    <w:link w:val="17"/>
    <w:semiHidden/>
    <w:qFormat/>
    <w:uiPriority w:val="0"/>
    <w:pPr>
      <w:jc w:val="both"/>
    </w:pPr>
  </w:style>
  <w:style w:type="paragraph" w:styleId="9">
    <w:name w:val="Body Text Indent"/>
    <w:basedOn w:val="1"/>
    <w:semiHidden/>
    <w:qFormat/>
    <w:uiPriority w:val="0"/>
    <w:pPr>
      <w:ind w:left="6660" w:hanging="6660"/>
      <w:jc w:val="both"/>
    </w:pPr>
    <w:rPr>
      <w:sz w:val="28"/>
      <w:szCs w:val="28"/>
    </w:rPr>
  </w:style>
  <w:style w:type="paragraph" w:styleId="10">
    <w:name w:val="footer"/>
    <w:basedOn w:val="1"/>
    <w:link w:val="19"/>
    <w:qFormat/>
    <w:uiPriority w:val="99"/>
    <w:pPr>
      <w:tabs>
        <w:tab w:val="center" w:pos="4677"/>
        <w:tab w:val="right" w:pos="9355"/>
      </w:tabs>
      <w:spacing w:after="200" w:line="276" w:lineRule="auto"/>
    </w:pPr>
    <w:rPr>
      <w:rFonts w:asciiTheme="minorHAnsi" w:hAnsiTheme="minorHAnsi" w:eastAsiaTheme="minorEastAsia"/>
      <w:sz w:val="22"/>
      <w:szCs w:val="22"/>
    </w:rPr>
  </w:style>
  <w:style w:type="paragraph" w:styleId="11">
    <w:name w:val="Body Text 3"/>
    <w:basedOn w:val="1"/>
    <w:semiHidden/>
    <w:qFormat/>
    <w:uiPriority w:val="0"/>
    <w:pPr>
      <w:jc w:val="center"/>
    </w:pPr>
    <w:rPr>
      <w:sz w:val="28"/>
      <w:szCs w:val="28"/>
    </w:rPr>
  </w:style>
  <w:style w:type="paragraph" w:styleId="12">
    <w:name w:val="Body Text Indent 2"/>
    <w:basedOn w:val="1"/>
    <w:semiHidden/>
    <w:qFormat/>
    <w:uiPriority w:val="0"/>
    <w:pPr>
      <w:ind w:firstLine="708"/>
    </w:pPr>
    <w:rPr>
      <w:sz w:val="28"/>
      <w:szCs w:val="28"/>
    </w:rPr>
  </w:style>
  <w:style w:type="character" w:customStyle="1" w:styleId="13">
    <w:name w:val="Текст выноски Знак"/>
    <w:link w:val="5"/>
    <w:semiHidden/>
    <w:qFormat/>
    <w:uiPriority w:val="99"/>
    <w:rPr>
      <w:rFonts w:ascii="Segoe UI" w:hAnsi="Segoe UI" w:cs="Segoe UI"/>
      <w:sz w:val="18"/>
      <w:szCs w:val="18"/>
    </w:rPr>
  </w:style>
  <w:style w:type="paragraph" w:customStyle="1" w:styleId="14">
    <w:name w:val="228bf8a64b8551e1msonormal"/>
    <w:basedOn w:val="1"/>
    <w:qFormat/>
    <w:uiPriority w:val="0"/>
    <w:pPr>
      <w:spacing w:before="100" w:beforeAutospacing="1" w:after="100" w:afterAutospacing="1"/>
    </w:pPr>
  </w:style>
  <w:style w:type="character" w:customStyle="1" w:styleId="15">
    <w:name w:val="Интернет-ссылка"/>
    <w:semiHidden/>
    <w:qFormat/>
    <w:uiPriority w:val="99"/>
    <w:rPr>
      <w:color w:val="0000FF"/>
      <w:u w:val="single"/>
    </w:rPr>
  </w:style>
  <w:style w:type="paragraph" w:styleId="16">
    <w:name w:val="List Paragraph"/>
    <w:basedOn w:val="1"/>
    <w:qFormat/>
    <w:uiPriority w:val="99"/>
    <w:pPr>
      <w:spacing w:after="200" w:line="288" w:lineRule="auto"/>
      <w:ind w:left="720"/>
    </w:pPr>
    <w:rPr>
      <w:rFonts w:ascii="Calibri" w:hAnsi="Calibri"/>
      <w:i/>
      <w:iCs/>
      <w:color w:val="00000A"/>
      <w:sz w:val="20"/>
      <w:szCs w:val="20"/>
      <w:lang w:eastAsia="en-US"/>
    </w:rPr>
  </w:style>
  <w:style w:type="character" w:customStyle="1" w:styleId="17">
    <w:name w:val="Основной текст Знак"/>
    <w:basedOn w:val="2"/>
    <w:link w:val="8"/>
    <w:semiHidden/>
    <w:qFormat/>
    <w:uiPriority w:val="0"/>
    <w:rPr>
      <w:sz w:val="24"/>
      <w:szCs w:val="24"/>
    </w:rPr>
  </w:style>
  <w:style w:type="character" w:customStyle="1" w:styleId="18">
    <w:name w:val="Верхний колонтитул Знак"/>
    <w:basedOn w:val="2"/>
    <w:link w:val="7"/>
    <w:qFormat/>
    <w:uiPriority w:val="99"/>
    <w:rPr>
      <w:rFonts w:asciiTheme="minorHAnsi" w:hAnsiTheme="minorHAnsi" w:eastAsiaTheme="minorEastAsia"/>
      <w:sz w:val="22"/>
      <w:szCs w:val="22"/>
    </w:rPr>
  </w:style>
  <w:style w:type="character" w:customStyle="1" w:styleId="19">
    <w:name w:val="Нижний колонтитул Знак"/>
    <w:basedOn w:val="2"/>
    <w:link w:val="10"/>
    <w:qFormat/>
    <w:uiPriority w:val="99"/>
    <w:rPr>
      <w:rFonts w:asciiTheme="minorHAnsi" w:hAnsiTheme="minorHAnsi" w:eastAsiaTheme="minorEastAsia"/>
      <w:sz w:val="22"/>
      <w:szCs w:val="22"/>
    </w:rPr>
  </w:style>
  <w:style w:type="character" w:customStyle="1" w:styleId="20">
    <w:name w:val="futurismarkdown-word"/>
    <w:basedOn w:val="2"/>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ОАО "Концерн "Океан"</Company>
  <Pages>6</Pages>
  <Words>2316</Words>
  <Characters>16581</Characters>
  <Lines>136</Lines>
  <Paragraphs>38</Paragraphs>
  <TotalTime>7</TotalTime>
  <ScaleCrop>false</ScaleCrop>
  <LinksUpToDate>false</LinksUpToDate>
  <CharactersWithSpaces>19051</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2026-10-13T06:03:00Z</dcterms:created>
  <dc:creator>VB</dc:creator>
  <cp:lastModifiedBy>Александра</cp:lastModifiedBy>
  <cp:lastPrinted>2020-02-17T12:43:00Z</cp:lastPrinted>
  <dcterms:modified xsi:type="dcterms:W3CDTF">2026-10-13T06:47:58Z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eyJoZGlkIjoiYzIyYWY2OWE1MGM2MTg1MDJjMDAxM2RjMGExY2ZmNGQifQ==</vt:lpwstr>
  </property>
  <property fmtid="{D5CDD505-2E9C-101B-9397-08002B2CF9AE}" pid="3" name="KSOProductBuildVer">
    <vt:lpwstr>1049-12.1.0.29162</vt:lpwstr>
  </property>
  <property fmtid="{D5CDD505-2E9C-101B-9397-08002B2CF9AE}" pid="4" name="ICV">
    <vt:lpwstr>3EAAF300AAA1415C87206595CCB77245_13</vt:lpwstr>
  </property>
</Properties>
</file>