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 xml:space="preserve">ДОГОВОР № </w:t>
      </w:r>
    </w:p>
    <w:p w14:paraId="02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оказание услуг по определению категорий помещений пищеблока по пожарной и взрывопожарной опасности для нужд ЛОГБУ "Сясьстройский ДСП"</w:t>
      </w:r>
    </w:p>
    <w:p w14:paraId="03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04000000">
      <w:pPr>
        <w:tabs>
          <w:tab w:leader="none" w:pos="1800" w:val="clear"/>
        </w:tabs>
        <w:ind w:firstLine="0" w:left="0"/>
        <w:rPr>
          <w:sz w:val="22"/>
        </w:rPr>
      </w:pPr>
      <w:r>
        <w:rPr>
          <w:sz w:val="22"/>
        </w:rPr>
        <w:t xml:space="preserve">г. Сясьстрой                                                                                                                            </w:t>
      </w:r>
      <w:r>
        <w:rPr>
          <w:sz w:val="22"/>
        </w:rPr>
        <w:t xml:space="preserve">   «</w:t>
      </w:r>
      <w:r>
        <w:rPr>
          <w:sz w:val="22"/>
        </w:rPr>
        <w:t xml:space="preserve">  </w:t>
      </w:r>
      <w:r>
        <w:rPr>
          <w:sz w:val="22"/>
        </w:rPr>
        <w:t>»</w:t>
      </w:r>
      <w:r>
        <w:rPr>
          <w:sz w:val="22"/>
        </w:rPr>
        <w:t xml:space="preserve"> октября 2026 г.</w:t>
      </w:r>
    </w:p>
    <w:p w14:paraId="05000000">
      <w:pPr>
        <w:tabs>
          <w:tab w:leader="none" w:pos="1800" w:val="clear"/>
        </w:tabs>
        <w:ind w:firstLine="0" w:left="0"/>
        <w:rPr>
          <w:sz w:val="22"/>
        </w:rPr>
      </w:pPr>
    </w:p>
    <w:p w14:paraId="06000000">
      <w:pPr>
        <w:pStyle w:val="Style_1"/>
        <w:spacing w:after="0" w:before="0"/>
        <w:ind w:firstLine="284" w:left="0"/>
      </w:pPr>
      <w:r>
        <w:t>Ленинградское областное государственное стационарное бюджетное учреждение социального обслуживания «Сясьстройский дом социального проживания», именуемое в дальнейшем «Заказчик», в лице директора Журавель Марии Борисовны, действующего на основании Устава, с одной стороны, и ____________, в лице генерального ______________, действующего на основании _____ (далее – «Исполнитель») с другой стороны,, далее совместно именуемые «Стороны», а по от</w:t>
      </w:r>
      <w:r>
        <w:t xml:space="preserve">дельности «Сторона», </w:t>
      </w:r>
      <w:r>
        <w:rPr>
          <w:sz w:val="28"/>
        </w:rPr>
        <w:t xml:space="preserve"> </w:t>
      </w:r>
      <w:r>
        <w:t>в соответствии с законодательством Российской Федерации и иными нормативными правовыми актами о контрактной системе в сфере закупок, и по результатам проведения Закупки у единственного поставщика 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нужд»), заключили настоящий договор (далее – «Договор») о нижеследующем:</w:t>
      </w:r>
    </w:p>
    <w:p w14:paraId="07000000">
      <w:pPr>
        <w:pStyle w:val="Style_1"/>
        <w:spacing w:after="0" w:before="0"/>
        <w:ind w:firstLine="0" w:left="0"/>
        <w:rPr>
          <w:b w:val="1"/>
        </w:rPr>
      </w:pPr>
    </w:p>
    <w:p w14:paraId="08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>1. ПРЕДМЕТ ДОГОВОРА</w:t>
      </w:r>
    </w:p>
    <w:p w14:paraId="0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1.1. Исполнитель</w:t>
      </w:r>
      <w:r>
        <w:rPr>
          <w:sz w:val="22"/>
        </w:rPr>
        <w:t xml:space="preserve"> принимает на себя обязательство по оказанию услуг </w:t>
      </w:r>
      <w:r>
        <w:rPr>
          <w:sz w:val="22"/>
        </w:rPr>
        <w:t>по определению категорий помещений пищеблока по пожарной и взрывопожарной опасности</w:t>
      </w:r>
      <w:r>
        <w:rPr>
          <w:sz w:val="22"/>
        </w:rPr>
        <w:t xml:space="preserve"> (далее – услуга), а Заказчик обязуется принять и оплатить услугу, оказанную надлежащим образом.</w:t>
      </w:r>
    </w:p>
    <w:p w14:paraId="0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1.2. Услуга</w:t>
      </w:r>
      <w:r>
        <w:rPr>
          <w:sz w:val="22"/>
        </w:rPr>
        <w:t xml:space="preserve"> по настоящему Договору оказывается в соответствии с описанием объекта закупки (Приложение № 1 к Договору).</w:t>
      </w:r>
    </w:p>
    <w:p w14:paraId="0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1.3. Сроки исполнения Договора: в течение 30 (Тридцати) календарных дней с даты подписания Договора.</w:t>
      </w:r>
    </w:p>
    <w:p w14:paraId="0C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0D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2. ЦЕНА ДОГОВОРА И ПОРЯДОК РАСЧЕТОВ</w:t>
      </w:r>
    </w:p>
    <w:p w14:paraId="0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bookmarkStart w:id="1" w:name="_Hlk91511660"/>
      <w:r>
        <w:rPr>
          <w:sz w:val="22"/>
        </w:rPr>
        <w:t xml:space="preserve">2.1. Цена Договора составляет _____,____ (_________) руб. __ коп., </w:t>
      </w:r>
      <w:bookmarkEnd w:id="1"/>
      <w:r>
        <w:rPr>
          <w:sz w:val="22"/>
        </w:rPr>
        <w:t xml:space="preserve">НДС __% / не облагается. </w:t>
      </w:r>
    </w:p>
    <w:p w14:paraId="0F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2.2. Цена Договора является твердой, определяется на весь срок исполнения Договора и не подлежит изменению, за исключением случаев, установленных Федеральным законом о Договорной системе и иным действующим законодательством Российской Федерации.</w:t>
      </w:r>
    </w:p>
    <w:p w14:paraId="10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2.3. Цена Договора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</w:t>
      </w:r>
      <w:r>
        <w:rPr>
          <w:sz w:val="22"/>
        </w:rPr>
        <w:t>и Заказчиком.</w:t>
      </w:r>
    </w:p>
    <w:p w14:paraId="11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2.4. Источник финансирования: средства бюджетных</w:t>
      </w:r>
      <w:r>
        <w:rPr>
          <w:sz w:val="22"/>
        </w:rPr>
        <w:t xml:space="preserve"> учреждений (собственные средства). </w:t>
      </w:r>
    </w:p>
    <w:p w14:paraId="1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2.5. Цена Договора может быть снижена по соглашению сторон без изменения объема услуги, предусмотренных Описанием объекта закупки и иных условий исполнения Договора.</w:t>
      </w:r>
    </w:p>
    <w:p w14:paraId="1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2.6. Оплата за оказанные услуги производится заказчиком в течение 7 (семи) рабочих дней с момента подписания сторонами акта оказанных услуг и предоставления Исполнителем счета, по безналичному расчету в соответствии с порядком казначейской системы исполнения бюджета Ленинградской области путем перечисления денежных средств на расчетный счет Исполнителя.</w:t>
      </w:r>
    </w:p>
    <w:p w14:paraId="1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2.7</w:t>
      </w:r>
      <w:r>
        <w:rPr>
          <w:sz w:val="22"/>
        </w:rPr>
        <w:t>. Оплата по Договору осуществляется по безналичному расчету путем перечисления Заказчиком денежных средств на расчетный счет Исполнителя, указанный в настоящем Договоре. В случае изменения реквизитов расчетного счета, Исполнитель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Договоре расчетный счет Исполнителя, несет Исполнитель.</w:t>
      </w:r>
    </w:p>
    <w:p w14:paraId="15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16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>3. ОБЯЗАННОСТИ СТОРОН</w:t>
      </w:r>
    </w:p>
    <w:p w14:paraId="17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3.1. Исполнитель обязан:</w:t>
      </w:r>
    </w:p>
    <w:p w14:paraId="1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3.1.1. Оказывать услуги в соответствии с Описанием объекта закупки, представленным в Приложении №1 к Договору.</w:t>
      </w:r>
    </w:p>
    <w:p w14:paraId="1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3.2 Заказчик обязан:</w:t>
      </w:r>
    </w:p>
    <w:p w14:paraId="1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3.2.1. Принять и оплатить услуги Исполнителя, в соответствии с условиями настоящего Договора.</w:t>
      </w:r>
    </w:p>
    <w:p w14:paraId="1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3.3. Исполнитель вправе:</w:t>
      </w:r>
    </w:p>
    <w:p w14:paraId="1C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3.3.1. Исполнитель вправе привлекать для оказания услуги соисполнителей.               </w:t>
      </w:r>
    </w:p>
    <w:p w14:paraId="1D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В случае привлечения соисполнителей, Исполнитель несет ответственность за их действия перед Заказчиком.</w:t>
      </w:r>
    </w:p>
    <w:p w14:paraId="1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3.4. Заказчик вправе:</w:t>
      </w:r>
    </w:p>
    <w:p w14:paraId="1F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3.4.1. В любое время проверять соответствие качества оказываемой Исполнителем услуги, установленной настоящим Договором и другими обязательными для Исполнителя требованиями, предусмотренными законодательством Российской Федерации, без вмешательства в оперативно-хозяйственную деятельность Исполнителя. Если в результате такой проверки станет очевидным, что услуга не будет оказана надлежащим образом и (или) в установленные Договором сроки, Заказчик вправе направить Исполнителю требование об устранении недостат</w:t>
      </w:r>
      <w:r>
        <w:rPr>
          <w:sz w:val="22"/>
        </w:rPr>
        <w:t>ков с указанием срока для их устранения.</w:t>
      </w:r>
    </w:p>
    <w:p w14:paraId="20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21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4. ПОРЯДОК СДАЧИ И ПРИЕМКИ УСЛУГ</w:t>
      </w:r>
    </w:p>
    <w:p w14:paraId="2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4.1.    Исполнитель направляет Заказчику акт сдачи-приемки услуг в течение 5 рабочих дней с даты проведения мероприятия.</w:t>
      </w:r>
    </w:p>
    <w:p w14:paraId="2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4.2. Моментом сдачи-приемки услуг считается день подписания акта, если иное не предусмотрено в пункте 4.3 настоящего Договора.</w:t>
      </w:r>
    </w:p>
    <w:p w14:paraId="2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4.3. В случае претензий со стороны Заказчика по объему и качеству услуг, указанных в акте сдачи-приемки работ, Заказчик в течение пяти рабочих дней со дня предоставления акта обязан направить Исполнителю в письменной форме мотивированный отказ от принятия услуг. В противном случае услуги считаются выполненными Исполнителем и принятыми Заказчиком по истечении пяти рабочих дней с момента получения Заказчиком акта приемки услуг.</w:t>
      </w:r>
    </w:p>
    <w:p w14:paraId="25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26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5. ПОРЯДОК РАЗРЕШЕНИЯ СПОРОВ</w:t>
      </w:r>
    </w:p>
    <w:p w14:paraId="27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5.1. Стороны пришли к соглашению о том, что спорные вопросы, которые могут возникнуть в ходе реализации Договора или в связи с ним, решаются путем переговоров.</w:t>
      </w:r>
    </w:p>
    <w:p w14:paraId="2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5.2. Письма, уведомления и претензии в письменной форме направляются стороне, допустившей нарушение условий настоящего Договора. В документах указываются допущенные нарушения со ссылкой на соответствующее положение Договора или его приложений, пени, штрафы, а также действия, которые должны быть произведены для устранения нарушений.</w:t>
      </w:r>
    </w:p>
    <w:p w14:paraId="2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5.3. Срок рассмотрения писем, уведомлений или претензий не может превышать 10 рабочих дней со дня их получения. Переписка сторон может осуществляться в виде письма, телеграммы, электронного сообщения с последующим предоставлением оригинала документа.</w:t>
      </w:r>
    </w:p>
    <w:p w14:paraId="2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5.4. Споры, по которым стороны не достигли соглашения, рассматриваются в Арбитражном суде города Санкт-Петербурга и Ленинградской области. </w:t>
      </w:r>
    </w:p>
    <w:p w14:paraId="2B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2C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6. ПОРЯДОК ИЗМЕНЕНИЯ И РАСТОРЖЕНИЯ ДОГОВОРА</w:t>
      </w:r>
    </w:p>
    <w:p w14:paraId="2D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6.1. Расторжение настоящего Договор</w:t>
      </w:r>
      <w:r>
        <w:rPr>
          <w:sz w:val="22"/>
        </w:rPr>
        <w:t xml:space="preserve">а допускается по соглашению Сторон, по решению суда, или в связи с односторонним отказом Стороны Договора от исполнения Договора в соответствии с Гражданским кодексом Российской Федерации. </w:t>
      </w:r>
    </w:p>
    <w:p w14:paraId="2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6.2. Условием для одностороннего отказа является неоднократное (более двух раз) невыполнение и/или ненадлежащее выполнение условий настоящего Договора одной стороной, о чем эта Сторона была письменно уведомлена более двух раз другой Стороной Договора, которая инициировала одностороннее расторжение Договора.</w:t>
      </w:r>
    </w:p>
    <w:p w14:paraId="2F000000">
      <w:pPr>
        <w:tabs>
          <w:tab w:leader="none" w:pos="1800" w:val="clear"/>
        </w:tabs>
        <w:ind w:firstLine="0" w:left="0"/>
        <w:jc w:val="center"/>
        <w:rPr>
          <w:sz w:val="22"/>
        </w:rPr>
      </w:pPr>
    </w:p>
    <w:p w14:paraId="30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7. ОТВЕТСТВЕННОСТЬ СТОРОН</w:t>
      </w:r>
    </w:p>
    <w:p w14:paraId="31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7.1. Стороны несут ответственность за неисполнение и ненадлежащее исполнение Договора, в том числе за неполное и несвоевременное исполнение своих обязательств по Договору, в соответствии с положениями гражданского законодательства, действующего на территории России.</w:t>
      </w:r>
    </w:p>
    <w:p w14:paraId="3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7.2. За нарушение срока оказания Услуг, указанного в п. 1.2 настоящего договора, Исполнитель уплачивает пеню из расчета 0,5 % от суммы договора за каждый день просрочки.</w:t>
      </w:r>
    </w:p>
    <w:p w14:paraId="3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7.3. За нарушение срока оплаты Услуг, указанного в п. 2.3 настоящего договора, Заказчик уплачивает пеню из расчета 0,5 % от суммы договора за каждый день просрочки.</w:t>
      </w:r>
    </w:p>
    <w:p w14:paraId="3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7.4.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14:paraId="35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7.5. Уплата неустойки не освобождает Исполнителя от выполнения лежащих на нем обязательств или устранения нарушений.</w:t>
      </w:r>
    </w:p>
    <w:p w14:paraId="36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37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 xml:space="preserve">8. ОБСТОЯТЕЛЬСТВА НЕПРЕОДОЛИМОЙ СИЛЫ </w:t>
      </w:r>
    </w:p>
    <w:p w14:paraId="3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8.1. Стороны не несут ответственность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14:paraId="3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 дней с даты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3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8.3. В случае возникновения обстоятельств непреодолимой силы Стороны вправе расторгнуть настоящий Договор, и в этом случае ни одна из Сторон не вправе требовать возмещения убытков.</w:t>
      </w:r>
    </w:p>
    <w:p w14:paraId="3B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C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</w:p>
    <w:p w14:paraId="3D000000">
      <w:pPr>
        <w:tabs>
          <w:tab w:leader="none" w:pos="1800" w:val="clear"/>
        </w:tabs>
        <w:ind w:firstLine="284" w:left="0"/>
        <w:jc w:val="center"/>
        <w:rPr>
          <w:b w:val="1"/>
          <w:sz w:val="22"/>
        </w:rPr>
      </w:pPr>
      <w:r>
        <w:rPr>
          <w:b w:val="1"/>
          <w:sz w:val="22"/>
        </w:rPr>
        <w:t>9. КОНФИДЕНЦИАЛЬНОСТЬ</w:t>
      </w:r>
    </w:p>
    <w:p w14:paraId="3E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9.1. Право раскрывать содержание Договора, публиковать в открытой печати, а также предоставлять информацию о ходе его исполнения, полученных результатах другим лицам принадлежит Заказчику.</w:t>
      </w:r>
    </w:p>
    <w:p w14:paraId="3F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40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10. ЗАКЛЮЧИТЕЛЬНЫЕ ПОЛОЖЕНИЯ</w:t>
      </w:r>
    </w:p>
    <w:p w14:paraId="41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10.1. Настоящий Договор вступает в силу с даты его подписания и действует по 31.12.2026 включительно. </w:t>
      </w:r>
    </w:p>
    <w:p w14:paraId="42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10.2. Отношения, не урегулированные настоящим Договором, регулируются в соответствии с действующим законодательством Российской Федерации.</w:t>
      </w:r>
    </w:p>
    <w:p w14:paraId="43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10.3.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Договора.</w:t>
      </w:r>
    </w:p>
    <w:p w14:paraId="44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 xml:space="preserve">10.4. Все приложения, указанные в тексте настоящего Договора, являются его неотъемлемыми частями. </w:t>
      </w:r>
    </w:p>
    <w:p w14:paraId="45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10.5. В случае изменения адреса места нахождения юридического лица или банковских реквизитов любой из Сторон, другая Сторона извещается об этом по факсу в течение пяти рабочих дней.</w:t>
      </w:r>
    </w:p>
    <w:p w14:paraId="46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10.6. Последующие приложения, протоколы и другие документы, составленные после заключения настоящего Договора, в зависимости от содержания, могут дополнять или изменять содержание отдельных положений настоящего Договора по взаимному согласию Сторон или в иных случаях, определенных действующим законодательством.</w:t>
      </w:r>
    </w:p>
    <w:p w14:paraId="47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10.7. 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48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10.8. Приложения к договору:</w:t>
      </w:r>
    </w:p>
    <w:p w14:paraId="49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Приложение № 1 – Описание объекта закупки;</w:t>
      </w:r>
    </w:p>
    <w:p w14:paraId="4A000000">
      <w:pPr>
        <w:tabs>
          <w:tab w:leader="none" w:pos="1800" w:val="clear"/>
        </w:tabs>
        <w:ind w:firstLine="284" w:left="0"/>
        <w:jc w:val="both"/>
        <w:rPr>
          <w:sz w:val="22"/>
        </w:rPr>
      </w:pPr>
      <w:r>
        <w:rPr>
          <w:sz w:val="22"/>
        </w:rPr>
        <w:t>Приложение № 2 – Спецификация.</w:t>
      </w:r>
    </w:p>
    <w:p w14:paraId="4B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4C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11. ЮРИДИЧЕСКИЕ АДРЕСА И БАНКОВСКИЕ РЕКВИЗИТЫ СТОРОН</w:t>
      </w:r>
    </w:p>
    <w:tbl>
      <w:tblPr>
        <w:tblStyle w:val="Style_2"/>
        <w:tblInd w:type="dxa" w:w="159"/>
        <w:tblLayout w:type="fixed"/>
      </w:tblPr>
      <w:tblGrid>
        <w:gridCol w:w="5180"/>
        <w:gridCol w:w="5093"/>
      </w:tblGrid>
      <w:tr>
        <w:trPr>
          <w:trHeight w:hRule="atLeast" w:val="2631"/>
        </w:trPr>
        <w:tc>
          <w:tcPr>
            <w:tcW w:type="dxa" w:w="5180"/>
          </w:tcPr>
          <w:p w14:paraId="4D000000">
            <w:pPr>
              <w:widowControl w:val="0"/>
              <w:tabs>
                <w:tab w:leader="none" w:pos="1800" w:val="clear"/>
              </w:tabs>
              <w:ind w:hanging="1800" w:left="1800"/>
              <w:contextualSpacing w:val="1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Заказчик:</w:t>
            </w:r>
          </w:p>
          <w:p w14:paraId="4E000000">
            <w:pPr>
              <w:widowControl w:val="0"/>
              <w:tabs>
                <w:tab w:leader="none" w:pos="1800" w:val="clear"/>
              </w:tabs>
              <w:ind w:hanging="1800" w:left="1800" w:right="312"/>
              <w:contextualSpacing w:val="1"/>
              <w:jc w:val="both"/>
              <w:rPr>
                <w:b w:val="1"/>
                <w:sz w:val="22"/>
              </w:rPr>
            </w:pPr>
            <w:r>
              <w:rPr>
                <w:b w:val="1"/>
                <w:sz w:val="22"/>
              </w:rPr>
              <w:t>ЛОГБУ «Сясьстройский ДСП»</w:t>
            </w:r>
          </w:p>
          <w:p w14:paraId="4F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ИНН 4718004094 КПП 470201001 </w:t>
            </w:r>
          </w:p>
          <w:p w14:paraId="50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Местонахождение и почтовый адрес: </w:t>
            </w:r>
          </w:p>
          <w:p w14:paraId="51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187420, Ленинградская обл., Волховский район, </w:t>
            </w:r>
          </w:p>
          <w:p w14:paraId="52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г. Сясьстрой, ул. Бумажников, д.38. </w:t>
            </w:r>
          </w:p>
          <w:p w14:paraId="53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Комитет финансов Ленинградской области </w:t>
            </w:r>
          </w:p>
          <w:p w14:paraId="54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(ЛОГБУ «Сясьстройский ДСП» л/с </w:t>
            </w:r>
          </w:p>
          <w:p w14:paraId="55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20182987026) ОКЦ №1 Северо-Западное ГУ Банка России/</w:t>
            </w:r>
          </w:p>
          <w:p w14:paraId="56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/УФК по Ленинградской области</w:t>
            </w:r>
          </w:p>
          <w:p w14:paraId="57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г. Санкт-Петербург</w:t>
            </w:r>
          </w:p>
          <w:p w14:paraId="58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р/сч</w:t>
            </w:r>
            <w:r>
              <w:rPr>
                <w:sz w:val="22"/>
              </w:rPr>
              <w:t xml:space="preserve"> 032 246 434 100 000 045 00</w:t>
            </w:r>
          </w:p>
          <w:p w14:paraId="59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к/сч 401 028 107 453 700 000 98</w:t>
            </w:r>
          </w:p>
          <w:p w14:paraId="5A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БИК 044030098        ОКПО 05163824         </w:t>
            </w:r>
          </w:p>
          <w:p w14:paraId="5B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ОКТМО 41609108001     ОГРН 1024702051340    </w:t>
            </w:r>
          </w:p>
          <w:p w14:paraId="5C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>Адрес электронной почты: syas_pni@mail.ru</w:t>
            </w:r>
          </w:p>
          <w:p w14:paraId="5D000000">
            <w:pPr>
              <w:tabs>
                <w:tab w:leader="none" w:pos="1800" w:val="clear"/>
                <w:tab w:leader="none" w:pos="4422" w:val="clear"/>
              </w:tabs>
              <w:ind w:firstLine="0" w:left="0"/>
              <w:jc w:val="both"/>
              <w:rPr>
                <w:sz w:val="22"/>
              </w:rPr>
            </w:pPr>
            <w:r>
              <w:rPr>
                <w:sz w:val="22"/>
              </w:rPr>
              <w:t xml:space="preserve">Тел. Договорной службы 8(81363)61081 </w:t>
            </w:r>
          </w:p>
        </w:tc>
        <w:tc>
          <w:tcPr>
            <w:tcW w:type="dxa" w:w="5093"/>
          </w:tcPr>
          <w:p w14:paraId="5E000000">
            <w:pPr>
              <w:widowControl w:val="0"/>
              <w:tabs>
                <w:tab w:leader="none" w:pos="1800" w:val="clear"/>
              </w:tabs>
              <w:ind w:firstLine="0" w:left="0"/>
              <w:contextualSpacing w:val="1"/>
              <w:rPr>
                <w:sz w:val="22"/>
              </w:rPr>
            </w:pPr>
            <w:r>
              <w:rPr>
                <w:rStyle w:val="Style_3_ch"/>
                <w:sz w:val="22"/>
              </w:rPr>
              <w:t>Исполнитель:</w:t>
            </w:r>
          </w:p>
          <w:p w14:paraId="5F000000">
            <w:pPr>
              <w:widowControl w:val="0"/>
              <w:tabs>
                <w:tab w:leader="none" w:pos="1800" w:val="clear"/>
              </w:tabs>
              <w:ind w:firstLine="0" w:left="0"/>
              <w:contextualSpacing w:val="1"/>
              <w:rPr>
                <w:sz w:val="22"/>
              </w:rPr>
            </w:pPr>
          </w:p>
          <w:p w14:paraId="60000000">
            <w:pPr>
              <w:ind w:firstLine="0" w:left="0"/>
              <w:rPr>
                <w:sz w:val="22"/>
              </w:rPr>
            </w:pPr>
          </w:p>
        </w:tc>
      </w:tr>
    </w:tbl>
    <w:p w14:paraId="61000000">
      <w:pPr>
        <w:tabs>
          <w:tab w:leader="none" w:pos="1800" w:val="clear"/>
          <w:tab w:leader="none" w:pos="4185" w:val="left"/>
          <w:tab w:leader="none" w:pos="4422" w:val="clear"/>
        </w:tabs>
        <w:ind w:firstLine="0" w:left="0"/>
        <w:jc w:val="both"/>
        <w:rPr>
          <w:sz w:val="22"/>
        </w:rPr>
      </w:pPr>
    </w:p>
    <w:p w14:paraId="62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  <w:r>
        <w:rPr>
          <w:b w:val="1"/>
          <w:sz w:val="22"/>
        </w:rPr>
        <w:t>12. ПОДПИСИ СТОРОН.</w:t>
      </w:r>
    </w:p>
    <w:p w14:paraId="63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tbl>
      <w:tblPr>
        <w:tblStyle w:val="Style_2"/>
        <w:tblLayout w:type="fixed"/>
      </w:tblPr>
      <w:tblGrid>
        <w:gridCol w:w="5148"/>
        <w:gridCol w:w="4680"/>
      </w:tblGrid>
      <w:tr>
        <w:tc>
          <w:tcPr>
            <w:tcW w:type="dxa" w:w="5148"/>
          </w:tcPr>
          <w:p w14:paraId="64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</w:tcPr>
          <w:p w14:paraId="65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</w:tcPr>
          <w:p w14:paraId="66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 ЛОГБУ «Сясьстройский ДСП»</w:t>
            </w:r>
          </w:p>
          <w:p w14:paraId="67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68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</w:tcPr>
          <w:p w14:paraId="69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6A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6B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 </w:t>
            </w:r>
          </w:p>
        </w:tc>
      </w:tr>
    </w:tbl>
    <w:p w14:paraId="6C000000">
      <w:pPr>
        <w:tabs>
          <w:tab w:leader="none" w:pos="1800" w:val="clear"/>
        </w:tabs>
        <w:ind w:firstLine="0" w:left="424"/>
        <w:rPr>
          <w:sz w:val="22"/>
        </w:rPr>
      </w:pPr>
    </w:p>
    <w:p w14:paraId="6D000000">
      <w:pPr>
        <w:tabs>
          <w:tab w:leader="none" w:pos="1800" w:val="clear"/>
        </w:tabs>
        <w:ind w:firstLine="0" w:left="-285"/>
        <w:rPr>
          <w:sz w:val="22"/>
        </w:rPr>
      </w:pPr>
    </w:p>
    <w:p w14:paraId="6E000000">
      <w:pPr>
        <w:tabs>
          <w:tab w:leader="none" w:pos="1800" w:val="clear"/>
        </w:tabs>
        <w:ind w:firstLine="0" w:left="-285"/>
        <w:rPr>
          <w:sz w:val="22"/>
        </w:rPr>
      </w:pPr>
    </w:p>
    <w:p w14:paraId="6F000000">
      <w:pPr>
        <w:tabs>
          <w:tab w:leader="none" w:pos="1800" w:val="clear"/>
        </w:tabs>
        <w:ind w:firstLine="0" w:left="-285"/>
        <w:rPr>
          <w:sz w:val="22"/>
        </w:rPr>
      </w:pPr>
    </w:p>
    <w:p w14:paraId="70000000">
      <w:pPr>
        <w:tabs>
          <w:tab w:leader="none" w:pos="1800" w:val="clear"/>
        </w:tabs>
        <w:ind w:firstLine="0" w:left="-285"/>
        <w:rPr>
          <w:sz w:val="22"/>
        </w:rPr>
      </w:pPr>
    </w:p>
    <w:p w14:paraId="71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  <w:bookmarkStart w:id="2" w:name="_Hlk85806155"/>
      <w:r>
        <w:rPr>
          <w:sz w:val="22"/>
        </w:rPr>
        <w:t>Приложение № 1</w:t>
      </w:r>
    </w:p>
    <w:p w14:paraId="72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к Договору № </w:t>
      </w:r>
    </w:p>
    <w:p w14:paraId="73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от </w:t>
      </w:r>
      <w:r>
        <w:rPr>
          <w:sz w:val="22"/>
        </w:rPr>
        <w:t xml:space="preserve">«  </w:t>
      </w:r>
      <w:r>
        <w:rPr>
          <w:sz w:val="22"/>
        </w:rPr>
        <w:t xml:space="preserve"> » октября 2026 г.</w:t>
      </w:r>
      <w:bookmarkEnd w:id="2"/>
    </w:p>
    <w:p w14:paraId="74000000">
      <w:pPr>
        <w:tabs>
          <w:tab w:leader="none" w:pos="1800" w:val="clear"/>
        </w:tabs>
        <w:ind w:firstLine="0" w:left="424"/>
        <w:jc w:val="right"/>
        <w:rPr>
          <w:sz w:val="22"/>
        </w:rPr>
      </w:pPr>
    </w:p>
    <w:p w14:paraId="75000000">
      <w:pPr>
        <w:tabs>
          <w:tab w:leader="none" w:pos="1800" w:val="clear"/>
        </w:tabs>
        <w:ind w:firstLine="0" w:left="424"/>
        <w:jc w:val="center"/>
        <w:rPr>
          <w:sz w:val="22"/>
        </w:rPr>
      </w:pPr>
    </w:p>
    <w:p w14:paraId="76000000">
      <w:pPr>
        <w:tabs>
          <w:tab w:leader="none" w:pos="1800" w:val="clear"/>
        </w:tabs>
        <w:ind/>
        <w:rPr>
          <w:b w:val="1"/>
          <w:sz w:val="22"/>
        </w:rPr>
      </w:pPr>
      <w:r>
        <w:rPr>
          <w:b w:val="1"/>
          <w:sz w:val="22"/>
        </w:rPr>
        <w:t>Описание объекта закупки</w:t>
      </w:r>
    </w:p>
    <w:p w14:paraId="77000000">
      <w:pPr>
        <w:tabs>
          <w:tab w:leader="none" w:pos="1800" w:val="clear"/>
        </w:tabs>
        <w:ind/>
        <w:rPr>
          <w:b w:val="1"/>
          <w:sz w:val="22"/>
        </w:rPr>
      </w:pPr>
    </w:p>
    <w:p w14:paraId="78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Объект закупки:</w:t>
      </w:r>
    </w:p>
    <w:p w14:paraId="79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расчет категории взрывопожарной и пожарной опасности складских и производственных помещений пищеблока.</w:t>
      </w:r>
    </w:p>
    <w:p w14:paraId="7A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7B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Краткая характеристика оказания услуг:</w:t>
      </w:r>
    </w:p>
    <w:p w14:paraId="7C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определение и обследование помещений с целью сбора данных, требующихся для расчета категорий помещений по взрывопожарной и пожарной опасности и класса зоны;</w:t>
      </w:r>
    </w:p>
    <w:p w14:paraId="7D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расчет категории по пожарной опасности помещений и обоснование классов зон;</w:t>
      </w:r>
    </w:p>
    <w:p w14:paraId="7E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разработка, изготовление и согласование Технического заключения;</w:t>
      </w:r>
    </w:p>
    <w:p w14:paraId="7F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предоставление Технического заключения Заказчику;</w:t>
      </w:r>
    </w:p>
    <w:p w14:paraId="80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81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Количество оказанных услуг для каждой позиции и вида, номенклатуры или ассортимента:</w:t>
      </w:r>
    </w:p>
    <w:p w14:paraId="82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техническое заключение, по определению показателей пожарной опасности на объекты обследования (объектом обследования является юридическое лицо (учреждение), включающее в себя следующие объекты (здания, строения, сооружения) находящиеся по адресу: 187420, Ленинградская область, Волховский район, г. Сясьстрой, ул. Бумажников, д.38):</w:t>
      </w:r>
    </w:p>
    <w:p w14:paraId="83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помещения пищеблока:</w:t>
      </w:r>
    </w:p>
    <w:p w14:paraId="84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1. Кладовая сухого хранения 11.79м2</w:t>
      </w:r>
    </w:p>
    <w:p w14:paraId="85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2. </w:t>
      </w:r>
      <w:r>
        <w:rPr>
          <w:rStyle w:val="Style_5_ch"/>
          <w:sz w:val="22"/>
        </w:rPr>
        <w:t>Кладовая сухого хранения 11.70м2</w:t>
      </w:r>
    </w:p>
    <w:p w14:paraId="86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3. Приемное помещение 33.45м2 </w:t>
      </w:r>
    </w:p>
    <w:p w14:paraId="87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4. Холодный цех 23.70м2  </w:t>
      </w:r>
    </w:p>
    <w:p w14:paraId="88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5. Мясо-рыбный цех 30.00м2</w:t>
      </w:r>
    </w:p>
    <w:p w14:paraId="89000000">
      <w:pPr>
        <w:ind w:firstLine="0" w:left="0"/>
        <w:jc w:val="both"/>
        <w:rPr>
          <w:sz w:val="22"/>
        </w:rPr>
      </w:pPr>
      <w:r>
        <w:rPr>
          <w:sz w:val="22"/>
        </w:rPr>
        <w:t>6. Овощной цех 25.44м2</w:t>
      </w:r>
    </w:p>
    <w:p w14:paraId="8A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6. Помещение хранения яиц 6,32м2</w:t>
      </w:r>
    </w:p>
    <w:p w14:paraId="8B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7. Помещение уборочного инвентаря</w:t>
      </w:r>
      <w:r>
        <w:rPr>
          <w:rStyle w:val="Style_5_ch"/>
          <w:sz w:val="22"/>
        </w:rPr>
        <w:t xml:space="preserve"> 5.0м2</w:t>
      </w:r>
    </w:p>
    <w:p w14:paraId="8C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8.</w:t>
      </w:r>
      <w:r>
        <w:rPr>
          <w:rStyle w:val="Style_5_ch"/>
          <w:sz w:val="22"/>
        </w:rPr>
        <w:t xml:space="preserve"> Помещение для сбора отходов 14.56м2</w:t>
      </w:r>
    </w:p>
    <w:p w14:paraId="8D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9. Помещение для отходов класса А 2.26 м2</w:t>
      </w:r>
    </w:p>
    <w:p w14:paraId="8E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10. Пекарский цех 19.07м2</w:t>
      </w:r>
    </w:p>
    <w:p w14:paraId="8F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11. Мойка кухонной посуды 13.01 м2</w:t>
      </w:r>
    </w:p>
    <w:p w14:paraId="90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12. Горячий цех 58.38м2 </w:t>
      </w:r>
    </w:p>
    <w:p w14:paraId="91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13. Мойка посуды персонала 2.57м2</w:t>
      </w:r>
    </w:p>
    <w:p w14:paraId="92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14. Кладовая инвентаря</w:t>
      </w:r>
      <w:r>
        <w:rPr>
          <w:rStyle w:val="Style_5_ch"/>
          <w:sz w:val="22"/>
        </w:rPr>
        <w:t xml:space="preserve"> 2.74м2</w:t>
      </w:r>
    </w:p>
    <w:p w14:paraId="93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15. Хлебный цех 10.47 м2</w:t>
      </w:r>
    </w:p>
    <w:p w14:paraId="94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16. Цех выдачи готовой продукции 37.39м2</w:t>
      </w:r>
    </w:p>
    <w:p w14:paraId="95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17. Тепловой узел 3.66м2</w:t>
      </w:r>
    </w:p>
    <w:p w14:paraId="96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результат работ по определению категории взрывопожарной и пожарной опасности объектов защиты должен быть оформлен в виде Технического заключения (категорирование, определение класса зон), а также класса зоны в соответствии с Федеральным законом № 123-ФЗ "Технический регламент о требованиях пожарной безопасности".</w:t>
      </w:r>
    </w:p>
    <w:p w14:paraId="97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98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Сопутствующие работы, услуги, сроки выполнения, требования к выполнению:</w:t>
      </w:r>
    </w:p>
    <w:p w14:paraId="99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- требуется выезд специалиста со стороны исполнителя в учреждение для определения пожарной нагрузки помещений и расчета категорий помещений по взрывопожарной и пожарной опасности. </w:t>
      </w:r>
    </w:p>
    <w:p w14:paraId="9A000000">
      <w:pPr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все необходимые для проведения расчета исходные данные Исполнитель получает от Заказчика в ходе оказания услуги, Заказчик обязан оказывать содействие Исполнителю при сборе исходных данных.</w:t>
      </w:r>
    </w:p>
    <w:p w14:paraId="9B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9C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Общие требования к услугам, требования по объему гарантий качества, требования по сроку гарантий качества:</w:t>
      </w:r>
    </w:p>
    <w:p w14:paraId="9D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Исполнитель должен обеспечить выполнение на объекте мероприятий по охране труда и технике безопасности, пожарной безопасности, охране окружающей среды в</w:t>
      </w:r>
      <w:r>
        <w:rPr>
          <w:rStyle w:val="Style_5_ch"/>
          <w:sz w:val="22"/>
        </w:rPr>
        <w:t xml:space="preserve"> соответствии с требованиями нормативных документов. Все материалы и оборудование, используемые при оказании услуг,</w:t>
      </w:r>
      <w:r>
        <w:rPr>
          <w:rStyle w:val="Style_5_ch"/>
          <w:sz w:val="22"/>
        </w:rPr>
        <w:t xml:space="preserve"> должны быть экологически безопасны и соответствовать требованиям по безопасности, санитарных, противопожарных норм.   </w:t>
      </w:r>
    </w:p>
    <w:p w14:paraId="9E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9F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 xml:space="preserve">Требования к качественным характеристикам услуг, требования к функциональным характеристикам товаров, в том числе подлежащих использованию при оказании услуг: </w:t>
      </w:r>
    </w:p>
    <w:p w14:paraId="A0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Техническое заключение по определению категорий помещений по взрывопожарной и пожарной опасности исполнитель обязан предоставить в 2 экз. в бумажном (переплетенном) виде и 1 экз. на электронном носителе, (бумажная и электронная версии должны быть абсолютно идентичны).</w:t>
      </w:r>
    </w:p>
    <w:p w14:paraId="A1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A2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Требования соответствия нормативным документам (лицензии, допуски, разрешения, согласования):</w:t>
      </w:r>
    </w:p>
    <w:p w14:paraId="A3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услуга оказывается в</w:t>
      </w:r>
      <w:r>
        <w:rPr>
          <w:rStyle w:val="Style_5_ch"/>
          <w:sz w:val="22"/>
        </w:rPr>
        <w:t xml:space="preserve"> соответствии с:</w:t>
      </w:r>
    </w:p>
    <w:p w14:paraId="A4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- Постановлением Правительства РФ №1479; </w:t>
      </w:r>
    </w:p>
    <w:p w14:paraId="A5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- </w:t>
      </w:r>
      <w:r>
        <w:rPr>
          <w:rStyle w:val="Style_5_ch"/>
          <w:sz w:val="22"/>
        </w:rPr>
        <w:t xml:space="preserve">Федеральным законом от 22.07.2008 N 123-ФЗ "Технический регламент о требованиях пожарной безопасности";  </w:t>
      </w:r>
    </w:p>
    <w:p w14:paraId="A6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СП 12.13130.2009 «Определение категорий помещений, зданий и наружных установок по взрывопожарной и пожарной опасности».</w:t>
      </w:r>
    </w:p>
    <w:p w14:paraId="A7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                                      </w:t>
      </w:r>
    </w:p>
    <w:p w14:paraId="A8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Сроки оказания услуг:</w:t>
      </w:r>
    </w:p>
    <w:p w14:paraId="A9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- календарные сроки выполнения условий договора: в течение 30 календарных дней с момента заключения договора.</w:t>
      </w:r>
    </w:p>
    <w:p w14:paraId="AA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AB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Порядок оказания услуг, этапы, последовательность, график, порядок поэтапной выплаты авансирования, а также поэтапной оплаты исполненных условий договора:</w:t>
      </w:r>
    </w:p>
    <w:p w14:paraId="AC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- услуга считается выполненной после получения Заказчиком всех необходимых документов (расчетного определения категорий по взрывопожарной и пожарной опасности помещений и класса зон). Заказчик оплачивает оказанные исполнителем услуги, по факту их оказания, путем перечисления денежных средств на расчетный счет исполнителя на основании надлежаще оформленного и подписанного обеими сторонами документа о приемке оказанных услуг с приложением документов, подтверждающих объем и качество оказанных услуг, в течение </w:t>
      </w:r>
      <w:r>
        <w:rPr>
          <w:rStyle w:val="Style_5_ch"/>
          <w:sz w:val="22"/>
        </w:rPr>
        <w:t xml:space="preserve">10 (десяти) календарных дней с даты подписания заказчиком документа о приемке оказанных услуг. </w:t>
      </w:r>
    </w:p>
    <w:p w14:paraId="AD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AE000000">
      <w:pPr>
        <w:numPr>
          <w:ilvl w:val="0"/>
          <w:numId w:val="1"/>
        </w:numPr>
        <w:tabs>
          <w:tab w:leader="none" w:pos="0" w:val="left"/>
        </w:tabs>
        <w:ind w:firstLine="0" w:left="0"/>
        <w:jc w:val="center"/>
        <w:rPr>
          <w:sz w:val="22"/>
        </w:rPr>
      </w:pPr>
      <w:r>
        <w:rPr>
          <w:rStyle w:val="Style_5_ch"/>
          <w:sz w:val="22"/>
        </w:rPr>
        <w:t>Качественные и количественные характеристики оказываемых услуг:</w:t>
      </w:r>
    </w:p>
    <w:p w14:paraId="AF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>по окончании оказания услуг, исполнитель передает Заказчику:</w:t>
      </w:r>
    </w:p>
    <w:p w14:paraId="B0000000">
      <w:pPr>
        <w:tabs>
          <w:tab w:leader="none" w:pos="0" w:val="left"/>
        </w:tabs>
        <w:ind w:firstLine="0" w:left="0"/>
        <w:jc w:val="both"/>
        <w:rPr>
          <w:sz w:val="22"/>
        </w:rPr>
      </w:pPr>
      <w:r>
        <w:rPr>
          <w:rStyle w:val="Style_5_ch"/>
          <w:sz w:val="22"/>
        </w:rPr>
        <w:t xml:space="preserve">- техническое заключение по определению категорий взрывопожарной и пожарной опасности </w:t>
      </w:r>
      <w:r>
        <w:rPr>
          <w:rStyle w:val="Style_5_ch"/>
          <w:sz w:val="22"/>
        </w:rPr>
        <w:t>по объектам</w:t>
      </w:r>
      <w:r>
        <w:rPr>
          <w:rStyle w:val="Style_5_ch"/>
          <w:sz w:val="22"/>
        </w:rPr>
        <w:t xml:space="preserve"> указанным в п.3;</w:t>
      </w:r>
    </w:p>
    <w:p w14:paraId="B1000000">
      <w:pPr>
        <w:tabs>
          <w:tab w:leader="none" w:pos="0" w:val="left"/>
        </w:tabs>
        <w:ind w:firstLine="0" w:left="0"/>
        <w:jc w:val="both"/>
        <w:rPr>
          <w:sz w:val="22"/>
        </w:rPr>
      </w:pPr>
    </w:p>
    <w:p w14:paraId="B2000000">
      <w:pPr>
        <w:numPr>
          <w:ilvl w:val="0"/>
          <w:numId w:val="1"/>
        </w:numPr>
        <w:ind w:firstLine="0" w:left="0"/>
        <w:jc w:val="center"/>
        <w:outlineLvl w:val="0"/>
        <w:rPr>
          <w:sz w:val="22"/>
        </w:rPr>
      </w:pPr>
      <w:r>
        <w:rPr>
          <w:rStyle w:val="Style_5_ch"/>
          <w:sz w:val="22"/>
        </w:rPr>
        <w:t>Место оказания услуг:</w:t>
      </w:r>
    </w:p>
    <w:p w14:paraId="B3000000">
      <w:pPr>
        <w:numPr>
          <w:ilvl w:val="0"/>
          <w:numId w:val="2"/>
        </w:numPr>
        <w:ind w:firstLine="0" w:left="0"/>
        <w:jc w:val="both"/>
        <w:outlineLvl w:val="0"/>
        <w:rPr>
          <w:sz w:val="22"/>
        </w:rPr>
      </w:pPr>
      <w:r>
        <w:rPr>
          <w:rStyle w:val="Style_5_ch"/>
          <w:sz w:val="22"/>
        </w:rPr>
        <w:t>юридический адрес: 187420, Ленинградская область, Волховский район, г. Сясьстрой, ул. Бумажников, д.38</w:t>
      </w:r>
    </w:p>
    <w:p w14:paraId="B4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B5000000">
      <w:pPr>
        <w:tabs>
          <w:tab w:leader="none" w:pos="1800" w:val="clear"/>
        </w:tabs>
        <w:ind w:firstLine="284" w:left="0"/>
        <w:jc w:val="both"/>
        <w:rPr>
          <w:sz w:val="22"/>
        </w:rPr>
      </w:pPr>
    </w:p>
    <w:p w14:paraId="B6000000">
      <w:pPr>
        <w:tabs>
          <w:tab w:leader="none" w:pos="1800" w:val="clear"/>
        </w:tabs>
        <w:ind w:firstLine="0" w:left="0"/>
        <w:rPr>
          <w:sz w:val="22"/>
        </w:rPr>
      </w:pPr>
    </w:p>
    <w:tbl>
      <w:tblPr>
        <w:tblStyle w:val="Style_2"/>
        <w:tblLayout w:type="fixed"/>
      </w:tblPr>
      <w:tblGrid>
        <w:gridCol w:w="5148"/>
        <w:gridCol w:w="4680"/>
      </w:tblGrid>
      <w:tr>
        <w:tc>
          <w:tcPr>
            <w:tcW w:type="dxa" w:w="5148"/>
          </w:tcPr>
          <w:p w14:paraId="B7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</w:tcPr>
          <w:p w14:paraId="B8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</w:tcPr>
          <w:p w14:paraId="B9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 ЛОГБУ «Сясьстройский ДСП»</w:t>
            </w:r>
          </w:p>
          <w:p w14:paraId="BA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BB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</w:tcPr>
          <w:p w14:paraId="BC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BD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BE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 </w:t>
            </w:r>
          </w:p>
        </w:tc>
      </w:tr>
    </w:tbl>
    <w:p w14:paraId="BF000000">
      <w:pPr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C0000000">
      <w:pPr>
        <w:tabs>
          <w:tab w:leader="none" w:pos="1800" w:val="clear"/>
        </w:tabs>
        <w:ind w:firstLine="0" w:left="0"/>
        <w:rPr>
          <w:sz w:val="22"/>
        </w:rPr>
      </w:pPr>
    </w:p>
    <w:tbl>
      <w:tblPr>
        <w:tblStyle w:val="Style_2"/>
        <w:tblLayout w:type="fixed"/>
      </w:tblPr>
      <w:tblGrid>
        <w:gridCol w:w="5778"/>
        <w:gridCol w:w="5103"/>
      </w:tblGrid>
      <w:tr>
        <w:tc>
          <w:tcPr>
            <w:tcW w:type="dxa" w:w="5778"/>
          </w:tcPr>
          <w:p w14:paraId="C1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C2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</w:tr>
      <w:tr>
        <w:tc>
          <w:tcPr>
            <w:tcW w:type="dxa" w:w="5778"/>
          </w:tcPr>
          <w:p w14:paraId="C3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C4000000">
            <w:pPr>
              <w:widowControl w:val="0"/>
              <w:tabs>
                <w:tab w:leader="none" w:pos="1800" w:val="clear"/>
              </w:tabs>
              <w:ind w:hanging="1800" w:left="1800"/>
              <w:rPr>
                <w:sz w:val="22"/>
              </w:rPr>
            </w:pPr>
          </w:p>
        </w:tc>
      </w:tr>
    </w:tbl>
    <w:p w14:paraId="C5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</w:p>
    <w:p w14:paraId="C6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</w:p>
    <w:p w14:paraId="C7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</w:p>
    <w:p w14:paraId="C8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</w:p>
    <w:p w14:paraId="C9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</w:p>
    <w:p w14:paraId="CA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</w:p>
    <w:p w14:paraId="CB000000">
      <w:pPr>
        <w:pStyle w:val="Style_4"/>
        <w:tabs>
          <w:tab w:leader="none" w:pos="1800" w:val="clear"/>
        </w:tabs>
        <w:ind w:firstLine="0" w:left="-326"/>
        <w:jc w:val="right"/>
        <w:rPr>
          <w:sz w:val="22"/>
        </w:rPr>
      </w:pPr>
    </w:p>
    <w:p w14:paraId="CC000000"/>
    <w:p w14:paraId="CD000000"/>
    <w:p w14:paraId="CE000000"/>
    <w:p w14:paraId="CF000000">
      <w:pPr>
        <w:pStyle w:val="Style_4"/>
        <w:tabs>
          <w:tab w:leader="none" w:pos="1800" w:val="clear"/>
        </w:tabs>
        <w:ind w:firstLine="0" w:left="383"/>
        <w:jc w:val="right"/>
        <w:rPr>
          <w:sz w:val="22"/>
        </w:rPr>
      </w:pPr>
      <w:r>
        <w:rPr>
          <w:sz w:val="22"/>
        </w:rPr>
        <w:t>Приложение № 2</w:t>
      </w:r>
    </w:p>
    <w:p w14:paraId="D0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к Договору №  </w:t>
      </w:r>
    </w:p>
    <w:p w14:paraId="D1000000">
      <w:pPr>
        <w:pStyle w:val="Style_4"/>
        <w:tabs>
          <w:tab w:leader="none" w:pos="1800" w:val="clear"/>
        </w:tabs>
        <w:ind w:firstLine="0" w:left="1800"/>
        <w:jc w:val="right"/>
        <w:rPr>
          <w:sz w:val="22"/>
        </w:rPr>
      </w:pPr>
      <w:r>
        <w:rPr>
          <w:sz w:val="22"/>
        </w:rPr>
        <w:t xml:space="preserve">от </w:t>
      </w:r>
      <w:r>
        <w:rPr>
          <w:sz w:val="22"/>
        </w:rPr>
        <w:t>«  »</w:t>
      </w:r>
      <w:r>
        <w:rPr>
          <w:sz w:val="22"/>
        </w:rPr>
        <w:t xml:space="preserve"> октября 2026 г.</w:t>
      </w:r>
    </w:p>
    <w:p w14:paraId="D2000000">
      <w:pPr>
        <w:pStyle w:val="Style_4"/>
        <w:tabs>
          <w:tab w:leader="none" w:pos="1800" w:val="clear"/>
        </w:tabs>
        <w:ind w:firstLine="0" w:left="0"/>
        <w:rPr>
          <w:b w:val="1"/>
          <w:sz w:val="22"/>
        </w:rPr>
      </w:pPr>
    </w:p>
    <w:p w14:paraId="D3000000">
      <w:pPr>
        <w:pStyle w:val="Style_4"/>
        <w:tabs>
          <w:tab w:leader="none" w:pos="1800" w:val="clear"/>
        </w:tabs>
        <w:ind w:firstLine="0" w:left="0"/>
        <w:rPr>
          <w:sz w:val="22"/>
        </w:rPr>
      </w:pPr>
      <w:r>
        <w:rPr>
          <w:b w:val="1"/>
          <w:sz w:val="22"/>
        </w:rPr>
        <w:t>СПЕЦИФИКАЦИЯ</w:t>
      </w:r>
    </w:p>
    <w:p w14:paraId="D4000000">
      <w:pPr>
        <w:widowControl w:val="0"/>
        <w:tabs>
          <w:tab w:leader="none" w:pos="1800" w:val="clear"/>
        </w:tabs>
        <w:ind w:firstLine="0" w:left="0"/>
        <w:rPr>
          <w:sz w:val="22"/>
        </w:rPr>
      </w:pPr>
    </w:p>
    <w:tbl>
      <w:tblPr>
        <w:tblStyle w:val="Style_2"/>
        <w:tblInd w:type="dxa" w:w="-5"/>
        <w:tblLayout w:type="fixed"/>
      </w:tblPr>
      <w:tblGrid>
        <w:gridCol w:w="680"/>
        <w:gridCol w:w="3550"/>
        <w:gridCol w:w="1135"/>
        <w:gridCol w:w="993"/>
        <w:gridCol w:w="2131"/>
        <w:gridCol w:w="1845"/>
      </w:tblGrid>
      <w:tr>
        <w:trPr>
          <w:trHeight w:hRule="atLeast" w:val="1347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5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№ п/п</w:t>
            </w:r>
          </w:p>
        </w:tc>
        <w:tc>
          <w:tcPr>
            <w:tcW w:type="dxa" w:w="3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6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услуг</w:t>
            </w:r>
          </w:p>
        </w:tc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7000000">
            <w:pPr>
              <w:widowControl w:val="0"/>
              <w:tabs>
                <w:tab w:leader="none" w:pos="1800" w:val="clear"/>
              </w:tabs>
              <w:ind w:firstLine="0" w:left="-101" w:right="-103"/>
              <w:jc w:val="center"/>
              <w:rPr>
                <w:sz w:val="22"/>
              </w:rPr>
            </w:pPr>
            <w:r>
              <w:rPr>
                <w:sz w:val="22"/>
              </w:rPr>
              <w:t>Единица измерения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8000000">
            <w:pPr>
              <w:widowControl w:val="0"/>
              <w:tabs>
                <w:tab w:leader="none" w:pos="1800" w:val="clear"/>
              </w:tabs>
              <w:ind w:hanging="1800" w:left="1800" w:right="-115"/>
              <w:jc w:val="center"/>
              <w:rPr>
                <w:sz w:val="22"/>
              </w:rPr>
            </w:pPr>
            <w:r>
              <w:rPr>
                <w:sz w:val="22"/>
              </w:rPr>
              <w:t>Кол-во</w:t>
            </w:r>
          </w:p>
        </w:tc>
        <w:tc>
          <w:tcPr>
            <w:tcW w:type="dxa" w:w="21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9000000">
            <w:pPr>
              <w:widowControl w:val="0"/>
              <w:tabs>
                <w:tab w:leader="none" w:pos="1800" w:val="clear"/>
              </w:tabs>
              <w:ind w:firstLine="0" w:left="-109" w:right="-102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Цена за единицу измер., </w:t>
            </w:r>
            <w:r>
              <w:rPr>
                <w:sz w:val="22"/>
              </w:rPr>
              <w:t>НДС__%/не</w:t>
            </w:r>
            <w:r>
              <w:rPr>
                <w:sz w:val="22"/>
              </w:rPr>
              <w:t xml:space="preserve"> обл.</w:t>
            </w:r>
          </w:p>
          <w:p w14:paraId="DA000000">
            <w:pPr>
              <w:widowControl w:val="0"/>
              <w:tabs>
                <w:tab w:leader="none" w:pos="1800" w:val="clear"/>
              </w:tabs>
              <w:ind w:firstLine="0" w:left="-109" w:right="-102"/>
              <w:jc w:val="center"/>
              <w:rPr>
                <w:sz w:val="22"/>
              </w:rPr>
            </w:pPr>
            <w:r>
              <w:rPr>
                <w:sz w:val="22"/>
              </w:rPr>
              <w:t>(руб.)</w:t>
            </w:r>
          </w:p>
        </w:tc>
        <w:tc>
          <w:tcPr>
            <w:tcW w:type="dxa" w:w="18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B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  <w:r>
              <w:rPr>
                <w:sz w:val="22"/>
              </w:rPr>
              <w:t>Общая стоимость, НДС___%/ не</w:t>
            </w:r>
            <w:r>
              <w:rPr>
                <w:sz w:val="22"/>
              </w:rPr>
              <w:t xml:space="preserve"> обл.</w:t>
            </w:r>
          </w:p>
          <w:p w14:paraId="DC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(руб.)</w:t>
            </w:r>
          </w:p>
        </w:tc>
      </w:tr>
      <w:tr>
        <w:trPr>
          <w:trHeight w:hRule="atLeast" w:val="1498"/>
        </w:trPr>
        <w:tc>
          <w:tcPr>
            <w:tcW w:type="dxa" w:w="68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D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355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DE000000">
            <w:pPr>
              <w:widowControl w:val="0"/>
              <w:tabs>
                <w:tab w:leader="none" w:pos="1800" w:val="clear"/>
              </w:tabs>
              <w:ind w:firstLine="0" w:left="0" w:right="-109"/>
              <w:jc w:val="center"/>
              <w:rPr>
                <w:sz w:val="22"/>
              </w:rPr>
            </w:pPr>
            <w:r>
              <w:rPr>
                <w:sz w:val="22"/>
              </w:rPr>
              <w:t>Оказание услуг по определению категорий помещений пищеблока по пожарной и взрывопожарной опасности в для нужд ЛОГБУ "Сясьстройский ДСП"</w:t>
            </w:r>
          </w:p>
          <w:p w14:paraId="DF000000">
            <w:pPr>
              <w:ind w:firstLine="0" w:left="0"/>
              <w:rPr>
                <w:sz w:val="22"/>
              </w:rPr>
            </w:pPr>
          </w:p>
        </w:tc>
        <w:tc>
          <w:tcPr>
            <w:tcW w:type="dxa" w:w="113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0000000">
            <w:pPr>
              <w:widowControl w:val="0"/>
              <w:tabs>
                <w:tab w:leader="none" w:pos="1800" w:val="clear"/>
              </w:tabs>
              <w:ind w:firstLine="0" w:left="0" w:right="-105"/>
              <w:jc w:val="center"/>
              <w:rPr>
                <w:sz w:val="22"/>
              </w:rPr>
            </w:pPr>
            <w:r>
              <w:rPr>
                <w:sz w:val="22"/>
              </w:rPr>
              <w:t>Усл. ед.</w:t>
            </w:r>
          </w:p>
        </w:tc>
        <w:tc>
          <w:tcPr>
            <w:tcW w:type="dxa" w:w="993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1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 </w:t>
            </w:r>
          </w:p>
          <w:p w14:paraId="E2000000">
            <w:pPr>
              <w:widowControl w:val="0"/>
              <w:tabs>
                <w:tab w:leader="none" w:pos="1800" w:val="clear"/>
              </w:tabs>
              <w:ind w:firstLine="0" w:left="0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type="dxa" w:w="2131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3000000">
            <w:pPr>
              <w:pStyle w:val="Style_6"/>
            </w:pPr>
          </w:p>
          <w:p w14:paraId="E4000000">
            <w:pPr>
              <w:widowControl w:val="0"/>
              <w:tabs>
                <w:tab w:leader="none" w:pos="1800" w:val="clear"/>
              </w:tabs>
              <w:ind w:firstLine="0" w:left="-109" w:right="-102"/>
              <w:rPr>
                <w:sz w:val="22"/>
              </w:rPr>
            </w:pPr>
            <w:r>
              <w:rPr>
                <w:sz w:val="22"/>
              </w:rPr>
              <w:t xml:space="preserve">            </w:t>
            </w:r>
          </w:p>
          <w:p w14:paraId="E5000000">
            <w:r>
              <w:rPr>
                <w:sz w:val="22"/>
              </w:rPr>
              <w:t>(руб.)</w:t>
            </w:r>
          </w:p>
        </w:tc>
        <w:tc>
          <w:tcPr>
            <w:tcW w:type="dxa" w:w="184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</w:tcPr>
          <w:p w14:paraId="E6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</w:p>
          <w:p w14:paraId="E7000000">
            <w:pPr>
              <w:widowControl w:val="0"/>
              <w:tabs>
                <w:tab w:leader="none" w:pos="1800" w:val="clear"/>
              </w:tabs>
              <w:ind w:firstLine="0" w:left="0" w:right="-102"/>
              <w:jc w:val="center"/>
              <w:rPr>
                <w:sz w:val="22"/>
              </w:rPr>
            </w:pPr>
          </w:p>
        </w:tc>
      </w:tr>
    </w:tbl>
    <w:p w14:paraId="E8000000">
      <w:pPr>
        <w:widowControl w:val="0"/>
        <w:tabs>
          <w:tab w:leader="none" w:pos="1800" w:val="clear"/>
        </w:tabs>
        <w:ind w:firstLine="0" w:left="0"/>
        <w:jc w:val="center"/>
        <w:rPr>
          <w:b w:val="1"/>
          <w:sz w:val="22"/>
        </w:rPr>
      </w:pPr>
    </w:p>
    <w:p w14:paraId="E9000000">
      <w:pPr>
        <w:tabs>
          <w:tab w:leader="none" w:pos="1800" w:val="clear"/>
        </w:tabs>
        <w:ind w:hanging="1800" w:left="1800"/>
        <w:rPr>
          <w:b w:val="1"/>
          <w:sz w:val="22"/>
        </w:rPr>
      </w:pPr>
    </w:p>
    <w:p w14:paraId="EA000000">
      <w:pPr>
        <w:tabs>
          <w:tab w:leader="none" w:pos="1800" w:val="clear"/>
        </w:tabs>
        <w:ind w:hanging="1800" w:left="1800"/>
        <w:rPr>
          <w:b w:val="1"/>
          <w:sz w:val="22"/>
        </w:rPr>
      </w:pPr>
    </w:p>
    <w:tbl>
      <w:tblPr>
        <w:tblStyle w:val="Style_2"/>
        <w:tblLayout w:type="fixed"/>
      </w:tblPr>
      <w:tblGrid>
        <w:gridCol w:w="5148"/>
        <w:gridCol w:w="4680"/>
      </w:tblGrid>
      <w:tr>
        <w:tc>
          <w:tcPr>
            <w:tcW w:type="dxa" w:w="5148"/>
          </w:tcPr>
          <w:p w14:paraId="EB000000">
            <w:pPr>
              <w:tabs>
                <w:tab w:leader="none" w:pos="0" w:val="left"/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Заказчик</w:t>
            </w:r>
          </w:p>
        </w:tc>
        <w:tc>
          <w:tcPr>
            <w:tcW w:type="dxa" w:w="4680"/>
          </w:tcPr>
          <w:p w14:paraId="EC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Исполнитель</w:t>
            </w:r>
          </w:p>
        </w:tc>
      </w:tr>
      <w:tr>
        <w:tc>
          <w:tcPr>
            <w:tcW w:type="dxa" w:w="5148"/>
          </w:tcPr>
          <w:p w14:paraId="ED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Директор ЛОГБУ «Сясьстройский ДСП»</w:t>
            </w:r>
          </w:p>
          <w:p w14:paraId="EE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EF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>________________ Журавель М.Б.</w:t>
            </w:r>
          </w:p>
        </w:tc>
        <w:tc>
          <w:tcPr>
            <w:tcW w:type="dxa" w:w="4680"/>
          </w:tcPr>
          <w:p w14:paraId="F0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F1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  <w:p w14:paraId="F2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  <w:r>
              <w:rPr>
                <w:sz w:val="22"/>
              </w:rPr>
              <w:t xml:space="preserve">_____________ </w:t>
            </w:r>
          </w:p>
          <w:p w14:paraId="F3000000">
            <w:pPr>
              <w:tabs>
                <w:tab w:leader="none" w:pos="1800" w:val="clear"/>
                <w:tab w:leader="none" w:pos="4422" w:val="clear"/>
              </w:tabs>
              <w:ind w:hanging="370" w:left="370" w:right="1"/>
              <w:jc w:val="both"/>
              <w:rPr>
                <w:sz w:val="22"/>
              </w:rPr>
            </w:pPr>
          </w:p>
        </w:tc>
      </w:tr>
    </w:tbl>
    <w:p w14:paraId="F4000000">
      <w:pPr>
        <w:tabs>
          <w:tab w:leader="none" w:pos="1800" w:val="clear"/>
        </w:tabs>
        <w:ind w:firstLine="0" w:left="0"/>
        <w:jc w:val="center"/>
        <w:rPr>
          <w:sz w:val="22"/>
        </w:rPr>
      </w:pPr>
    </w:p>
    <w:p w14:paraId="F5000000">
      <w:pPr>
        <w:tabs>
          <w:tab w:leader="none" w:pos="1800" w:val="clear"/>
        </w:tabs>
        <w:ind w:firstLine="0" w:left="0"/>
        <w:jc w:val="center"/>
        <w:rPr>
          <w:sz w:val="22"/>
        </w:rPr>
      </w:pPr>
    </w:p>
    <w:tbl>
      <w:tblPr>
        <w:tblStyle w:val="Style_2"/>
        <w:tblLayout w:type="fixed"/>
      </w:tblPr>
      <w:tblGrid>
        <w:gridCol w:w="5778"/>
        <w:gridCol w:w="5103"/>
      </w:tblGrid>
      <w:tr>
        <w:tc>
          <w:tcPr>
            <w:tcW w:type="dxa" w:w="5778"/>
          </w:tcPr>
          <w:p w14:paraId="F6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F7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</w:tr>
      <w:tr>
        <w:tc>
          <w:tcPr>
            <w:tcW w:type="dxa" w:w="5778"/>
          </w:tcPr>
          <w:p w14:paraId="F8000000">
            <w:pPr>
              <w:widowControl w:val="0"/>
              <w:tabs>
                <w:tab w:leader="none" w:pos="1800" w:val="clear"/>
              </w:tabs>
              <w:ind w:firstLine="0" w:left="0"/>
              <w:rPr>
                <w:sz w:val="22"/>
              </w:rPr>
            </w:pPr>
          </w:p>
        </w:tc>
        <w:tc>
          <w:tcPr>
            <w:tcW w:type="dxa" w:w="5103"/>
          </w:tcPr>
          <w:p w14:paraId="F9000000">
            <w:pPr>
              <w:widowControl w:val="0"/>
              <w:tabs>
                <w:tab w:leader="none" w:pos="1800" w:val="clear"/>
              </w:tabs>
              <w:ind w:hanging="1800" w:left="1800"/>
              <w:rPr>
                <w:sz w:val="22"/>
              </w:rPr>
            </w:pPr>
          </w:p>
        </w:tc>
      </w:tr>
    </w:tbl>
    <w:p w14:paraId="FA000000">
      <w:pPr>
        <w:tabs>
          <w:tab w:leader="none" w:pos="1800" w:val="clear"/>
        </w:tabs>
        <w:ind w:firstLine="0" w:left="0"/>
        <w:rPr>
          <w:sz w:val="22"/>
        </w:rPr>
      </w:pPr>
    </w:p>
    <w:p w14:paraId="FB000000">
      <w:pPr>
        <w:tabs>
          <w:tab w:leader="none" w:pos="1800" w:val="clear"/>
        </w:tabs>
        <w:ind w:firstLine="0" w:left="0"/>
        <w:rPr>
          <w:sz w:val="22"/>
        </w:rPr>
      </w:pPr>
    </w:p>
    <w:p w14:paraId="FC000000">
      <w:pPr>
        <w:tabs>
          <w:tab w:leader="none" w:pos="1800" w:val="clear"/>
        </w:tabs>
        <w:ind w:firstLine="0" w:left="0"/>
        <w:rPr>
          <w:sz w:val="22"/>
        </w:rPr>
      </w:pPr>
    </w:p>
    <w:p w14:paraId="FD000000">
      <w:pPr>
        <w:tabs>
          <w:tab w:leader="none" w:pos="1800" w:val="clear"/>
        </w:tabs>
        <w:ind w:firstLine="0" w:left="0"/>
        <w:rPr>
          <w:sz w:val="22"/>
        </w:rPr>
      </w:pPr>
    </w:p>
    <w:p w14:paraId="FE000000">
      <w:pPr>
        <w:tabs>
          <w:tab w:leader="none" w:pos="1800" w:val="clear"/>
        </w:tabs>
        <w:ind w:firstLine="0" w:left="0"/>
        <w:rPr>
          <w:sz w:val="22"/>
        </w:rPr>
      </w:pPr>
    </w:p>
    <w:p w14:paraId="FF000000">
      <w:pPr>
        <w:tabs>
          <w:tab w:leader="none" w:pos="1800" w:val="clear"/>
        </w:tabs>
        <w:ind w:firstLine="0" w:left="0"/>
        <w:rPr>
          <w:sz w:val="22"/>
        </w:rPr>
      </w:pPr>
    </w:p>
    <w:p w14:paraId="00010000">
      <w:pPr>
        <w:tabs>
          <w:tab w:leader="none" w:pos="1800" w:val="clear"/>
        </w:tabs>
        <w:ind w:firstLine="0" w:left="0"/>
        <w:rPr>
          <w:sz w:val="22"/>
        </w:rPr>
      </w:pPr>
    </w:p>
    <w:p w14:paraId="01010000">
      <w:pPr>
        <w:tabs>
          <w:tab w:leader="none" w:pos="1800" w:val="clear"/>
        </w:tabs>
        <w:ind w:firstLine="0" w:left="0"/>
        <w:rPr>
          <w:sz w:val="22"/>
        </w:rPr>
      </w:pPr>
    </w:p>
    <w:p w14:paraId="02010000">
      <w:pPr>
        <w:tabs>
          <w:tab w:leader="none" w:pos="1800" w:val="clear"/>
        </w:tabs>
        <w:ind w:firstLine="0" w:left="0"/>
        <w:rPr>
          <w:sz w:val="22"/>
        </w:rPr>
      </w:pPr>
    </w:p>
    <w:p w14:paraId="03010000">
      <w:pPr>
        <w:tabs>
          <w:tab w:leader="none" w:pos="1800" w:val="clear"/>
        </w:tabs>
        <w:ind w:firstLine="0" w:left="0"/>
        <w:rPr>
          <w:sz w:val="22"/>
        </w:rPr>
      </w:pPr>
    </w:p>
    <w:p w14:paraId="04010000">
      <w:pPr>
        <w:tabs>
          <w:tab w:leader="none" w:pos="1800" w:val="clear"/>
        </w:tabs>
        <w:ind w:firstLine="0" w:left="0"/>
        <w:rPr>
          <w:sz w:val="22"/>
        </w:rPr>
      </w:pPr>
    </w:p>
    <w:p w14:paraId="05010000">
      <w:pPr>
        <w:tabs>
          <w:tab w:leader="none" w:pos="1800" w:val="clear"/>
        </w:tabs>
        <w:ind w:firstLine="0" w:left="0"/>
        <w:rPr>
          <w:sz w:val="22"/>
        </w:rPr>
      </w:pPr>
    </w:p>
    <w:p w14:paraId="06010000">
      <w:pPr>
        <w:tabs>
          <w:tab w:leader="none" w:pos="1800" w:val="clear"/>
        </w:tabs>
        <w:ind w:firstLine="0" w:left="0"/>
        <w:rPr>
          <w:sz w:val="22"/>
        </w:rPr>
      </w:pPr>
    </w:p>
    <w:p w14:paraId="07010000">
      <w:pPr>
        <w:tabs>
          <w:tab w:leader="none" w:pos="1800" w:val="clear"/>
        </w:tabs>
        <w:ind w:firstLine="0" w:left="0"/>
        <w:rPr>
          <w:sz w:val="22"/>
        </w:rPr>
      </w:pPr>
    </w:p>
    <w:p w14:paraId="08010000">
      <w:pPr>
        <w:tabs>
          <w:tab w:leader="none" w:pos="1800" w:val="clear"/>
        </w:tabs>
        <w:ind w:firstLine="0" w:left="0"/>
        <w:rPr>
          <w:sz w:val="22"/>
        </w:rPr>
      </w:pPr>
    </w:p>
    <w:p w14:paraId="09010000">
      <w:pPr>
        <w:tabs>
          <w:tab w:leader="none" w:pos="1800" w:val="clear"/>
        </w:tabs>
        <w:ind w:firstLine="0" w:left="0"/>
        <w:rPr>
          <w:sz w:val="22"/>
        </w:rPr>
      </w:pPr>
    </w:p>
    <w:p w14:paraId="0A010000">
      <w:pPr>
        <w:tabs>
          <w:tab w:leader="none" w:pos="1800" w:val="clear"/>
        </w:tabs>
        <w:ind w:firstLine="0" w:left="0"/>
        <w:rPr>
          <w:sz w:val="22"/>
        </w:rPr>
      </w:pPr>
    </w:p>
    <w:p w14:paraId="0B010000">
      <w:pPr>
        <w:tabs>
          <w:tab w:leader="none" w:pos="1800" w:val="clear"/>
        </w:tabs>
        <w:ind w:firstLine="0" w:left="0"/>
        <w:rPr>
          <w:sz w:val="22"/>
        </w:rPr>
      </w:pPr>
    </w:p>
    <w:p w14:paraId="0C010000">
      <w:pPr>
        <w:tabs>
          <w:tab w:leader="none" w:pos="1800" w:val="clear"/>
        </w:tabs>
        <w:ind w:firstLine="0" w:left="0"/>
        <w:rPr>
          <w:sz w:val="22"/>
        </w:rPr>
      </w:pPr>
    </w:p>
    <w:p w14:paraId="0D010000">
      <w:pPr>
        <w:tabs>
          <w:tab w:leader="none" w:pos="1800" w:val="clear"/>
        </w:tabs>
        <w:ind w:firstLine="0" w:left="0"/>
        <w:rPr>
          <w:sz w:val="22"/>
        </w:rPr>
      </w:pPr>
    </w:p>
    <w:p w14:paraId="0E010000">
      <w:pPr>
        <w:tabs>
          <w:tab w:leader="none" w:pos="1800" w:val="clear"/>
        </w:tabs>
        <w:ind w:firstLine="0" w:left="0"/>
        <w:rPr>
          <w:sz w:val="22"/>
        </w:rPr>
      </w:pPr>
    </w:p>
    <w:sectPr>
      <w:pgSz w:h="16838" w:orient="portrait" w:w="11906"/>
      <w:pgMar w:bottom="567" w:footer="284" w:gutter="0" w:header="284" w:left="1134" w:right="567" w:top="567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numFmt w:val="bullet"/>
      <w:lvlText w:val="-"/>
      <w:lvlJc w:val="left"/>
      <w:pPr>
        <w:ind w:hanging="360" w:left="720"/>
      </w:pPr>
      <w:rPr>
        <w:rFonts w:ascii="Calibri" w:hAnsi="Calibri"/>
      </w:rPr>
    </w:lvl>
    <w:lvl w:ilvl="1">
      <w:numFmt w:val="bullet"/>
      <w:lvlText w:val="o"/>
      <w:lvlJc w:val="left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lvlJc w:val="left"/>
      <w:pPr>
        <w:ind w:hanging="360" w:left="2160"/>
      </w:pPr>
      <w:rPr>
        <w:rFonts w:ascii="Wingdings" w:hAnsi="Wingdings"/>
      </w:rPr>
    </w:lvl>
    <w:lvl w:ilvl="3">
      <w:numFmt w:val="bullet"/>
      <w:lvlText w:val="-"/>
      <w:lvlJc w:val="left"/>
      <w:pPr>
        <w:ind w:hanging="360" w:left="2880"/>
      </w:pPr>
      <w:rPr>
        <w:rFonts w:ascii="Calibri" w:hAnsi="Calibri"/>
      </w:rPr>
    </w:lvl>
    <w:lvl w:ilvl="4">
      <w:numFmt w:val="bullet"/>
      <w:lvlText w:val="o"/>
      <w:lvlJc w:val="left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lvlJc w:val="left"/>
      <w:pPr>
        <w:ind w:hanging="360" w:left="4320"/>
      </w:pPr>
      <w:rPr>
        <w:rFonts w:ascii="Wingdings" w:hAnsi="Wingdings"/>
      </w:rPr>
    </w:lvl>
    <w:lvl w:ilvl="6">
      <w:numFmt w:val="bullet"/>
      <w:lvlText w:val="-"/>
      <w:lvlJc w:val="left"/>
      <w:pPr>
        <w:ind w:hanging="360" w:left="5040"/>
      </w:pPr>
      <w:rPr>
        <w:rFonts w:ascii="Calibri" w:hAnsi="Calibri"/>
      </w:rPr>
    </w:lvl>
    <w:lvl w:ilvl="7">
      <w:numFmt w:val="bullet"/>
      <w:lvlText w:val="o"/>
      <w:lvlJc w:val="left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lvlJc w:val="left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7" w:type="paragraph">
    <w:name w:val="Normal"/>
    <w:link w:val="Style_7_ch"/>
    <w:uiPriority w:val="0"/>
    <w:qFormat/>
    <w:pPr>
      <w:tabs>
        <w:tab w:leader="none" w:pos="1800" w:val="left"/>
        <w:tab w:leader="none" w:pos="4422" w:val="left"/>
      </w:tabs>
      <w:ind w:hanging="1440" w:left="4422"/>
    </w:pPr>
    <w:rPr>
      <w:sz w:val="24"/>
    </w:rPr>
  </w:style>
  <w:style w:default="1" w:styleId="Style_7_ch" w:type="character">
    <w:name w:val="Normal"/>
    <w:link w:val="Style_7"/>
    <w:rPr>
      <w:sz w:val="24"/>
    </w:rPr>
  </w:style>
  <w:style w:styleId="Style_8" w:type="paragraph">
    <w:name w:val="toc 2"/>
    <w:next w:val="Style_7"/>
    <w:link w:val="Style_8_ch"/>
    <w:uiPriority w:val="39"/>
    <w:pPr>
      <w:ind w:firstLine="0" w:left="200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7"/>
    <w:link w:val="Style_9_ch"/>
    <w:uiPriority w:val="39"/>
    <w:pPr>
      <w:ind w:firstLine="0" w:left="600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toc 6"/>
    <w:next w:val="Style_7"/>
    <w:link w:val="Style_10_ch"/>
    <w:uiPriority w:val="39"/>
    <w:pPr>
      <w:ind w:firstLine="0" w:left="1000"/>
    </w:pPr>
    <w:rPr>
      <w:rFonts w:ascii="XO Thames" w:hAnsi="XO Thames"/>
      <w:sz w:val="28"/>
    </w:rPr>
  </w:style>
  <w:style w:styleId="Style_10_ch" w:type="character">
    <w:name w:val="toc 6"/>
    <w:link w:val="Style_10"/>
    <w:rPr>
      <w:rFonts w:ascii="XO Thames" w:hAnsi="XO Thames"/>
      <w:sz w:val="28"/>
    </w:rPr>
  </w:style>
  <w:style w:styleId="Style_11" w:type="paragraph">
    <w:name w:val="toc 7"/>
    <w:next w:val="Style_7"/>
    <w:link w:val="Style_11_ch"/>
    <w:uiPriority w:val="39"/>
    <w:pPr>
      <w:ind w:firstLine="0" w:left="1200"/>
    </w:pPr>
    <w:rPr>
      <w:rFonts w:ascii="XO Thames" w:hAnsi="XO Thames"/>
      <w:sz w:val="28"/>
    </w:rPr>
  </w:style>
  <w:style w:styleId="Style_11_ch" w:type="character">
    <w:name w:val="toc 7"/>
    <w:link w:val="Style_11"/>
    <w:rPr>
      <w:rFonts w:ascii="XO Thames" w:hAnsi="XO Thames"/>
      <w:sz w:val="28"/>
    </w:rPr>
  </w:style>
  <w:style w:styleId="Style_5" w:type="paragraph">
    <w:name w:val="Обычный1"/>
    <w:link w:val="Style_5_ch"/>
    <w:rPr>
      <w:sz w:val="24"/>
    </w:rPr>
  </w:style>
  <w:style w:styleId="Style_5_ch" w:type="character">
    <w:name w:val="Обычный1"/>
    <w:link w:val="Style_5"/>
    <w:rPr>
      <w:sz w:val="24"/>
    </w:rPr>
  </w:style>
  <w:style w:styleId="Style_12" w:type="paragraph">
    <w:name w:val="heading 3"/>
    <w:basedOn w:val="Style_7"/>
    <w:next w:val="Style_7"/>
    <w:link w:val="Style_12_ch"/>
    <w:uiPriority w:val="9"/>
    <w:qFormat/>
    <w:pPr>
      <w:keepNext w:val="1"/>
      <w:ind/>
      <w:jc w:val="center"/>
      <w:outlineLvl w:val="2"/>
    </w:pPr>
    <w:rPr>
      <w:b w:val="1"/>
    </w:rPr>
  </w:style>
  <w:style w:styleId="Style_12_ch" w:type="character">
    <w:name w:val="heading 3"/>
    <w:basedOn w:val="Style_7_ch"/>
    <w:link w:val="Style_12"/>
    <w:rPr>
      <w:b w:val="1"/>
    </w:rPr>
  </w:style>
  <w:style w:styleId="Style_13" w:type="paragraph">
    <w:name w:val="Название книги1"/>
    <w:link w:val="Style_13_ch"/>
    <w:rPr>
      <w:b w:val="1"/>
      <w:smallCaps w:val="1"/>
      <w:spacing w:val="5"/>
    </w:rPr>
  </w:style>
  <w:style w:styleId="Style_13_ch" w:type="character">
    <w:name w:val="Название книги1"/>
    <w:link w:val="Style_13"/>
    <w:rPr>
      <w:b w:val="1"/>
      <w:smallCaps w:val="1"/>
      <w:spacing w:val="5"/>
    </w:rPr>
  </w:style>
  <w:style w:styleId="Style_14" w:type="paragraph">
    <w:name w:val="header"/>
    <w:basedOn w:val="Style_7"/>
    <w:link w:val="Style_14_ch"/>
  </w:style>
  <w:style w:styleId="Style_14_ch" w:type="character">
    <w:name w:val="header"/>
    <w:basedOn w:val="Style_7_ch"/>
    <w:link w:val="Style_14"/>
  </w:style>
  <w:style w:styleId="Style_15" w:type="paragraph">
    <w:name w:val="Body Text Indent 3"/>
    <w:basedOn w:val="Style_7"/>
    <w:link w:val="Style_15_ch"/>
    <w:pPr>
      <w:spacing w:after="120"/>
      <w:ind w:firstLine="0" w:left="283"/>
    </w:pPr>
    <w:rPr>
      <w:sz w:val="16"/>
    </w:rPr>
  </w:style>
  <w:style w:styleId="Style_15_ch" w:type="character">
    <w:name w:val="Body Text Indent 3"/>
    <w:basedOn w:val="Style_7_ch"/>
    <w:link w:val="Style_15"/>
    <w:rPr>
      <w:sz w:val="16"/>
    </w:rPr>
  </w:style>
  <w:style w:styleId="Style_16" w:type="paragraph">
    <w:name w:val="toc 3"/>
    <w:next w:val="Style_7"/>
    <w:link w:val="Style_16_ch"/>
    <w:uiPriority w:val="39"/>
    <w:pPr>
      <w:ind w:firstLine="0" w:left="400"/>
    </w:pPr>
    <w:rPr>
      <w:rFonts w:ascii="XO Thames" w:hAnsi="XO Thames"/>
      <w:sz w:val="28"/>
    </w:rPr>
  </w:style>
  <w:style w:styleId="Style_16_ch" w:type="character">
    <w:name w:val="toc 3"/>
    <w:link w:val="Style_16"/>
    <w:rPr>
      <w:rFonts w:ascii="XO Thames" w:hAnsi="XO Thames"/>
      <w:sz w:val="28"/>
    </w:rPr>
  </w:style>
  <w:style w:styleId="Style_17" w:type="paragraph">
    <w:name w:val="Default Paragraph Font"/>
    <w:link w:val="Style_17_ch"/>
  </w:style>
  <w:style w:styleId="Style_17_ch" w:type="character">
    <w:name w:val="Default Paragraph Font"/>
    <w:link w:val="Style_17"/>
  </w:style>
  <w:style w:styleId="Style_18" w:type="paragraph">
    <w:name w:val="Body Text"/>
    <w:basedOn w:val="Style_7"/>
    <w:link w:val="Style_18_ch"/>
    <w:rPr>
      <w:b w:val="1"/>
      <w:sz w:val="20"/>
    </w:rPr>
  </w:style>
  <w:style w:styleId="Style_18_ch" w:type="character">
    <w:name w:val="Body Text"/>
    <w:basedOn w:val="Style_7_ch"/>
    <w:link w:val="Style_18"/>
    <w:rPr>
      <w:b w:val="1"/>
      <w:sz w:val="20"/>
    </w:rPr>
  </w:style>
  <w:style w:styleId="Style_1" w:type="paragraph">
    <w:name w:val="LB Body Text 2"/>
    <w:basedOn w:val="Style_7"/>
    <w:link w:val="Style_1_ch"/>
    <w:pPr>
      <w:tabs>
        <w:tab w:leader="none" w:pos="1800" w:val="clear"/>
        <w:tab w:leader="none" w:pos="4422" w:val="clear"/>
      </w:tabs>
      <w:spacing w:after="120" w:before="120"/>
      <w:ind w:firstLine="0" w:left="720"/>
      <w:jc w:val="both"/>
    </w:pPr>
    <w:rPr>
      <w:sz w:val="22"/>
    </w:rPr>
  </w:style>
  <w:style w:styleId="Style_1_ch" w:type="character">
    <w:name w:val="LB Body Text 2"/>
    <w:basedOn w:val="Style_7_ch"/>
    <w:link w:val="Style_1"/>
    <w:rPr>
      <w:sz w:val="22"/>
    </w:rPr>
  </w:style>
  <w:style w:styleId="Style_19" w:type="paragraph">
    <w:name w:val="heading 5"/>
    <w:next w:val="Style_7"/>
    <w:link w:val="Style_1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9_ch" w:type="character">
    <w:name w:val="heading 5"/>
    <w:link w:val="Style_19"/>
    <w:rPr>
      <w:rFonts w:ascii="XO Thames" w:hAnsi="XO Thames"/>
      <w:b w:val="1"/>
      <w:sz w:val="22"/>
    </w:rPr>
  </w:style>
  <w:style w:styleId="Style_3" w:type="paragraph">
    <w:name w:val="Обычный1"/>
    <w:link w:val="Style_3_ch"/>
    <w:rPr>
      <w:sz w:val="24"/>
    </w:rPr>
  </w:style>
  <w:style w:styleId="Style_3_ch" w:type="character">
    <w:name w:val="Обычный1"/>
    <w:link w:val="Style_3"/>
    <w:rPr>
      <w:sz w:val="24"/>
    </w:rPr>
  </w:style>
  <w:style w:styleId="Style_4" w:type="paragraph">
    <w:name w:val="heading 1"/>
    <w:basedOn w:val="Style_7"/>
    <w:next w:val="Style_7"/>
    <w:link w:val="Style_4_ch"/>
    <w:uiPriority w:val="9"/>
    <w:qFormat/>
    <w:pPr>
      <w:keepNext w:val="1"/>
      <w:ind/>
      <w:jc w:val="center"/>
      <w:outlineLvl w:val="0"/>
    </w:pPr>
    <w:rPr>
      <w:sz w:val="36"/>
    </w:rPr>
  </w:style>
  <w:style w:styleId="Style_4_ch" w:type="character">
    <w:name w:val="heading 1"/>
    <w:basedOn w:val="Style_7_ch"/>
    <w:link w:val="Style_4"/>
    <w:rPr>
      <w:sz w:val="36"/>
    </w:rPr>
  </w:style>
  <w:style w:styleId="Style_20" w:type="paragraph">
    <w:name w:val="Hyperlink"/>
    <w:link w:val="Style_20_ch"/>
    <w:rPr>
      <w:color w:val="0000FF"/>
      <w:u w:val="single"/>
    </w:rPr>
  </w:style>
  <w:style w:styleId="Style_20_ch" w:type="character">
    <w:name w:val="Hyperlink"/>
    <w:link w:val="Style_20"/>
    <w:rPr>
      <w:color w:val="0000FF"/>
      <w:u w:val="single"/>
    </w:rPr>
  </w:style>
  <w:style w:styleId="Style_21" w:type="paragraph">
    <w:name w:val="Footnote"/>
    <w:link w:val="Style_21_ch"/>
    <w:pPr>
      <w:ind w:firstLine="851" w:left="0"/>
      <w:jc w:val="both"/>
    </w:pPr>
    <w:rPr>
      <w:rFonts w:ascii="XO Thames" w:hAnsi="XO Thames"/>
      <w:sz w:val="22"/>
    </w:rPr>
  </w:style>
  <w:style w:styleId="Style_21_ch" w:type="character">
    <w:name w:val="Footnote"/>
    <w:link w:val="Style_21"/>
    <w:rPr>
      <w:rFonts w:ascii="XO Thames" w:hAnsi="XO Thames"/>
      <w:sz w:val="22"/>
    </w:rPr>
  </w:style>
  <w:style w:styleId="Style_22" w:type="paragraph">
    <w:name w:val="toc 1"/>
    <w:next w:val="Style_7"/>
    <w:link w:val="Style_22_ch"/>
    <w:uiPriority w:val="39"/>
    <w:rPr>
      <w:rFonts w:ascii="XO Thames" w:hAnsi="XO Thames"/>
      <w:b w:val="1"/>
      <w:sz w:val="28"/>
    </w:rPr>
  </w:style>
  <w:style w:styleId="Style_22_ch" w:type="character">
    <w:name w:val="toc 1"/>
    <w:link w:val="Style_22"/>
    <w:rPr>
      <w:rFonts w:ascii="XO Thames" w:hAnsi="XO Thames"/>
      <w:b w:val="1"/>
      <w:sz w:val="28"/>
    </w:rPr>
  </w:style>
  <w:style w:styleId="Style_6" w:type="paragraph">
    <w:name w:val="No Spacing"/>
    <w:link w:val="Style_6_ch"/>
    <w:pPr>
      <w:tabs>
        <w:tab w:leader="none" w:pos="1800" w:val="left"/>
        <w:tab w:leader="none" w:pos="4422" w:val="left"/>
      </w:tabs>
      <w:ind w:hanging="1440" w:left="4422"/>
    </w:pPr>
    <w:rPr>
      <w:sz w:val="24"/>
    </w:rPr>
  </w:style>
  <w:style w:styleId="Style_6_ch" w:type="character">
    <w:name w:val="No Spacing"/>
    <w:link w:val="Style_6"/>
    <w:rPr>
      <w:sz w:val="24"/>
    </w:rPr>
  </w:style>
  <w:style w:styleId="Style_23" w:type="paragraph">
    <w:name w:val="Header and Footer"/>
    <w:link w:val="Style_23_ch"/>
    <w:pPr>
      <w:ind/>
      <w:jc w:val="both"/>
    </w:pPr>
    <w:rPr>
      <w:rFonts w:ascii="XO Thames" w:hAnsi="XO Thames"/>
    </w:rPr>
  </w:style>
  <w:style w:styleId="Style_23_ch" w:type="character">
    <w:name w:val="Header and Footer"/>
    <w:link w:val="Style_23"/>
    <w:rPr>
      <w:rFonts w:ascii="XO Thames" w:hAnsi="XO Thames"/>
    </w:rPr>
  </w:style>
  <w:style w:styleId="Style_24" w:type="paragraph">
    <w:name w:val="Основной шрифт абзаца1"/>
    <w:link w:val="Style_24_ch"/>
  </w:style>
  <w:style w:styleId="Style_24_ch" w:type="character">
    <w:name w:val="Основной шрифт абзаца1"/>
    <w:link w:val="Style_24"/>
  </w:style>
  <w:style w:styleId="Style_25" w:type="paragraph">
    <w:name w:val="Заголовок 3 Знак"/>
    <w:basedOn w:val="Style_5"/>
    <w:link w:val="Style_25_ch"/>
    <w:rPr>
      <w:b w:val="1"/>
      <w:sz w:val="24"/>
    </w:rPr>
  </w:style>
  <w:style w:styleId="Style_25_ch" w:type="character">
    <w:name w:val="Заголовок 3 Знак"/>
    <w:basedOn w:val="Style_5_ch"/>
    <w:link w:val="Style_25"/>
    <w:rPr>
      <w:b w:val="1"/>
      <w:sz w:val="24"/>
    </w:rPr>
  </w:style>
  <w:style w:styleId="Style_26" w:type="paragraph">
    <w:name w:val="toc 9"/>
    <w:next w:val="Style_7"/>
    <w:link w:val="Style_26_ch"/>
    <w:uiPriority w:val="39"/>
    <w:pPr>
      <w:ind w:firstLine="0" w:left="1600"/>
    </w:pPr>
    <w:rPr>
      <w:rFonts w:ascii="XO Thames" w:hAnsi="XO Thames"/>
      <w:sz w:val="28"/>
    </w:rPr>
  </w:style>
  <w:style w:styleId="Style_26_ch" w:type="character">
    <w:name w:val="toc 9"/>
    <w:link w:val="Style_26"/>
    <w:rPr>
      <w:rFonts w:ascii="XO Thames" w:hAnsi="XO Thames"/>
      <w:sz w:val="28"/>
    </w:rPr>
  </w:style>
  <w:style w:styleId="Style_27" w:type="paragraph">
    <w:name w:val="Гиперссылка1"/>
    <w:link w:val="Style_27_ch"/>
    <w:rPr>
      <w:color w:val="0000FF"/>
      <w:u w:val="single"/>
    </w:rPr>
  </w:style>
  <w:style w:styleId="Style_27_ch" w:type="character">
    <w:name w:val="Гиперссылка1"/>
    <w:link w:val="Style_27"/>
    <w:rPr>
      <w:color w:val="0000FF"/>
      <w:u w:val="single"/>
    </w:rPr>
  </w:style>
  <w:style w:styleId="Style_28" w:type="paragraph">
    <w:name w:val="toc 8"/>
    <w:next w:val="Style_7"/>
    <w:link w:val="Style_28_ch"/>
    <w:uiPriority w:val="39"/>
    <w:pPr>
      <w:ind w:firstLine="0" w:left="1400"/>
    </w:pPr>
    <w:rPr>
      <w:rFonts w:ascii="XO Thames" w:hAnsi="XO Thames"/>
      <w:sz w:val="28"/>
    </w:rPr>
  </w:style>
  <w:style w:styleId="Style_28_ch" w:type="character">
    <w:name w:val="toc 8"/>
    <w:link w:val="Style_28"/>
    <w:rPr>
      <w:rFonts w:ascii="XO Thames" w:hAnsi="XO Thames"/>
      <w:sz w:val="28"/>
    </w:rPr>
  </w:style>
  <w:style w:styleId="Style_29" w:type="paragraph">
    <w:name w:val="Balloon Text"/>
    <w:basedOn w:val="Style_7"/>
    <w:link w:val="Style_29_ch"/>
    <w:rPr>
      <w:rFonts w:ascii="Tahoma" w:hAnsi="Tahoma"/>
      <w:sz w:val="16"/>
    </w:rPr>
  </w:style>
  <w:style w:styleId="Style_29_ch" w:type="character">
    <w:name w:val="Balloon Text"/>
    <w:basedOn w:val="Style_7_ch"/>
    <w:link w:val="Style_29"/>
    <w:rPr>
      <w:rFonts w:ascii="Tahoma" w:hAnsi="Tahoma"/>
      <w:sz w:val="16"/>
    </w:rPr>
  </w:style>
  <w:style w:styleId="Style_30" w:type="paragraph">
    <w:name w:val="toc 5"/>
    <w:next w:val="Style_7"/>
    <w:link w:val="Style_30_ch"/>
    <w:uiPriority w:val="39"/>
    <w:pPr>
      <w:ind w:firstLine="0" w:left="800"/>
    </w:pPr>
    <w:rPr>
      <w:rFonts w:ascii="XO Thames" w:hAnsi="XO Thames"/>
      <w:sz w:val="28"/>
    </w:rPr>
  </w:style>
  <w:style w:styleId="Style_30_ch" w:type="character">
    <w:name w:val="toc 5"/>
    <w:link w:val="Style_30"/>
    <w:rPr>
      <w:rFonts w:ascii="XO Thames" w:hAnsi="XO Thames"/>
      <w:sz w:val="28"/>
    </w:rPr>
  </w:style>
  <w:style w:styleId="Style_31" w:type="paragraph">
    <w:name w:val="Subtitle"/>
    <w:next w:val="Style_7"/>
    <w:link w:val="Style_31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31_ch" w:type="character">
    <w:name w:val="Subtitle"/>
    <w:link w:val="Style_31"/>
    <w:rPr>
      <w:rFonts w:ascii="XO Thames" w:hAnsi="XO Thames"/>
      <w:i w:val="1"/>
      <w:sz w:val="24"/>
    </w:rPr>
  </w:style>
  <w:style w:styleId="Style_32" w:type="paragraph">
    <w:name w:val="Гиперссылка1"/>
    <w:link w:val="Style_32_ch"/>
    <w:rPr>
      <w:color w:val="0000FF"/>
      <w:u w:val="single"/>
    </w:rPr>
  </w:style>
  <w:style w:styleId="Style_32_ch" w:type="character">
    <w:name w:val="Гиперссылка1"/>
    <w:link w:val="Style_32"/>
    <w:rPr>
      <w:color w:val="0000FF"/>
      <w:u w:val="single"/>
    </w:rPr>
  </w:style>
  <w:style w:styleId="Style_33" w:type="paragraph">
    <w:name w:val="Title"/>
    <w:next w:val="Style_7"/>
    <w:link w:val="Style_33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33_ch" w:type="character">
    <w:name w:val="Title"/>
    <w:link w:val="Style_33"/>
    <w:rPr>
      <w:rFonts w:ascii="XO Thames" w:hAnsi="XO Thames"/>
      <w:b w:val="1"/>
      <w:caps w:val="1"/>
      <w:sz w:val="40"/>
    </w:rPr>
  </w:style>
  <w:style w:styleId="Style_34" w:type="paragraph">
    <w:name w:val="heading 4"/>
    <w:next w:val="Style_7"/>
    <w:link w:val="Style_34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34_ch" w:type="character">
    <w:name w:val="heading 4"/>
    <w:link w:val="Style_34"/>
    <w:rPr>
      <w:rFonts w:ascii="XO Thames" w:hAnsi="XO Thames"/>
      <w:b w:val="1"/>
      <w:sz w:val="24"/>
    </w:rPr>
  </w:style>
  <w:style w:styleId="Style_35" w:type="paragraph">
    <w:name w:val="Основной шрифт абзаца1"/>
    <w:link w:val="Style_35_ch"/>
  </w:style>
  <w:style w:styleId="Style_35_ch" w:type="character">
    <w:name w:val="Основной шрифт абзаца1"/>
    <w:link w:val="Style_35"/>
  </w:style>
  <w:style w:styleId="Style_36" w:type="paragraph">
    <w:name w:val="heading 2"/>
    <w:basedOn w:val="Style_7"/>
    <w:next w:val="Style_7"/>
    <w:link w:val="Style_36_ch"/>
    <w:uiPriority w:val="9"/>
    <w:qFormat/>
    <w:pPr>
      <w:keepNext w:val="1"/>
      <w:ind/>
      <w:outlineLvl w:val="1"/>
    </w:pPr>
    <w:rPr>
      <w:b w:val="1"/>
      <w:sz w:val="20"/>
    </w:rPr>
  </w:style>
  <w:style w:styleId="Style_36_ch" w:type="character">
    <w:name w:val="heading 2"/>
    <w:basedOn w:val="Style_7_ch"/>
    <w:link w:val="Style_36"/>
    <w:rPr>
      <w:b w:val="1"/>
      <w:sz w:val="20"/>
    </w:rPr>
  </w:style>
  <w:style w:styleId="Style_37" w:type="paragraph">
    <w:name w:val="List Paragraph"/>
    <w:basedOn w:val="Style_7"/>
    <w:link w:val="Style_37_ch"/>
    <w:pPr>
      <w:spacing w:after="200" w:line="276" w:lineRule="auto"/>
      <w:ind w:firstLine="0" w:left="720"/>
      <w:contextualSpacing w:val="1"/>
    </w:pPr>
    <w:rPr>
      <w:rFonts w:ascii="Calibri" w:hAnsi="Calibri"/>
      <w:sz w:val="22"/>
    </w:rPr>
  </w:style>
  <w:style w:styleId="Style_37_ch" w:type="character">
    <w:name w:val="List Paragraph"/>
    <w:basedOn w:val="Style_7_ch"/>
    <w:link w:val="Style_37"/>
    <w:rPr>
      <w:rFonts w:ascii="Calibri" w:hAnsi="Calibri"/>
      <w:sz w:val="22"/>
    </w:rPr>
  </w:style>
  <w:style w:default="1" w:styleId="Style_2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numbering.xml" Type="http://schemas.openxmlformats.org/officeDocument/2006/relationships/numbering"/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2026-10-19T07:16:23Z</dcterms:modified>
</cp:coreProperties>
</file>