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pStyle w:val="Style_1"/>
        <w:widowControl w:val="1"/>
        <w:ind/>
        <w:jc w:val="center"/>
        <w:rPr>
          <w:rFonts w:ascii="Times New Roman" w:hAnsi="Times New Roman"/>
          <w:b w:val="1"/>
          <w:sz w:val="24"/>
        </w:rPr>
      </w:pPr>
      <w:r>
        <w:rPr>
          <w:rFonts w:ascii="Times New Roman" w:hAnsi="Times New Roman"/>
          <w:b w:val="1"/>
          <w:sz w:val="24"/>
        </w:rPr>
        <w:t xml:space="preserve">ДОГОВОР </w:t>
      </w:r>
      <w:r>
        <w:rPr>
          <w:rFonts w:ascii="Times New Roman" w:hAnsi="Times New Roman"/>
          <w:b w:val="1"/>
          <w:sz w:val="24"/>
        </w:rPr>
        <w:t>№ ЭМ-</w:t>
      </w:r>
      <w:r>
        <w:rPr>
          <w:rFonts w:ascii="Times New Roman" w:hAnsi="Times New Roman"/>
          <w:b w:val="1"/>
          <w:sz w:val="24"/>
          <w:highlight w:val="yellow"/>
        </w:rPr>
        <w:t>___</w:t>
      </w:r>
    </w:p>
    <w:p w14:paraId="02000000">
      <w:pPr>
        <w:pStyle w:val="Style_1"/>
        <w:widowControl w:val="1"/>
        <w:ind/>
        <w:jc w:val="center"/>
        <w:rPr>
          <w:rFonts w:ascii="Times New Roman" w:hAnsi="Times New Roman"/>
          <w:b w:val="1"/>
          <w:sz w:val="24"/>
        </w:rPr>
      </w:pPr>
      <w:r>
        <w:rPr>
          <w:rFonts w:ascii="Times New Roman" w:hAnsi="Times New Roman"/>
          <w:b w:val="1"/>
          <w:sz w:val="24"/>
        </w:rPr>
        <w:t>н</w:t>
      </w:r>
      <w:r>
        <w:rPr>
          <w:rFonts w:ascii="Times New Roman" w:hAnsi="Times New Roman"/>
          <w:b w:val="1"/>
          <w:sz w:val="24"/>
        </w:rPr>
        <w:t xml:space="preserve">а </w:t>
      </w:r>
      <w:r>
        <w:rPr>
          <w:rFonts w:ascii="Times New Roman" w:hAnsi="Times New Roman"/>
          <w:b w:val="1"/>
          <w:sz w:val="24"/>
        </w:rPr>
        <w:t>проведение оценки</w:t>
      </w:r>
    </w:p>
    <w:p w14:paraId="03000000">
      <w:pPr>
        <w:widowControl w:val="0"/>
        <w:ind/>
        <w:jc w:val="center"/>
        <w:rPr>
          <w:rFonts w:ascii="Times New Roman" w:hAnsi="Times New Roman"/>
          <w:sz w:val="24"/>
        </w:rPr>
      </w:pPr>
      <w:r>
        <w:rPr>
          <w:rFonts w:ascii="Times New Roman" w:hAnsi="Times New Roman"/>
          <w:sz w:val="24"/>
        </w:rPr>
        <w:t>ИКЗ: 26 34717008498470501001 0003 000 0000 244</w:t>
      </w:r>
    </w:p>
    <w:p w14:paraId="04000000">
      <w:pPr>
        <w:widowControl w:val="0"/>
        <w:ind/>
        <w:rPr>
          <w:rFonts w:ascii="Times New Roman" w:hAnsi="Times New Roman"/>
          <w:sz w:val="24"/>
        </w:rPr>
      </w:pPr>
    </w:p>
    <w:p w14:paraId="05000000">
      <w:pPr>
        <w:pStyle w:val="Style_2"/>
        <w:widowControl w:val="0"/>
        <w:spacing w:after="0" w:before="0"/>
        <w:ind/>
        <w:rPr>
          <w:sz w:val="24"/>
        </w:rPr>
      </w:pPr>
      <w:r>
        <w:rPr>
          <w:sz w:val="24"/>
        </w:rPr>
        <w:t xml:space="preserve">д. Извара </w:t>
      </w:r>
    </w:p>
    <w:p w14:paraId="06000000">
      <w:pPr>
        <w:pStyle w:val="Style_2"/>
        <w:widowControl w:val="0"/>
        <w:spacing w:after="0" w:before="0"/>
        <w:ind/>
        <w:rPr>
          <w:sz w:val="24"/>
        </w:rPr>
      </w:pPr>
      <w:r>
        <w:rPr>
          <w:sz w:val="24"/>
        </w:rPr>
        <w:t>Волосовский район</w:t>
      </w:r>
    </w:p>
    <w:p w14:paraId="07000000">
      <w:pPr>
        <w:widowControl w:val="0"/>
        <w:ind/>
        <w:rPr>
          <w:rFonts w:ascii="Times New Roman" w:hAnsi="Times New Roman"/>
          <w:sz w:val="24"/>
        </w:rPr>
      </w:pPr>
      <w:r>
        <w:rPr>
          <w:rFonts w:ascii="Times New Roman" w:hAnsi="Times New Roman"/>
          <w:sz w:val="24"/>
        </w:rPr>
        <w:t>Ленинградская область</w:t>
      </w:r>
      <w:r>
        <w:rPr>
          <w:rFonts w:ascii="Times New Roman" w:hAnsi="Times New Roman"/>
          <w:sz w:val="28"/>
        </w:rPr>
        <w:t xml:space="preserve"> </w:t>
      </w:r>
      <w:r>
        <w:rPr>
          <w:rFonts w:ascii="Times New Roman" w:hAnsi="Times New Roman"/>
          <w:sz w:val="28"/>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w:t>
      </w:r>
      <w:r>
        <w:rPr>
          <w:rFonts w:ascii="Times New Roman" w:hAnsi="Times New Roman"/>
          <w:sz w:val="24"/>
          <w:highlight w:val="yellow"/>
        </w:rPr>
        <w:t>___</w:t>
      </w:r>
      <w:r>
        <w:rPr>
          <w:rFonts w:ascii="Times New Roman" w:hAnsi="Times New Roman"/>
          <w:sz w:val="24"/>
        </w:rPr>
        <w:t xml:space="preserve">» </w:t>
      </w:r>
      <w:bookmarkStart w:id="1" w:name="_GoBack"/>
      <w:bookmarkEnd w:id="1"/>
      <w:r>
        <w:rPr>
          <w:rFonts w:ascii="Times New Roman" w:hAnsi="Times New Roman"/>
          <w:sz w:val="24"/>
          <w:highlight w:val="yellow"/>
        </w:rPr>
        <w:t>_________</w:t>
      </w:r>
      <w:r>
        <w:rPr>
          <w:rFonts w:ascii="Times New Roman" w:hAnsi="Times New Roman"/>
          <w:sz w:val="24"/>
        </w:rPr>
        <w:t xml:space="preserve"> 2026 года</w:t>
      </w:r>
    </w:p>
    <w:p w14:paraId="08000000">
      <w:pPr>
        <w:pStyle w:val="Style_1"/>
        <w:widowControl w:val="1"/>
        <w:ind/>
        <w:jc w:val="both"/>
        <w:rPr>
          <w:rFonts w:ascii="Times New Roman" w:hAnsi="Times New Roman"/>
        </w:rPr>
      </w:pPr>
    </w:p>
    <w:p w14:paraId="09000000">
      <w:pPr>
        <w:widowControl w:val="0"/>
        <w:ind w:firstLine="709"/>
        <w:jc w:val="both"/>
        <w:rPr>
          <w:rFonts w:ascii="Times New Roman" w:hAnsi="Times New Roman"/>
          <w:sz w:val="24"/>
        </w:rPr>
      </w:pPr>
      <w:r>
        <w:rPr>
          <w:rFonts w:ascii="Times New Roman" w:hAnsi="Times New Roman"/>
          <w:b w:val="1"/>
          <w:sz w:val="24"/>
        </w:rPr>
        <w:t>Администрация муниципального образования Рабитицкое сельское поселение Волосовского муниципального района Ленинградской области</w:t>
      </w:r>
      <w:r>
        <w:rPr>
          <w:rFonts w:ascii="Times New Roman" w:hAnsi="Times New Roman"/>
          <w:sz w:val="24"/>
        </w:rPr>
        <w:t>, именуемое в дальнейшем «</w:t>
      </w:r>
      <w:r>
        <w:rPr>
          <w:rFonts w:ascii="Times New Roman" w:hAnsi="Times New Roman"/>
          <w:b w:val="1"/>
          <w:sz w:val="24"/>
        </w:rPr>
        <w:t>Заказчик</w:t>
      </w:r>
      <w:r>
        <w:rPr>
          <w:rFonts w:ascii="Times New Roman" w:hAnsi="Times New Roman"/>
          <w:sz w:val="24"/>
        </w:rPr>
        <w:t>», в лице Врио главы администрации Зайцевой Алёны Андреевны, действующей на основании Устава и распоряжения от 07.03.2025 г. №16-к, с одной стороны, и</w:t>
      </w:r>
    </w:p>
    <w:p w14:paraId="0A000000">
      <w:pPr>
        <w:widowControl w:val="0"/>
        <w:ind w:firstLine="709"/>
        <w:jc w:val="both"/>
        <w:rPr>
          <w:rFonts w:ascii="Times New Roman" w:hAnsi="Times New Roman"/>
          <w:sz w:val="24"/>
        </w:rPr>
      </w:pPr>
      <w:r>
        <w:rPr>
          <w:rFonts w:ascii="Times New Roman" w:hAnsi="Times New Roman"/>
          <w:b w:val="1"/>
          <w:sz w:val="24"/>
          <w:highlight w:val="yellow"/>
        </w:rPr>
        <w:t>__________________</w:t>
      </w:r>
      <w:r>
        <w:rPr>
          <w:rFonts w:ascii="Times New Roman" w:hAnsi="Times New Roman"/>
          <w:b w:val="1"/>
          <w:sz w:val="24"/>
        </w:rPr>
        <w:t xml:space="preserve"> (</w:t>
      </w:r>
      <w:r>
        <w:rPr>
          <w:rFonts w:ascii="Times New Roman" w:hAnsi="Times New Roman"/>
          <w:b w:val="1"/>
          <w:sz w:val="24"/>
          <w:highlight w:val="yellow"/>
        </w:rPr>
        <w:t>____________</w:t>
      </w:r>
      <w:r>
        <w:rPr>
          <w:rFonts w:ascii="Times New Roman" w:hAnsi="Times New Roman"/>
          <w:b w:val="1"/>
          <w:sz w:val="24"/>
        </w:rPr>
        <w:t>)</w:t>
      </w:r>
      <w:r>
        <w:rPr>
          <w:rFonts w:ascii="Times New Roman" w:hAnsi="Times New Roman"/>
          <w:sz w:val="24"/>
        </w:rPr>
        <w:t>, именуемое в дальнейшем «</w:t>
      </w:r>
      <w:r>
        <w:rPr>
          <w:rFonts w:ascii="Times New Roman" w:hAnsi="Times New Roman"/>
          <w:b w:val="1"/>
          <w:sz w:val="24"/>
        </w:rPr>
        <w:t>Исполнитель</w:t>
      </w:r>
      <w:r>
        <w:rPr>
          <w:rFonts w:ascii="Times New Roman" w:hAnsi="Times New Roman"/>
          <w:sz w:val="24"/>
        </w:rPr>
        <w:t xml:space="preserve">», в лице </w:t>
      </w:r>
      <w:r>
        <w:rPr>
          <w:rFonts w:ascii="Times New Roman" w:hAnsi="Times New Roman"/>
          <w:sz w:val="24"/>
          <w:highlight w:val="yellow"/>
        </w:rPr>
        <w:t>______________________________</w:t>
      </w:r>
      <w:r>
        <w:rPr>
          <w:rFonts w:ascii="Times New Roman" w:hAnsi="Times New Roman"/>
          <w:sz w:val="24"/>
        </w:rPr>
        <w:t xml:space="preserve">, действующего на основании </w:t>
      </w:r>
      <w:r>
        <w:rPr>
          <w:rFonts w:ascii="Times New Roman" w:hAnsi="Times New Roman"/>
          <w:sz w:val="24"/>
          <w:highlight w:val="yellow"/>
        </w:rPr>
        <w:t>__________</w:t>
      </w:r>
      <w:r>
        <w:rPr>
          <w:rFonts w:ascii="Times New Roman" w:hAnsi="Times New Roman"/>
          <w:sz w:val="24"/>
        </w:rPr>
        <w:t>, с другой стороны, совместно именуемые в дальнейшем «</w:t>
      </w:r>
      <w:r>
        <w:rPr>
          <w:rFonts w:ascii="Times New Roman" w:hAnsi="Times New Roman"/>
          <w:b w:val="1"/>
          <w:sz w:val="24"/>
        </w:rPr>
        <w:t>Стороны</w:t>
      </w:r>
      <w:r>
        <w:rPr>
          <w:rFonts w:ascii="Times New Roman" w:hAnsi="Times New Roman"/>
          <w:sz w:val="24"/>
        </w:rPr>
        <w:t xml:space="preserve">», </w:t>
      </w:r>
      <w:r>
        <w:rPr>
          <w:rFonts w:ascii="Times New Roman" w:hAnsi="Times New Roman"/>
          <w:sz w:val="24"/>
        </w:rPr>
        <w:t xml:space="preserve">на основании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sz w:val="24"/>
        </w:rPr>
        <w:t>(далее – «Закон о контрактной системе»)</w:t>
      </w:r>
      <w:r>
        <w:rPr>
          <w:rFonts w:ascii="Times New Roman" w:hAnsi="Times New Roman"/>
          <w:sz w:val="24"/>
        </w:rPr>
        <w:t xml:space="preserve"> </w:t>
      </w:r>
      <w:r>
        <w:rPr>
          <w:rFonts w:ascii="Times New Roman" w:hAnsi="Times New Roman"/>
          <w:sz w:val="24"/>
        </w:rPr>
        <w:t xml:space="preserve">заключили настоящий </w:t>
      </w:r>
      <w:r>
        <w:rPr>
          <w:rFonts w:ascii="Times New Roman" w:hAnsi="Times New Roman"/>
          <w:sz w:val="24"/>
        </w:rPr>
        <w:t xml:space="preserve">Договор </w:t>
      </w:r>
      <w:r>
        <w:rPr>
          <w:rFonts w:ascii="Times New Roman" w:hAnsi="Times New Roman"/>
          <w:sz w:val="24"/>
        </w:rPr>
        <w:t>(далее - «</w:t>
      </w:r>
      <w:r>
        <w:rPr>
          <w:rFonts w:ascii="Times New Roman" w:hAnsi="Times New Roman"/>
          <w:sz w:val="24"/>
        </w:rPr>
        <w:t>Договор</w:t>
      </w:r>
      <w:r>
        <w:rPr>
          <w:rFonts w:ascii="Times New Roman" w:hAnsi="Times New Roman"/>
          <w:sz w:val="24"/>
        </w:rPr>
        <w:t xml:space="preserve">»), о нижеследующем: </w:t>
      </w:r>
    </w:p>
    <w:p w14:paraId="0B000000">
      <w:pPr>
        <w:pStyle w:val="Style_1"/>
        <w:widowControl w:val="1"/>
        <w:ind/>
        <w:jc w:val="center"/>
        <w:rPr>
          <w:rFonts w:ascii="Times New Roman" w:hAnsi="Times New Roman"/>
          <w:b w:val="1"/>
        </w:rPr>
      </w:pPr>
    </w:p>
    <w:p w14:paraId="0C000000">
      <w:pPr>
        <w:pStyle w:val="Style_1"/>
        <w:widowControl w:val="1"/>
        <w:ind/>
        <w:jc w:val="center"/>
        <w:rPr>
          <w:rFonts w:ascii="Times New Roman" w:hAnsi="Times New Roman"/>
          <w:b w:val="1"/>
          <w:sz w:val="24"/>
        </w:rPr>
      </w:pPr>
      <w:r>
        <w:rPr>
          <w:rFonts w:ascii="Times New Roman" w:hAnsi="Times New Roman"/>
          <w:b w:val="1"/>
          <w:sz w:val="24"/>
        </w:rPr>
        <w:t>1. ПРЕДМЕТ ДОГОВОРА</w:t>
      </w:r>
    </w:p>
    <w:p w14:paraId="0D000000">
      <w:pPr>
        <w:widowControl w:val="1"/>
        <w:ind w:firstLine="709"/>
        <w:jc w:val="both"/>
        <w:rPr>
          <w:rFonts w:ascii="Times New Roman" w:hAnsi="Times New Roman"/>
          <w:spacing w:val="-6"/>
          <w:sz w:val="24"/>
        </w:rPr>
      </w:pPr>
      <w:r>
        <w:rPr>
          <w:rFonts w:ascii="Times New Roman" w:hAnsi="Times New Roman"/>
          <w:spacing w:val="-6"/>
          <w:sz w:val="24"/>
        </w:rPr>
        <w:t xml:space="preserve">1.1. Исполнитель обязуется по заданию Заказчика оказать услугу, указанную в п. 1.2 </w:t>
      </w:r>
      <w:r>
        <w:rPr>
          <w:rFonts w:ascii="Times New Roman" w:hAnsi="Times New Roman"/>
          <w:spacing w:val="-6"/>
          <w:sz w:val="24"/>
        </w:rPr>
        <w:t>Договора</w:t>
      </w:r>
      <w:r>
        <w:rPr>
          <w:rFonts w:ascii="Times New Roman" w:hAnsi="Times New Roman"/>
          <w:spacing w:val="-6"/>
          <w:sz w:val="24"/>
        </w:rPr>
        <w:t xml:space="preserve">, и предоставить Заказчику Отчет об оценке, а Заказчик обязуется принять Отчет и оплатить за оказанную слугу. </w:t>
      </w:r>
    </w:p>
    <w:p w14:paraId="0E000000">
      <w:pPr>
        <w:widowControl w:val="1"/>
        <w:ind w:firstLine="709"/>
        <w:jc w:val="both"/>
        <w:rPr>
          <w:rFonts w:ascii="Times New Roman" w:hAnsi="Times New Roman"/>
          <w:spacing w:val="-6"/>
          <w:sz w:val="24"/>
        </w:rPr>
      </w:pPr>
      <w:r>
        <w:rPr>
          <w:rFonts w:ascii="Times New Roman" w:hAnsi="Times New Roman"/>
          <w:spacing w:val="-6"/>
          <w:sz w:val="24"/>
        </w:rPr>
        <w:t xml:space="preserve">1.2. Исполнитель обязуется в обусловленные сроки </w:t>
      </w:r>
      <w:r>
        <w:rPr>
          <w:rFonts w:ascii="Times New Roman" w:hAnsi="Times New Roman"/>
          <w:b w:val="1"/>
          <w:spacing w:val="-6"/>
          <w:sz w:val="24"/>
        </w:rPr>
        <w:t xml:space="preserve">оказать услуги по оценке </w:t>
      </w:r>
      <w:r>
        <w:rPr>
          <w:rFonts w:ascii="Times New Roman" w:hAnsi="Times New Roman"/>
          <w:b w:val="1"/>
          <w:sz w:val="24"/>
        </w:rPr>
        <w:t xml:space="preserve">рыночной стоимости годовой арендной платы </w:t>
      </w:r>
      <w:r>
        <w:rPr>
          <w:rFonts w:ascii="Times New Roman" w:hAnsi="Times New Roman"/>
          <w:b w:val="1"/>
          <w:sz w:val="24"/>
        </w:rPr>
        <w:t>за право владения и</w:t>
      </w:r>
      <w:r>
        <w:rPr>
          <w:rFonts w:ascii="Times New Roman" w:hAnsi="Times New Roman"/>
          <w:b w:val="1"/>
          <w:sz w:val="24"/>
        </w:rPr>
        <w:t xml:space="preserve"> пользование объектом </w:t>
      </w:r>
      <w:r>
        <w:rPr>
          <w:rFonts w:ascii="Times New Roman" w:hAnsi="Times New Roman"/>
          <w:b w:val="1"/>
          <w:sz w:val="24"/>
        </w:rPr>
        <w:t>недвижимого имущества: ОО № 1: Помещения нежилого фонда, площадь 94,8 кв.м., расположенное в здании бани с общей площадью 219,3 кв.м., кадастровый номер  47:22:0342001:152, по адресу: Ленинградская область, Волосовский район, д. Рабитицы, д. Б/Н.</w:t>
      </w:r>
    </w:p>
    <w:p w14:paraId="0F000000">
      <w:pPr>
        <w:widowControl w:val="1"/>
        <w:ind w:firstLine="709"/>
        <w:jc w:val="both"/>
        <w:rPr>
          <w:rFonts w:ascii="Times New Roman" w:hAnsi="Times New Roman"/>
          <w:spacing w:val="-6"/>
          <w:sz w:val="24"/>
        </w:rPr>
      </w:pPr>
      <w:r>
        <w:rPr>
          <w:rFonts w:ascii="Times New Roman" w:hAnsi="Times New Roman"/>
          <w:spacing w:val="-6"/>
          <w:sz w:val="24"/>
        </w:rPr>
        <w:t>1.3.</w:t>
      </w:r>
      <w:r>
        <w:rPr>
          <w:rFonts w:ascii="Times New Roman" w:hAnsi="Times New Roman"/>
          <w:spacing w:val="-6"/>
          <w:sz w:val="24"/>
        </w:rPr>
        <w:t xml:space="preserve"> </w:t>
      </w:r>
      <w:r>
        <w:rPr>
          <w:rFonts w:ascii="Times New Roman" w:hAnsi="Times New Roman"/>
          <w:spacing w:val="-6"/>
          <w:sz w:val="24"/>
        </w:rPr>
        <w:t xml:space="preserve">Требования к содержанию и результатам услуг устанавливаются Техническим заданием (Заданием на оценку), являющимся неотъемлемой частью </w:t>
      </w:r>
      <w:r>
        <w:rPr>
          <w:rFonts w:ascii="Times New Roman" w:hAnsi="Times New Roman"/>
          <w:spacing w:val="-6"/>
          <w:sz w:val="24"/>
        </w:rPr>
        <w:t>Договора</w:t>
      </w:r>
      <w:r>
        <w:rPr>
          <w:rFonts w:ascii="Times New Roman" w:hAnsi="Times New Roman"/>
          <w:spacing w:val="-6"/>
          <w:sz w:val="24"/>
        </w:rPr>
        <w:t xml:space="preserve"> (приложение №1).</w:t>
      </w:r>
    </w:p>
    <w:p w14:paraId="10000000">
      <w:pPr>
        <w:widowControl w:val="1"/>
        <w:ind w:firstLine="709"/>
        <w:jc w:val="both"/>
        <w:rPr>
          <w:rFonts w:ascii="Times New Roman" w:hAnsi="Times New Roman"/>
          <w:color w:themeColor="text1" w:val="000000"/>
          <w:sz w:val="24"/>
        </w:rPr>
      </w:pPr>
      <w:r>
        <w:rPr>
          <w:rFonts w:ascii="Times New Roman" w:hAnsi="Times New Roman"/>
          <w:spacing w:val="-6"/>
          <w:sz w:val="24"/>
        </w:rPr>
        <w:t>1.4. Услуга считается выполненной после подписания акта приема-сдачи оказанных услуг Заказчиком</w:t>
      </w:r>
      <w:r>
        <w:rPr>
          <w:rFonts w:ascii="Times New Roman" w:hAnsi="Times New Roman"/>
          <w:spacing w:val="-6"/>
          <w:sz w:val="24"/>
        </w:rPr>
        <w:t>.</w:t>
      </w:r>
    </w:p>
    <w:p w14:paraId="11000000">
      <w:pPr>
        <w:pStyle w:val="Style_1"/>
        <w:widowControl w:val="1"/>
        <w:ind w:firstLine="709"/>
        <w:jc w:val="both"/>
        <w:rPr>
          <w:rFonts w:ascii="Times New Roman" w:hAnsi="Times New Roman"/>
        </w:rPr>
      </w:pPr>
    </w:p>
    <w:p w14:paraId="12000000">
      <w:pPr>
        <w:pStyle w:val="Style_1"/>
        <w:widowControl w:val="1"/>
        <w:ind/>
        <w:jc w:val="center"/>
        <w:rPr>
          <w:rFonts w:ascii="Times New Roman" w:hAnsi="Times New Roman"/>
          <w:b w:val="1"/>
        </w:rPr>
      </w:pPr>
      <w:r>
        <w:rPr>
          <w:rFonts w:ascii="Times New Roman" w:hAnsi="Times New Roman"/>
          <w:b w:val="1"/>
        </w:rPr>
        <w:t>2</w:t>
      </w:r>
      <w:r>
        <w:rPr>
          <w:rFonts w:ascii="Times New Roman" w:hAnsi="Times New Roman"/>
          <w:b w:val="1"/>
        </w:rPr>
        <w:t xml:space="preserve">. ЦЕНА </w:t>
      </w:r>
      <w:r>
        <w:rPr>
          <w:rFonts w:ascii="Times New Roman" w:hAnsi="Times New Roman"/>
          <w:b w:val="1"/>
        </w:rPr>
        <w:t>Д</w:t>
      </w:r>
      <w:r>
        <w:rPr>
          <w:rFonts w:ascii="Times New Roman" w:hAnsi="Times New Roman"/>
          <w:b w:val="1"/>
        </w:rPr>
        <w:t>ОГОВОРА И ПОРЯДОК РАСЧЕТОВ</w:t>
      </w:r>
    </w:p>
    <w:p w14:paraId="13000000">
      <w:pPr>
        <w:widowControl w:val="1"/>
        <w:ind w:firstLine="709"/>
        <w:jc w:val="both"/>
        <w:rPr>
          <w:rFonts w:ascii="Times New Roman" w:hAnsi="Times New Roman"/>
        </w:rPr>
      </w:pPr>
      <w:r>
        <w:rPr>
          <w:rFonts w:ascii="Times New Roman" w:hAnsi="Times New Roman"/>
          <w:sz w:val="24"/>
        </w:rPr>
        <w:t xml:space="preserve">2.1. Цена </w:t>
      </w:r>
      <w:r>
        <w:rPr>
          <w:rFonts w:ascii="Times New Roman" w:hAnsi="Times New Roman"/>
          <w:sz w:val="24"/>
        </w:rPr>
        <w:t>Договора</w:t>
      </w:r>
      <w:r>
        <w:rPr>
          <w:rFonts w:ascii="Times New Roman" w:hAnsi="Times New Roman"/>
          <w:sz w:val="24"/>
        </w:rPr>
        <w:t xml:space="preserve"> составляет </w:t>
      </w:r>
      <w:r>
        <w:rPr>
          <w:rFonts w:ascii="Times New Roman" w:hAnsi="Times New Roman"/>
          <w:sz w:val="24"/>
          <w:highlight w:val="yellow"/>
        </w:rPr>
        <w:t xml:space="preserve">_______________ (____________) рублей __________ копеек, </w:t>
      </w:r>
      <w:r>
        <w:rPr>
          <w:rFonts w:ascii="Times New Roman" w:hAnsi="Times New Roman"/>
          <w:i w:val="1"/>
          <w:sz w:val="24"/>
          <w:highlight w:val="yellow"/>
        </w:rPr>
        <w:t>в т.ч.</w:t>
      </w:r>
      <w:r>
        <w:rPr>
          <w:rFonts w:ascii="Times New Roman" w:hAnsi="Times New Roman"/>
          <w:sz w:val="24"/>
          <w:highlight w:val="yellow"/>
        </w:rPr>
        <w:t xml:space="preserve"> </w:t>
      </w:r>
      <w:r>
        <w:rPr>
          <w:rFonts w:ascii="Times New Roman" w:hAnsi="Times New Roman"/>
          <w:i w:val="1"/>
          <w:sz w:val="24"/>
          <w:highlight w:val="yellow"/>
        </w:rPr>
        <w:t>НДС __% ____________ (___________) рублей _____ копеек (НДС не облагается)</w:t>
      </w:r>
      <w:r>
        <w:rPr>
          <w:rFonts w:ascii="Times New Roman" w:hAnsi="Times New Roman"/>
          <w:color w:val="000000"/>
          <w:sz w:val="24"/>
          <w:vertAlign w:val="superscript"/>
        </w:rPr>
        <w:footnoteReference w:id="1"/>
      </w:r>
      <w:r>
        <w:rPr>
          <w:rFonts w:ascii="Times New Roman" w:hAnsi="Times New Roman"/>
          <w:color w:val="000000"/>
          <w:sz w:val="24"/>
        </w:rPr>
        <w:t>.</w:t>
      </w:r>
    </w:p>
    <w:p w14:paraId="14000000">
      <w:pPr>
        <w:widowControl w:val="1"/>
        <w:ind w:firstLine="709"/>
        <w:jc w:val="both"/>
        <w:rPr>
          <w:rFonts w:ascii="Times New Roman" w:hAnsi="Times New Roman"/>
        </w:rPr>
      </w:pPr>
      <w:r>
        <w:rPr>
          <w:rFonts w:ascii="Times New Roman" w:hAnsi="Times New Roman"/>
          <w:sz w:val="24"/>
        </w:rPr>
        <w:t xml:space="preserve">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hAnsi="Times New Roman"/>
          <w:sz w:val="24"/>
        </w:rPr>
        <w:t>Договора</w:t>
      </w:r>
      <w:r>
        <w:rPr>
          <w:rFonts w:ascii="Times New Roman" w:hAnsi="Times New Roman"/>
          <w:sz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000000">
      <w:pPr>
        <w:pStyle w:val="Style_3"/>
        <w:widowControl w:val="1"/>
        <w:spacing w:after="0"/>
        <w:ind w:firstLine="709" w:left="0"/>
        <w:jc w:val="both"/>
      </w:pPr>
      <w:r>
        <w:t xml:space="preserve">2.3. Цена </w:t>
      </w:r>
      <w:r>
        <w:t>Договора</w:t>
      </w:r>
      <w:r>
        <w:t xml:space="preserve"> является твердой и определяется на весь срок исполнения </w:t>
      </w:r>
      <w:r>
        <w:t>Договора</w:t>
      </w:r>
      <w:r>
        <w:t>.</w:t>
      </w:r>
    </w:p>
    <w:p w14:paraId="16000000">
      <w:pPr>
        <w:widowControl w:val="1"/>
        <w:ind w:firstLine="709"/>
        <w:jc w:val="both"/>
        <w:rPr>
          <w:rFonts w:ascii="Times New Roman" w:hAnsi="Times New Roman"/>
        </w:rPr>
      </w:pPr>
      <w:r>
        <w:rPr>
          <w:rFonts w:ascii="Times New Roman" w:hAnsi="Times New Roman"/>
          <w:sz w:val="24"/>
        </w:rPr>
        <w:t xml:space="preserve">2.4. Изменение цены </w:t>
      </w:r>
      <w:r>
        <w:rPr>
          <w:rFonts w:ascii="Times New Roman" w:hAnsi="Times New Roman"/>
          <w:sz w:val="24"/>
        </w:rPr>
        <w:t>Договора</w:t>
      </w:r>
      <w:r>
        <w:rPr>
          <w:rFonts w:ascii="Times New Roman" w:hAnsi="Times New Roman"/>
          <w:sz w:val="24"/>
        </w:rPr>
        <w:t xml:space="preserve"> по соглашению Сторон не допускается за исключением случаев, установленных статьей 95 Федерального закона № 44-ФЗ.</w:t>
      </w:r>
    </w:p>
    <w:p w14:paraId="17000000">
      <w:pPr>
        <w:widowControl w:val="1"/>
        <w:ind w:firstLine="709"/>
        <w:jc w:val="both"/>
        <w:rPr>
          <w:rFonts w:ascii="Times New Roman" w:hAnsi="Times New Roman"/>
        </w:rPr>
      </w:pPr>
      <w:r>
        <w:rPr>
          <w:rFonts w:ascii="Times New Roman" w:hAnsi="Times New Roman"/>
          <w:sz w:val="24"/>
        </w:rPr>
        <w:t xml:space="preserve">2.5. Оплата производится Заказчиком </w:t>
      </w:r>
      <w:r>
        <w:rPr>
          <w:rFonts w:ascii="Times New Roman" w:hAnsi="Times New Roman"/>
          <w:b w:val="1"/>
          <w:sz w:val="24"/>
        </w:rPr>
        <w:t>в течение 7 (семи) рабочих дней</w:t>
      </w:r>
      <w:r>
        <w:rPr>
          <w:rFonts w:ascii="Times New Roman" w:hAnsi="Times New Roman"/>
          <w:sz w:val="24"/>
        </w:rPr>
        <w:t xml:space="preserve"> на основании выставленного счета на оплату, </w:t>
      </w:r>
      <w:r>
        <w:rPr>
          <w:rFonts w:ascii="Times New Roman" w:hAnsi="Times New Roman"/>
          <w:spacing w:val="-6"/>
          <w:sz w:val="24"/>
        </w:rPr>
        <w:t>акта приема-сдачи оказанных услуг</w:t>
      </w:r>
      <w:r>
        <w:rPr>
          <w:rFonts w:ascii="Times New Roman" w:hAnsi="Times New Roman"/>
          <w:sz w:val="24"/>
        </w:rPr>
        <w:t xml:space="preserve"> (УПД) и </w:t>
      </w:r>
      <w:r>
        <w:rPr>
          <w:rFonts w:ascii="Times New Roman" w:hAnsi="Times New Roman"/>
          <w:sz w:val="24"/>
        </w:rPr>
        <w:t>счета-фактуры (не предоставляется в случае, если Поставщик не является плательщиком НДС)</w:t>
      </w:r>
      <w:r>
        <w:rPr>
          <w:rFonts w:ascii="Times New Roman" w:hAnsi="Times New Roman"/>
          <w:sz w:val="24"/>
        </w:rPr>
        <w:t xml:space="preserve">, подписанных Сторонами, путем перечисления денежных средств на расчетный счет </w:t>
      </w:r>
      <w:r>
        <w:rPr>
          <w:rFonts w:ascii="Times New Roman" w:hAnsi="Times New Roman"/>
          <w:sz w:val="24"/>
        </w:rPr>
        <w:t>Исполнителя</w:t>
      </w:r>
      <w:r>
        <w:rPr>
          <w:rFonts w:ascii="Times New Roman" w:hAnsi="Times New Roman"/>
          <w:sz w:val="24"/>
        </w:rPr>
        <w:t xml:space="preserve">. </w:t>
      </w:r>
    </w:p>
    <w:p w14:paraId="18000000">
      <w:pPr>
        <w:pStyle w:val="Style_4"/>
        <w:keepNext w:val="0"/>
        <w:keepLines w:val="0"/>
        <w:widowControl w:val="0"/>
        <w:spacing w:before="0"/>
        <w:ind w:firstLine="709"/>
        <w:jc w:val="both"/>
        <w:rPr>
          <w:rFonts w:ascii="Times New Roman" w:hAnsi="Times New Roman"/>
          <w:b w:val="0"/>
          <w:color w:themeColor="text1" w:val="000000"/>
          <w:sz w:val="24"/>
        </w:rPr>
      </w:pPr>
      <w:r>
        <w:rPr>
          <w:rFonts w:ascii="Times New Roman" w:hAnsi="Times New Roman"/>
          <w:b w:val="0"/>
          <w:color w:val="000000"/>
          <w:sz w:val="24"/>
        </w:rPr>
        <w:t>2.6.</w:t>
      </w:r>
      <w:r>
        <w:rPr>
          <w:rFonts w:ascii="Times New Roman" w:hAnsi="Times New Roman"/>
          <w:color w:val="4F81BD"/>
          <w:sz w:val="24"/>
        </w:rPr>
        <w:t xml:space="preserve"> </w:t>
      </w:r>
      <w:r>
        <w:rPr>
          <w:rFonts w:ascii="Times New Roman" w:hAnsi="Times New Roman"/>
          <w:b w:val="0"/>
          <w:color w:themeColor="text1" w:val="000000"/>
          <w:sz w:val="24"/>
        </w:rPr>
        <w:t xml:space="preserve">Оплата оказанных услуг по </w:t>
      </w:r>
      <w:r>
        <w:rPr>
          <w:rFonts w:ascii="Times New Roman" w:hAnsi="Times New Roman"/>
          <w:b w:val="0"/>
          <w:color w:themeColor="text1" w:val="000000"/>
          <w:sz w:val="24"/>
        </w:rPr>
        <w:t>Договору</w:t>
      </w:r>
      <w:r>
        <w:rPr>
          <w:rFonts w:ascii="Times New Roman" w:hAnsi="Times New Roman"/>
          <w:b w:val="0"/>
          <w:color w:themeColor="text1" w:val="000000"/>
          <w:sz w:val="24"/>
        </w:rPr>
        <w:t xml:space="preserve"> производится Заказчиком по безналичному расчету перечислением денежных средств на расчётный счет Исполнителя платежными поручениями. Датой оплаты считается дата списания денежных средств с расчетного счета Заказчика.</w:t>
      </w:r>
    </w:p>
    <w:p w14:paraId="19000000">
      <w:pPr>
        <w:pStyle w:val="Style_4"/>
        <w:keepNext w:val="0"/>
        <w:keepLines w:val="0"/>
        <w:widowControl w:val="0"/>
        <w:spacing w:before="0"/>
        <w:ind w:firstLine="709"/>
        <w:jc w:val="both"/>
        <w:rPr>
          <w:rFonts w:ascii="Times New Roman" w:hAnsi="Times New Roman"/>
          <w:b w:val="0"/>
          <w:color w:themeColor="text1" w:val="000000"/>
          <w:sz w:val="24"/>
        </w:rPr>
      </w:pPr>
      <w:r>
        <w:rPr>
          <w:rFonts w:ascii="Times New Roman" w:hAnsi="Times New Roman"/>
          <w:b w:val="0"/>
          <w:color w:themeColor="text1" w:val="000000"/>
          <w:sz w:val="24"/>
        </w:rPr>
        <w:t xml:space="preserve">2.7. </w:t>
      </w:r>
      <w:r>
        <w:rPr>
          <w:rFonts w:ascii="Times New Roman" w:hAnsi="Times New Roman"/>
          <w:b w:val="0"/>
          <w:color w:themeColor="text1" w:val="000000"/>
          <w:sz w:val="24"/>
        </w:rPr>
        <w:t xml:space="preserve">Выплата аванса </w:t>
      </w:r>
      <w:r>
        <w:rPr>
          <w:rFonts w:ascii="Times New Roman" w:hAnsi="Times New Roman"/>
          <w:b w:val="0"/>
          <w:color w:themeColor="text1" w:val="000000"/>
          <w:sz w:val="24"/>
        </w:rPr>
        <w:t>Договором</w:t>
      </w:r>
      <w:r>
        <w:rPr>
          <w:rFonts w:ascii="Times New Roman" w:hAnsi="Times New Roman"/>
          <w:b w:val="0"/>
          <w:color w:themeColor="text1" w:val="000000"/>
          <w:sz w:val="24"/>
        </w:rPr>
        <w:t xml:space="preserve"> не предусмотрена.</w:t>
      </w:r>
    </w:p>
    <w:p w14:paraId="1A000000">
      <w:pPr>
        <w:pStyle w:val="Style_4"/>
        <w:keepNext w:val="0"/>
        <w:keepLines w:val="0"/>
        <w:widowControl w:val="0"/>
        <w:spacing w:before="0"/>
        <w:ind w:firstLine="709"/>
        <w:jc w:val="both"/>
        <w:rPr>
          <w:rFonts w:ascii="Times New Roman" w:hAnsi="Times New Roman"/>
          <w:b w:val="0"/>
          <w:color w:themeColor="text1" w:val="000000"/>
          <w:sz w:val="24"/>
        </w:rPr>
      </w:pPr>
      <w:r>
        <w:rPr>
          <w:rFonts w:ascii="Times New Roman" w:hAnsi="Times New Roman"/>
          <w:b w:val="0"/>
          <w:color w:themeColor="text1" w:val="000000"/>
          <w:sz w:val="24"/>
        </w:rPr>
        <w:t xml:space="preserve">2.8. </w:t>
      </w:r>
      <w:r>
        <w:rPr>
          <w:rFonts w:ascii="Times New Roman" w:hAnsi="Times New Roman"/>
          <w:b w:val="0"/>
          <w:color w:themeColor="text1" w:val="000000"/>
          <w:sz w:val="24"/>
        </w:rPr>
        <w:t>Источник финансирования – средства бюджета Рабитицкого сельского поселения.</w:t>
      </w:r>
    </w:p>
    <w:p w14:paraId="1B000000">
      <w:pPr>
        <w:pStyle w:val="Style_1"/>
        <w:widowControl w:val="1"/>
        <w:ind w:firstLine="709"/>
        <w:jc w:val="both"/>
        <w:rPr>
          <w:rFonts w:ascii="Times New Roman" w:hAnsi="Times New Roman"/>
          <w:sz w:val="24"/>
        </w:rPr>
      </w:pPr>
      <w:r>
        <w:rPr>
          <w:rFonts w:ascii="Times New Roman" w:hAnsi="Times New Roman"/>
          <w:sz w:val="24"/>
        </w:rPr>
        <w:t xml:space="preserve">2.9. </w:t>
      </w:r>
      <w:r>
        <w:rPr>
          <w:rFonts w:ascii="Times New Roman" w:hAnsi="Times New Roman"/>
          <w:spacing w:val="-6"/>
          <w:sz w:val="24"/>
        </w:rPr>
        <w:t xml:space="preserve">В цену </w:t>
      </w:r>
      <w:r>
        <w:rPr>
          <w:rFonts w:ascii="Times New Roman" w:hAnsi="Times New Roman"/>
          <w:spacing w:val="-6"/>
          <w:sz w:val="24"/>
        </w:rPr>
        <w:t xml:space="preserve">Договора </w:t>
      </w:r>
      <w:r>
        <w:rPr>
          <w:rFonts w:ascii="Times New Roman" w:hAnsi="Times New Roman"/>
          <w:spacing w:val="-6"/>
          <w:sz w:val="24"/>
        </w:rPr>
        <w:t xml:space="preserve">включена оплата всех обязательств Исполнителя по </w:t>
      </w:r>
      <w:r>
        <w:rPr>
          <w:rFonts w:ascii="Times New Roman" w:hAnsi="Times New Roman"/>
          <w:spacing w:val="-6"/>
          <w:sz w:val="24"/>
        </w:rPr>
        <w:t>Договору</w:t>
      </w:r>
      <w:r>
        <w:rPr>
          <w:rFonts w:ascii="Times New Roman" w:hAnsi="Times New Roman"/>
          <w:spacing w:val="-6"/>
          <w:sz w:val="24"/>
        </w:rPr>
        <w:t>, включая стоимость услуг, все налоги, оплата транспортных расходов, страхования и прочих расходов, связанных с оказанием услуг.</w:t>
      </w:r>
    </w:p>
    <w:p w14:paraId="1C000000">
      <w:pPr>
        <w:pStyle w:val="Style_1"/>
        <w:widowControl w:val="1"/>
        <w:ind w:firstLine="709"/>
        <w:jc w:val="both"/>
        <w:rPr>
          <w:rFonts w:ascii="Times New Roman" w:hAnsi="Times New Roman"/>
        </w:rPr>
      </w:pPr>
    </w:p>
    <w:p w14:paraId="1D000000">
      <w:pPr>
        <w:widowControl w:val="0"/>
        <w:ind/>
        <w:jc w:val="center"/>
        <w:rPr>
          <w:rFonts w:ascii="Times New Roman" w:hAnsi="Times New Roman"/>
          <w:b w:val="1"/>
          <w:spacing w:val="-6"/>
          <w:sz w:val="24"/>
        </w:rPr>
      </w:pPr>
      <w:r>
        <w:rPr>
          <w:rFonts w:ascii="Times New Roman" w:hAnsi="Times New Roman"/>
          <w:b w:val="1"/>
          <w:spacing w:val="-6"/>
          <w:sz w:val="24"/>
        </w:rPr>
        <w:t xml:space="preserve">3. </w:t>
      </w:r>
      <w:r>
        <w:rPr>
          <w:rFonts w:ascii="Times New Roman" w:hAnsi="Times New Roman"/>
          <w:b w:val="1"/>
          <w:spacing w:val="-6"/>
          <w:sz w:val="24"/>
        </w:rPr>
        <w:t>ОБЯЗАТЕЛЬСТВА</w:t>
      </w:r>
      <w:r>
        <w:rPr>
          <w:rFonts w:ascii="Times New Roman" w:hAnsi="Times New Roman"/>
          <w:b w:val="1"/>
          <w:spacing w:val="-6"/>
          <w:sz w:val="24"/>
        </w:rPr>
        <w:t xml:space="preserve"> И ПРАВА</w:t>
      </w:r>
      <w:r>
        <w:rPr>
          <w:rFonts w:ascii="Times New Roman" w:hAnsi="Times New Roman"/>
          <w:b w:val="1"/>
          <w:spacing w:val="-6"/>
          <w:sz w:val="24"/>
        </w:rPr>
        <w:t xml:space="preserve"> </w:t>
      </w:r>
      <w:r>
        <w:rPr>
          <w:rFonts w:ascii="Times New Roman" w:hAnsi="Times New Roman"/>
          <w:b w:val="1"/>
          <w:spacing w:val="-6"/>
          <w:sz w:val="24"/>
        </w:rPr>
        <w:t>СТОРОН</w:t>
      </w:r>
    </w:p>
    <w:p w14:paraId="1E000000">
      <w:pPr>
        <w:widowControl w:val="0"/>
        <w:ind w:firstLine="709"/>
        <w:jc w:val="both"/>
        <w:rPr>
          <w:rFonts w:ascii="Times New Roman" w:hAnsi="Times New Roman"/>
          <w:b w:val="1"/>
          <w:spacing w:val="-6"/>
          <w:sz w:val="24"/>
        </w:rPr>
      </w:pPr>
      <w:r>
        <w:rPr>
          <w:rFonts w:ascii="Times New Roman" w:hAnsi="Times New Roman"/>
          <w:b w:val="1"/>
          <w:spacing w:val="-6"/>
          <w:sz w:val="24"/>
        </w:rPr>
        <w:t xml:space="preserve">3.1. </w:t>
      </w:r>
      <w:r>
        <w:rPr>
          <w:rFonts w:ascii="Times New Roman" w:hAnsi="Times New Roman"/>
          <w:b w:val="1"/>
          <w:spacing w:val="-6"/>
          <w:sz w:val="24"/>
        </w:rPr>
        <w:t>Обязанности Исполнителя</w:t>
      </w:r>
      <w:r>
        <w:rPr>
          <w:rFonts w:ascii="Times New Roman" w:hAnsi="Times New Roman"/>
          <w:b w:val="1"/>
          <w:spacing w:val="-6"/>
          <w:sz w:val="24"/>
        </w:rPr>
        <w:t>:</w:t>
      </w:r>
    </w:p>
    <w:p w14:paraId="1F000000">
      <w:pPr>
        <w:widowControl w:val="0"/>
        <w:ind w:firstLine="709"/>
        <w:jc w:val="both"/>
        <w:rPr>
          <w:rFonts w:ascii="Times New Roman" w:hAnsi="Times New Roman"/>
          <w:spacing w:val="-6"/>
          <w:sz w:val="24"/>
        </w:rPr>
      </w:pPr>
      <w:r>
        <w:rPr>
          <w:rFonts w:ascii="Times New Roman" w:hAnsi="Times New Roman"/>
          <w:spacing w:val="-6"/>
          <w:sz w:val="24"/>
        </w:rPr>
        <w:t xml:space="preserve">3.1.1. Оказать услугу в соответствии с требованиями </w:t>
      </w:r>
      <w:r>
        <w:rPr>
          <w:rFonts w:ascii="Times New Roman" w:hAnsi="Times New Roman"/>
          <w:spacing w:val="-6"/>
          <w:sz w:val="24"/>
        </w:rPr>
        <w:t>Договора.</w:t>
      </w:r>
    </w:p>
    <w:p w14:paraId="20000000">
      <w:pPr>
        <w:widowControl w:val="0"/>
        <w:ind w:firstLine="709"/>
        <w:jc w:val="both"/>
        <w:rPr>
          <w:rFonts w:ascii="Times New Roman" w:hAnsi="Times New Roman"/>
          <w:color w:val="000000"/>
          <w:spacing w:val="-6"/>
          <w:sz w:val="24"/>
        </w:rPr>
      </w:pPr>
      <w:r>
        <w:rPr>
          <w:rFonts w:ascii="Times New Roman" w:hAnsi="Times New Roman"/>
          <w:color w:val="000000"/>
          <w:spacing w:val="-6"/>
          <w:sz w:val="24"/>
        </w:rPr>
        <w:t>3.1.2. Быть членом одной из СРО и предоставить Заказчи</w:t>
      </w:r>
      <w:r>
        <w:rPr>
          <w:rFonts w:ascii="Times New Roman" w:hAnsi="Times New Roman"/>
          <w:color w:val="000000"/>
          <w:spacing w:val="-6"/>
          <w:sz w:val="24"/>
        </w:rPr>
        <w:t>ку информацию о членстве в СРО</w:t>
      </w:r>
      <w:r>
        <w:rPr>
          <w:rFonts w:ascii="Times New Roman" w:hAnsi="Times New Roman"/>
          <w:color w:val="000000"/>
          <w:spacing w:val="-6"/>
          <w:sz w:val="24"/>
        </w:rPr>
        <w:t>.</w:t>
      </w:r>
    </w:p>
    <w:p w14:paraId="21000000">
      <w:pPr>
        <w:widowControl w:val="0"/>
        <w:ind w:firstLine="709"/>
        <w:jc w:val="both"/>
        <w:rPr>
          <w:rFonts w:ascii="Times New Roman" w:hAnsi="Times New Roman"/>
          <w:color w:val="000000"/>
          <w:spacing w:val="-6"/>
          <w:sz w:val="24"/>
        </w:rPr>
      </w:pPr>
      <w:r>
        <w:rPr>
          <w:rFonts w:ascii="Times New Roman" w:hAnsi="Times New Roman"/>
          <w:color w:val="000000"/>
          <w:spacing w:val="-6"/>
          <w:sz w:val="24"/>
        </w:rPr>
        <w:t>3.1.3. С</w:t>
      </w:r>
      <w:r>
        <w:rPr>
          <w:rFonts w:ascii="Times New Roman" w:hAnsi="Times New Roman"/>
          <w:spacing w:val="-6"/>
          <w:sz w:val="24"/>
        </w:rPr>
        <w:t>облюдать при осуществлении оценочной деятельности требования Федерального закона № 135 от 29.07.1998 г. с изменениями и дополнениями; Федеральных стандартов оценки, утвержденных Приказом Минэкономразвития России №200 от 14.04.2022г.: «Структура федеральных стандартов оценки и основные понятия, используемые в федеральных стандартах оценки (ФСО I)»; «Виды стоимости (ФСО II)»; «Процесс оценки (ФСО III)»; «Задание на оценку (ФСО IV)»; «Подходы и методы оценки (ФСО V)»; «Отчет об оценке (ФСО VI)»; и Приказом Министерства экономического развития РФ №329 от 01.06.2015г. ФСО №7: «Оценка недвижимости»</w:t>
      </w:r>
      <w:r>
        <w:rPr>
          <w:rFonts w:ascii="Times New Roman" w:hAnsi="Times New Roman"/>
          <w:spacing w:val="-6"/>
          <w:sz w:val="24"/>
        </w:rPr>
        <w:t>.</w:t>
      </w:r>
    </w:p>
    <w:p w14:paraId="22000000">
      <w:pPr>
        <w:widowControl w:val="0"/>
        <w:ind w:firstLine="709"/>
        <w:jc w:val="both"/>
        <w:rPr>
          <w:rFonts w:ascii="Times New Roman" w:hAnsi="Times New Roman"/>
          <w:color w:val="000000"/>
          <w:spacing w:val="-6"/>
          <w:sz w:val="24"/>
        </w:rPr>
      </w:pPr>
      <w:r>
        <w:rPr>
          <w:rFonts w:ascii="Times New Roman" w:hAnsi="Times New Roman"/>
          <w:color w:val="000000"/>
          <w:spacing w:val="-6"/>
          <w:sz w:val="24"/>
        </w:rPr>
        <w:t>3.1.4. Не разглашать конфиденциальную информацию, полученную от Заказчика, за исключением случаев, преду</w:t>
      </w:r>
      <w:r>
        <w:rPr>
          <w:rFonts w:ascii="Times New Roman" w:hAnsi="Times New Roman"/>
          <w:color w:val="000000"/>
          <w:spacing w:val="-6"/>
          <w:sz w:val="24"/>
        </w:rPr>
        <w:t>смотренных законодательством РФ.</w:t>
      </w:r>
    </w:p>
    <w:p w14:paraId="23000000">
      <w:pPr>
        <w:widowControl w:val="0"/>
        <w:ind w:firstLine="709"/>
        <w:jc w:val="both"/>
        <w:rPr>
          <w:rFonts w:ascii="Times New Roman" w:hAnsi="Times New Roman"/>
          <w:color w:val="000000"/>
          <w:spacing w:val="-6"/>
          <w:sz w:val="24"/>
        </w:rPr>
      </w:pPr>
      <w:r>
        <w:rPr>
          <w:rFonts w:ascii="Times New Roman" w:hAnsi="Times New Roman"/>
          <w:color w:val="000000"/>
          <w:spacing w:val="-6"/>
          <w:sz w:val="24"/>
        </w:rPr>
        <w:t>3.1.5. Соблюдать правила деловой и профессиональной этики, установленные СРО</w:t>
      </w:r>
      <w:r>
        <w:rPr>
          <w:rFonts w:ascii="Times New Roman" w:hAnsi="Times New Roman"/>
          <w:color w:val="000000"/>
          <w:spacing w:val="-6"/>
          <w:sz w:val="24"/>
        </w:rPr>
        <w:t>.</w:t>
      </w:r>
    </w:p>
    <w:p w14:paraId="24000000">
      <w:pPr>
        <w:widowControl w:val="0"/>
        <w:ind w:firstLine="709"/>
        <w:jc w:val="both"/>
        <w:rPr>
          <w:rFonts w:ascii="Times New Roman" w:hAnsi="Times New Roman"/>
          <w:color w:val="000000"/>
          <w:spacing w:val="-6"/>
          <w:sz w:val="24"/>
        </w:rPr>
      </w:pPr>
      <w:r>
        <w:rPr>
          <w:rFonts w:ascii="Times New Roman" w:hAnsi="Times New Roman"/>
          <w:color w:val="000000"/>
          <w:spacing w:val="-6"/>
          <w:sz w:val="24"/>
        </w:rPr>
        <w:t>3.1.6. Предоставлять по требованию Заказчика страховой полис и подтверждающие получение профессиональных знаний в области оценочной деятельности документы об образовании;</w:t>
      </w:r>
    </w:p>
    <w:p w14:paraId="25000000">
      <w:pPr>
        <w:widowControl w:val="0"/>
        <w:ind w:firstLine="709"/>
        <w:jc w:val="both"/>
        <w:rPr>
          <w:rFonts w:ascii="Times New Roman" w:hAnsi="Times New Roman"/>
          <w:color w:val="000000"/>
          <w:spacing w:val="-6"/>
          <w:sz w:val="24"/>
        </w:rPr>
      </w:pPr>
      <w:r>
        <w:rPr>
          <w:rFonts w:ascii="Times New Roman" w:hAnsi="Times New Roman"/>
          <w:color w:val="000000"/>
          <w:spacing w:val="-6"/>
          <w:sz w:val="24"/>
        </w:rPr>
        <w:t>3.1.7. Обеспечивать сохранность документов, получаемых от Заказчика и третьих лиц в ходе проведения оценки;</w:t>
      </w:r>
    </w:p>
    <w:p w14:paraId="26000000">
      <w:pPr>
        <w:widowControl w:val="0"/>
        <w:ind w:firstLine="709"/>
        <w:jc w:val="both"/>
        <w:rPr>
          <w:rFonts w:ascii="Times New Roman" w:hAnsi="Times New Roman"/>
          <w:color w:val="000000"/>
          <w:spacing w:val="-6"/>
          <w:sz w:val="24"/>
        </w:rPr>
      </w:pPr>
      <w:r>
        <w:rPr>
          <w:rFonts w:ascii="Times New Roman" w:hAnsi="Times New Roman"/>
          <w:color w:val="000000"/>
          <w:spacing w:val="-6"/>
          <w:sz w:val="24"/>
        </w:rPr>
        <w:t>3.1.8. В случаях, предусмотренных законодательством РФ, предоставлять копии хранящихся отчетов или содержащуюся в них информацию правоохранительным органам по их требованию;</w:t>
      </w:r>
    </w:p>
    <w:p w14:paraId="27000000">
      <w:pPr>
        <w:widowControl w:val="0"/>
        <w:tabs>
          <w:tab w:leader="none" w:pos="202" w:val="left"/>
        </w:tabs>
        <w:ind w:firstLine="709"/>
        <w:rPr>
          <w:rFonts w:ascii="Times New Roman" w:hAnsi="Times New Roman"/>
          <w:color w:val="000000"/>
          <w:spacing w:val="-6"/>
          <w:sz w:val="24"/>
          <w:highlight w:val="white"/>
        </w:rPr>
      </w:pPr>
      <w:r>
        <w:rPr>
          <w:rFonts w:ascii="Times New Roman" w:hAnsi="Times New Roman"/>
          <w:color w:val="000000"/>
          <w:spacing w:val="-6"/>
          <w:sz w:val="24"/>
          <w:highlight w:val="white"/>
        </w:rPr>
        <w:t>3.1.9. Хранить копии отчетов об оценке в течение трех лет.</w:t>
      </w:r>
    </w:p>
    <w:p w14:paraId="28000000">
      <w:pPr>
        <w:widowControl w:val="0"/>
        <w:ind w:firstLine="709"/>
        <w:jc w:val="both"/>
        <w:rPr>
          <w:rFonts w:ascii="Times New Roman" w:hAnsi="Times New Roman"/>
          <w:color w:val="000000"/>
          <w:spacing w:val="-6"/>
          <w:sz w:val="24"/>
          <w:highlight w:val="white"/>
        </w:rPr>
      </w:pPr>
      <w:r>
        <w:rPr>
          <w:rFonts w:ascii="Times New Roman" w:hAnsi="Times New Roman"/>
          <w:sz w:val="24"/>
        </w:rPr>
        <w:t>3.1.10.</w:t>
      </w:r>
      <w:r>
        <w:rPr>
          <w:rFonts w:ascii="Times New Roman" w:hAnsi="Times New Roman"/>
          <w:sz w:val="24"/>
        </w:rPr>
        <w:t xml:space="preserve"> </w:t>
      </w:r>
      <w:r>
        <w:rPr>
          <w:rFonts w:ascii="Times New Roman" w:hAnsi="Times New Roman"/>
          <w:sz w:val="24"/>
        </w:rPr>
        <w:t xml:space="preserve">Исполнять иные обязательства, предусмотренные </w:t>
      </w:r>
      <w:r>
        <w:rPr>
          <w:rFonts w:ascii="Times New Roman" w:hAnsi="Times New Roman"/>
          <w:sz w:val="24"/>
        </w:rPr>
        <w:t>Договором</w:t>
      </w:r>
      <w:r>
        <w:rPr>
          <w:rFonts w:ascii="Times New Roman" w:hAnsi="Times New Roman"/>
          <w:sz w:val="24"/>
        </w:rPr>
        <w:t xml:space="preserve"> и </w:t>
      </w:r>
      <w:r>
        <w:rPr>
          <w:rFonts w:ascii="Times New Roman" w:hAnsi="Times New Roman"/>
          <w:sz w:val="24"/>
        </w:rPr>
        <w:t>действующим законодательством Российской Федерации.</w:t>
      </w:r>
    </w:p>
    <w:p w14:paraId="29000000">
      <w:pPr>
        <w:pStyle w:val="Style_1"/>
        <w:widowControl w:val="1"/>
        <w:ind w:firstLine="709"/>
        <w:jc w:val="both"/>
        <w:rPr>
          <w:rFonts w:ascii="Times New Roman" w:hAnsi="Times New Roman"/>
          <w:b w:val="1"/>
          <w:sz w:val="24"/>
        </w:rPr>
      </w:pPr>
      <w:r>
        <w:rPr>
          <w:rFonts w:ascii="Times New Roman" w:hAnsi="Times New Roman"/>
          <w:b w:val="1"/>
          <w:sz w:val="24"/>
        </w:rPr>
        <w:t xml:space="preserve">3.2. </w:t>
      </w:r>
      <w:r>
        <w:rPr>
          <w:rFonts w:ascii="Times New Roman" w:hAnsi="Times New Roman"/>
          <w:b w:val="1"/>
          <w:sz w:val="24"/>
        </w:rPr>
        <w:t>Права Исполнителя:</w:t>
      </w:r>
    </w:p>
    <w:p w14:paraId="2A000000">
      <w:pPr>
        <w:pStyle w:val="Style_1"/>
        <w:widowControl w:val="1"/>
        <w:ind w:firstLine="709"/>
        <w:jc w:val="both"/>
        <w:rPr>
          <w:rFonts w:ascii="Times New Roman" w:hAnsi="Times New Roman"/>
          <w:sz w:val="24"/>
        </w:rPr>
      </w:pPr>
      <w:r>
        <w:rPr>
          <w:rFonts w:ascii="Times New Roman" w:hAnsi="Times New Roman"/>
          <w:sz w:val="24"/>
        </w:rPr>
        <w:t xml:space="preserve">3.2.1. </w:t>
      </w:r>
      <w:r>
        <w:rPr>
          <w:rFonts w:ascii="Times New Roman" w:hAnsi="Times New Roman"/>
          <w:sz w:val="24"/>
        </w:rPr>
        <w:t>Исполнитель имеет право на надлежащую оплату своих услуг Заказчиком.</w:t>
      </w:r>
    </w:p>
    <w:p w14:paraId="2B000000">
      <w:pPr>
        <w:pStyle w:val="Style_1"/>
        <w:widowControl w:val="1"/>
        <w:ind w:firstLine="709"/>
        <w:jc w:val="both"/>
        <w:rPr>
          <w:rFonts w:ascii="Times New Roman" w:hAnsi="Times New Roman"/>
          <w:sz w:val="24"/>
        </w:rPr>
      </w:pPr>
      <w:r>
        <w:rPr>
          <w:rFonts w:ascii="Times New Roman" w:hAnsi="Times New Roman"/>
          <w:sz w:val="24"/>
        </w:rPr>
        <w:t xml:space="preserve">3.2.2. </w:t>
      </w:r>
      <w:r>
        <w:rPr>
          <w:rFonts w:ascii="Times New Roman" w:hAnsi="Times New Roman"/>
          <w:sz w:val="24"/>
        </w:rPr>
        <w:t xml:space="preserve">Исполнитель имеет право на свободный доступ к Объекту для </w:t>
      </w:r>
      <w:r>
        <w:rPr>
          <w:rFonts w:ascii="Times New Roman" w:hAnsi="Times New Roman"/>
          <w:sz w:val="24"/>
        </w:rPr>
        <w:t>оказания услуг по Договору</w:t>
      </w:r>
      <w:r>
        <w:rPr>
          <w:rFonts w:ascii="Times New Roman" w:hAnsi="Times New Roman"/>
          <w:sz w:val="24"/>
        </w:rPr>
        <w:t>.</w:t>
      </w:r>
    </w:p>
    <w:p w14:paraId="2C000000">
      <w:pPr>
        <w:pStyle w:val="Style_1"/>
        <w:widowControl w:val="1"/>
        <w:ind w:firstLine="709"/>
        <w:jc w:val="both"/>
        <w:rPr>
          <w:rFonts w:ascii="Times New Roman" w:hAnsi="Times New Roman"/>
          <w:sz w:val="24"/>
        </w:rPr>
      </w:pPr>
      <w:r>
        <w:rPr>
          <w:rFonts w:ascii="Times New Roman" w:hAnsi="Times New Roman"/>
          <w:sz w:val="24"/>
        </w:rPr>
        <w:t xml:space="preserve">3.2.3. </w:t>
      </w:r>
      <w:r>
        <w:rPr>
          <w:rFonts w:ascii="Times New Roman" w:hAnsi="Times New Roman"/>
          <w:sz w:val="24"/>
        </w:rPr>
        <w:t xml:space="preserve">Исполнитель имеет право на получение от Заказчика всех необходимых документов и информации для надлежащего </w:t>
      </w:r>
      <w:r>
        <w:rPr>
          <w:rFonts w:ascii="Times New Roman" w:hAnsi="Times New Roman"/>
          <w:sz w:val="24"/>
        </w:rPr>
        <w:t>оказания услуг по Договору.</w:t>
      </w:r>
    </w:p>
    <w:p w14:paraId="2D000000">
      <w:pPr>
        <w:pStyle w:val="Style_1"/>
        <w:widowControl w:val="1"/>
        <w:ind w:firstLine="709"/>
        <w:jc w:val="both"/>
        <w:rPr>
          <w:rFonts w:ascii="Times New Roman" w:hAnsi="Times New Roman"/>
          <w:sz w:val="24"/>
        </w:rPr>
      </w:pPr>
    </w:p>
    <w:p w14:paraId="2E000000">
      <w:pPr>
        <w:pStyle w:val="Style_1"/>
        <w:widowControl w:val="1"/>
        <w:ind w:firstLine="709"/>
        <w:jc w:val="both"/>
        <w:rPr>
          <w:rFonts w:ascii="Times New Roman" w:hAnsi="Times New Roman"/>
          <w:sz w:val="24"/>
        </w:rPr>
      </w:pPr>
      <w:r>
        <w:rPr>
          <w:rFonts w:ascii="Times New Roman" w:hAnsi="Times New Roman"/>
          <w:sz w:val="24"/>
        </w:rPr>
        <w:t xml:space="preserve">3.2.4. </w:t>
      </w:r>
      <w:r>
        <w:rPr>
          <w:rFonts w:ascii="Times New Roman" w:hAnsi="Times New Roman"/>
          <w:sz w:val="24"/>
        </w:rPr>
        <w:t xml:space="preserve">Требовать возмещения убытков, причиненных Исполнителю по вине Заказчика в ходе исполнения </w:t>
      </w:r>
      <w:r>
        <w:rPr>
          <w:rFonts w:ascii="Times New Roman" w:hAnsi="Times New Roman"/>
          <w:sz w:val="24"/>
        </w:rPr>
        <w:t>Договора</w:t>
      </w:r>
      <w:r>
        <w:rPr>
          <w:rFonts w:ascii="Times New Roman" w:hAnsi="Times New Roman"/>
          <w:sz w:val="24"/>
        </w:rPr>
        <w:t>.</w:t>
      </w:r>
    </w:p>
    <w:p w14:paraId="2F000000">
      <w:pPr>
        <w:pStyle w:val="Style_1"/>
        <w:widowControl w:val="1"/>
        <w:ind w:firstLine="709"/>
        <w:jc w:val="both"/>
        <w:rPr>
          <w:rFonts w:ascii="Times New Roman" w:hAnsi="Times New Roman"/>
          <w:sz w:val="24"/>
        </w:rPr>
      </w:pPr>
      <w:r>
        <w:rPr>
          <w:rFonts w:ascii="Times New Roman" w:hAnsi="Times New Roman"/>
          <w:sz w:val="24"/>
        </w:rPr>
        <w:t xml:space="preserve">3.2.5. </w:t>
      </w:r>
      <w:r>
        <w:rPr>
          <w:rFonts w:ascii="Times New Roman" w:hAnsi="Times New Roman"/>
          <w:sz w:val="24"/>
        </w:rPr>
        <w:t xml:space="preserve">Осуществлять иные права, предусмотренные настоящим </w:t>
      </w:r>
      <w:r>
        <w:rPr>
          <w:rFonts w:ascii="Times New Roman" w:hAnsi="Times New Roman"/>
          <w:sz w:val="24"/>
        </w:rPr>
        <w:t>Договором</w:t>
      </w:r>
      <w:r>
        <w:rPr>
          <w:rFonts w:ascii="Times New Roman" w:hAnsi="Times New Roman"/>
          <w:sz w:val="24"/>
        </w:rPr>
        <w:t xml:space="preserve"> и действующим законодательством Российской Федерации.</w:t>
      </w:r>
    </w:p>
    <w:p w14:paraId="30000000">
      <w:pPr>
        <w:pStyle w:val="Style_5"/>
        <w:widowControl w:val="1"/>
        <w:ind w:firstLine="709" w:left="0"/>
        <w:contextualSpacing w:val="0"/>
        <w:jc w:val="both"/>
        <w:rPr>
          <w:rFonts w:ascii="Times New Roman" w:hAnsi="Times New Roman"/>
          <w:sz w:val="24"/>
        </w:rPr>
      </w:pPr>
      <w:r>
        <w:rPr>
          <w:rFonts w:ascii="Times New Roman" w:hAnsi="Times New Roman"/>
          <w:sz w:val="24"/>
        </w:rPr>
        <w:t>3.</w:t>
      </w:r>
      <w:r>
        <w:rPr>
          <w:rFonts w:ascii="Times New Roman" w:hAnsi="Times New Roman"/>
          <w:sz w:val="24"/>
        </w:rPr>
        <w:t>2.6.</w:t>
      </w:r>
      <w:r>
        <w:rPr>
          <w:rFonts w:ascii="Times New Roman" w:hAnsi="Times New Roman"/>
          <w:sz w:val="24"/>
        </w:rPr>
        <w:t xml:space="preserve"> Осуществлять иные права, предусмотренные </w:t>
      </w:r>
      <w:r>
        <w:rPr>
          <w:rFonts w:ascii="Times New Roman" w:hAnsi="Times New Roman"/>
          <w:sz w:val="24"/>
        </w:rPr>
        <w:t>Договором</w:t>
      </w:r>
      <w:r>
        <w:rPr>
          <w:rFonts w:ascii="Times New Roman" w:hAnsi="Times New Roman"/>
          <w:sz w:val="24"/>
        </w:rPr>
        <w:t xml:space="preserve"> и действующим законодательством Российской Федерации.</w:t>
      </w:r>
    </w:p>
    <w:p w14:paraId="31000000">
      <w:pPr>
        <w:widowControl w:val="0"/>
        <w:ind w:firstLine="709"/>
        <w:jc w:val="both"/>
        <w:rPr>
          <w:rFonts w:ascii="Times New Roman" w:hAnsi="Times New Roman"/>
          <w:b w:val="1"/>
          <w:spacing w:val="-6"/>
          <w:sz w:val="24"/>
        </w:rPr>
      </w:pPr>
      <w:r>
        <w:rPr>
          <w:rFonts w:ascii="Times New Roman" w:hAnsi="Times New Roman"/>
          <w:b w:val="1"/>
          <w:spacing w:val="-6"/>
          <w:sz w:val="24"/>
        </w:rPr>
        <w:t>3.3</w:t>
      </w:r>
      <w:r>
        <w:rPr>
          <w:rFonts w:ascii="Times New Roman" w:hAnsi="Times New Roman"/>
          <w:b w:val="1"/>
          <w:spacing w:val="-6"/>
          <w:sz w:val="24"/>
        </w:rPr>
        <w:t xml:space="preserve">. </w:t>
      </w:r>
      <w:r>
        <w:rPr>
          <w:rFonts w:ascii="Times New Roman" w:hAnsi="Times New Roman"/>
          <w:b w:val="1"/>
          <w:spacing w:val="-6"/>
          <w:sz w:val="24"/>
        </w:rPr>
        <w:t>Обязанности</w:t>
      </w:r>
      <w:r>
        <w:rPr>
          <w:rFonts w:ascii="Times New Roman" w:hAnsi="Times New Roman"/>
          <w:b w:val="1"/>
          <w:spacing w:val="-6"/>
          <w:sz w:val="24"/>
        </w:rPr>
        <w:t xml:space="preserve"> </w:t>
      </w:r>
      <w:r>
        <w:rPr>
          <w:rFonts w:ascii="Times New Roman" w:hAnsi="Times New Roman"/>
          <w:b w:val="1"/>
          <w:spacing w:val="-6"/>
          <w:sz w:val="24"/>
        </w:rPr>
        <w:t>Заказчик</w:t>
      </w:r>
      <w:r>
        <w:rPr>
          <w:rFonts w:ascii="Times New Roman" w:hAnsi="Times New Roman"/>
          <w:b w:val="1"/>
          <w:spacing w:val="-6"/>
          <w:sz w:val="24"/>
        </w:rPr>
        <w:t>а</w:t>
      </w:r>
      <w:r>
        <w:rPr>
          <w:rFonts w:ascii="Times New Roman" w:hAnsi="Times New Roman"/>
          <w:b w:val="1"/>
          <w:spacing w:val="-6"/>
          <w:sz w:val="24"/>
        </w:rPr>
        <w:t>:</w:t>
      </w:r>
    </w:p>
    <w:p w14:paraId="32000000">
      <w:pPr>
        <w:widowControl w:val="0"/>
        <w:ind w:firstLine="709"/>
        <w:jc w:val="both"/>
        <w:rPr>
          <w:rFonts w:ascii="Times New Roman" w:hAnsi="Times New Roman"/>
          <w:spacing w:val="-6"/>
          <w:sz w:val="24"/>
        </w:rPr>
      </w:pPr>
      <w:r>
        <w:rPr>
          <w:rFonts w:ascii="Times New Roman" w:hAnsi="Times New Roman"/>
          <w:spacing w:val="-6"/>
          <w:sz w:val="24"/>
        </w:rPr>
        <w:t>3.</w:t>
      </w:r>
      <w:r>
        <w:rPr>
          <w:rFonts w:ascii="Times New Roman" w:hAnsi="Times New Roman"/>
          <w:spacing w:val="-6"/>
          <w:sz w:val="24"/>
        </w:rPr>
        <w:t>3</w:t>
      </w:r>
      <w:r>
        <w:rPr>
          <w:rFonts w:ascii="Times New Roman" w:hAnsi="Times New Roman"/>
          <w:spacing w:val="-6"/>
          <w:sz w:val="24"/>
        </w:rPr>
        <w:t xml:space="preserve">.1. </w:t>
      </w:r>
      <w:r>
        <w:rPr>
          <w:rFonts w:ascii="Times New Roman" w:hAnsi="Times New Roman"/>
          <w:spacing w:val="-6"/>
          <w:sz w:val="24"/>
        </w:rPr>
        <w:t>Предоставить Исполнителю Задание на оценку, а также подписанную им или уполномоченным на то лицом и заверенную в установленном порядке необходимую Исполнителю информацию;</w:t>
      </w:r>
    </w:p>
    <w:p w14:paraId="33000000">
      <w:pPr>
        <w:widowControl w:val="0"/>
        <w:ind w:firstLine="709"/>
        <w:jc w:val="both"/>
        <w:rPr>
          <w:rFonts w:ascii="Times New Roman" w:hAnsi="Times New Roman"/>
          <w:spacing w:val="-6"/>
          <w:sz w:val="24"/>
        </w:rPr>
      </w:pPr>
      <w:r>
        <w:rPr>
          <w:rFonts w:ascii="Times New Roman" w:hAnsi="Times New Roman"/>
          <w:spacing w:val="-6"/>
          <w:sz w:val="24"/>
        </w:rPr>
        <w:t>3.3</w:t>
      </w:r>
      <w:r>
        <w:rPr>
          <w:rFonts w:ascii="Times New Roman" w:hAnsi="Times New Roman"/>
          <w:spacing w:val="-6"/>
          <w:sz w:val="24"/>
        </w:rPr>
        <w:t xml:space="preserve">.2. </w:t>
      </w:r>
      <w:r>
        <w:rPr>
          <w:rFonts w:ascii="Times New Roman" w:hAnsi="Times New Roman"/>
          <w:spacing w:val="-6"/>
          <w:sz w:val="24"/>
        </w:rPr>
        <w:t xml:space="preserve">Обеспечить Исполнителю </w:t>
      </w:r>
      <w:r>
        <w:rPr>
          <w:rFonts w:ascii="Times New Roman" w:hAnsi="Times New Roman"/>
          <w:spacing w:val="-6"/>
          <w:sz w:val="24"/>
        </w:rPr>
        <w:t>доступ в полном объеме к документации, необходимой для осуществления услуг по оценке: техническую документацию, документы, подтверждающие юридические права и. т.д.</w:t>
      </w:r>
    </w:p>
    <w:p w14:paraId="34000000">
      <w:pPr>
        <w:widowControl w:val="0"/>
        <w:ind w:firstLine="709"/>
        <w:jc w:val="both"/>
        <w:rPr>
          <w:rFonts w:ascii="Times New Roman" w:hAnsi="Times New Roman"/>
          <w:spacing w:val="-6"/>
          <w:sz w:val="24"/>
        </w:rPr>
      </w:pPr>
      <w:r>
        <w:rPr>
          <w:rFonts w:ascii="Times New Roman" w:hAnsi="Times New Roman"/>
          <w:spacing w:val="-6"/>
          <w:sz w:val="24"/>
        </w:rPr>
        <w:t>3.3</w:t>
      </w:r>
      <w:r>
        <w:rPr>
          <w:rFonts w:ascii="Times New Roman" w:hAnsi="Times New Roman"/>
          <w:spacing w:val="-6"/>
          <w:sz w:val="24"/>
        </w:rPr>
        <w:t xml:space="preserve">.3. По просьбе Исполнителя – давать разъяснения, дополнительные сведения, </w:t>
      </w:r>
      <w:r>
        <w:rPr>
          <w:rFonts w:ascii="Times New Roman" w:hAnsi="Times New Roman"/>
          <w:spacing w:val="-6"/>
          <w:sz w:val="24"/>
        </w:rPr>
        <w:t>необходимые для осуществления оценки.</w:t>
      </w:r>
    </w:p>
    <w:p w14:paraId="35000000">
      <w:pPr>
        <w:widowControl w:val="0"/>
        <w:tabs>
          <w:tab w:leader="none" w:pos="8505" w:val="left"/>
        </w:tabs>
        <w:ind w:firstLine="709"/>
        <w:jc w:val="both"/>
        <w:rPr>
          <w:rFonts w:ascii="Times New Roman" w:hAnsi="Times New Roman"/>
          <w:spacing w:val="-6"/>
          <w:sz w:val="24"/>
        </w:rPr>
      </w:pPr>
      <w:r>
        <w:rPr>
          <w:rFonts w:ascii="Times New Roman" w:hAnsi="Times New Roman"/>
          <w:spacing w:val="-6"/>
          <w:sz w:val="24"/>
        </w:rPr>
        <w:t>3.3</w:t>
      </w:r>
      <w:r>
        <w:rPr>
          <w:rFonts w:ascii="Times New Roman" w:hAnsi="Times New Roman"/>
          <w:spacing w:val="-6"/>
          <w:sz w:val="24"/>
        </w:rPr>
        <w:t xml:space="preserve">.4. Принять и оплатить оказанные услуги в сроки и на условиях, оговоренных в </w:t>
      </w:r>
      <w:r>
        <w:rPr>
          <w:rFonts w:ascii="Times New Roman" w:hAnsi="Times New Roman"/>
          <w:spacing w:val="-6"/>
          <w:sz w:val="24"/>
        </w:rPr>
        <w:t>Договоре</w:t>
      </w:r>
      <w:r>
        <w:rPr>
          <w:rFonts w:ascii="Times New Roman" w:hAnsi="Times New Roman"/>
          <w:spacing w:val="-6"/>
          <w:sz w:val="24"/>
        </w:rPr>
        <w:t>.</w:t>
      </w:r>
    </w:p>
    <w:p w14:paraId="36000000">
      <w:pPr>
        <w:pStyle w:val="Style_1"/>
        <w:widowControl w:val="1"/>
        <w:ind w:firstLine="709"/>
        <w:jc w:val="both"/>
        <w:rPr>
          <w:rFonts w:ascii="Times New Roman" w:hAnsi="Times New Roman"/>
          <w:sz w:val="24"/>
        </w:rPr>
      </w:pPr>
      <w:r>
        <w:rPr>
          <w:rFonts w:ascii="Times New Roman" w:hAnsi="Times New Roman"/>
          <w:sz w:val="24"/>
        </w:rPr>
        <w:t xml:space="preserve">3.3.5. </w:t>
      </w:r>
      <w:r>
        <w:rPr>
          <w:rFonts w:ascii="Times New Roman" w:hAnsi="Times New Roman"/>
          <w:sz w:val="24"/>
        </w:rPr>
        <w:t xml:space="preserve">Проводить экспертизу соответствия качества выполняемых работ требованиям, установленным </w:t>
      </w:r>
      <w:r>
        <w:rPr>
          <w:rFonts w:ascii="Times New Roman" w:hAnsi="Times New Roman"/>
          <w:sz w:val="24"/>
        </w:rPr>
        <w:t>Договором</w:t>
      </w:r>
      <w:r>
        <w:rPr>
          <w:rFonts w:ascii="Times New Roman" w:hAnsi="Times New Roman"/>
          <w:sz w:val="24"/>
        </w:rPr>
        <w:t>, своими силами или путем привлечения экспертов, экспертных организаций.</w:t>
      </w:r>
    </w:p>
    <w:p w14:paraId="37000000">
      <w:pPr>
        <w:pStyle w:val="Style_1"/>
        <w:widowControl w:val="1"/>
        <w:ind w:firstLine="709"/>
        <w:jc w:val="both"/>
        <w:rPr>
          <w:rFonts w:ascii="Times New Roman" w:hAnsi="Times New Roman"/>
          <w:sz w:val="24"/>
        </w:rPr>
      </w:pPr>
      <w:r>
        <w:rPr>
          <w:rFonts w:ascii="Times New Roman" w:hAnsi="Times New Roman"/>
          <w:sz w:val="24"/>
        </w:rPr>
        <w:t xml:space="preserve">3.3.6. </w:t>
      </w:r>
      <w:r>
        <w:rPr>
          <w:rFonts w:ascii="Times New Roman" w:hAnsi="Times New Roman"/>
          <w:sz w:val="24"/>
        </w:rPr>
        <w:t>Требовать возмещения неустойки и (или) убытков, причиненных по вине Исполнителя.</w:t>
      </w:r>
    </w:p>
    <w:p w14:paraId="38000000">
      <w:pPr>
        <w:pStyle w:val="Style_1"/>
        <w:widowControl w:val="1"/>
        <w:ind w:firstLine="709"/>
        <w:jc w:val="both"/>
        <w:rPr>
          <w:rFonts w:ascii="Times New Roman" w:hAnsi="Times New Roman"/>
          <w:sz w:val="24"/>
        </w:rPr>
      </w:pPr>
      <w:r>
        <w:rPr>
          <w:rFonts w:ascii="Times New Roman" w:hAnsi="Times New Roman"/>
          <w:sz w:val="24"/>
        </w:rPr>
        <w:t xml:space="preserve">3.3.7. </w:t>
      </w:r>
      <w:r>
        <w:rPr>
          <w:rFonts w:ascii="Times New Roman" w:hAnsi="Times New Roman"/>
          <w:sz w:val="24"/>
        </w:rPr>
        <w:t xml:space="preserve">Исполнять иные обязательства, предусмотренные </w:t>
      </w:r>
      <w:r>
        <w:rPr>
          <w:rFonts w:ascii="Times New Roman" w:hAnsi="Times New Roman"/>
          <w:sz w:val="24"/>
        </w:rPr>
        <w:t>Договором</w:t>
      </w:r>
      <w:r>
        <w:rPr>
          <w:rFonts w:ascii="Times New Roman" w:hAnsi="Times New Roman"/>
          <w:sz w:val="24"/>
        </w:rPr>
        <w:t xml:space="preserve"> и действующим законодательством Российской Федерации.</w:t>
      </w:r>
    </w:p>
    <w:p w14:paraId="39000000">
      <w:pPr>
        <w:pStyle w:val="Style_1"/>
        <w:widowControl w:val="1"/>
        <w:ind w:firstLine="709"/>
        <w:jc w:val="both"/>
        <w:rPr>
          <w:rFonts w:ascii="Times New Roman" w:hAnsi="Times New Roman"/>
          <w:b w:val="1"/>
          <w:sz w:val="24"/>
        </w:rPr>
      </w:pPr>
      <w:r>
        <w:rPr>
          <w:rFonts w:ascii="Times New Roman" w:hAnsi="Times New Roman"/>
          <w:b w:val="1"/>
          <w:sz w:val="24"/>
        </w:rPr>
        <w:t>3.4. Права Заказчика:</w:t>
      </w:r>
    </w:p>
    <w:p w14:paraId="3A000000">
      <w:pPr>
        <w:pStyle w:val="Style_1"/>
        <w:widowControl w:val="1"/>
        <w:ind w:firstLine="709"/>
        <w:jc w:val="both"/>
        <w:rPr>
          <w:rFonts w:ascii="Times New Roman" w:hAnsi="Times New Roman"/>
          <w:sz w:val="24"/>
        </w:rPr>
      </w:pPr>
      <w:r>
        <w:rPr>
          <w:rFonts w:ascii="Times New Roman" w:hAnsi="Times New Roman"/>
          <w:sz w:val="24"/>
        </w:rPr>
        <w:t xml:space="preserve">3.4.1. </w:t>
      </w:r>
      <w:r>
        <w:rPr>
          <w:rFonts w:ascii="Times New Roman" w:hAnsi="Times New Roman"/>
          <w:sz w:val="24"/>
        </w:rPr>
        <w:t xml:space="preserve">В любое время проверять ход и качество выполняемых по </w:t>
      </w:r>
      <w:r>
        <w:rPr>
          <w:rFonts w:ascii="Times New Roman" w:hAnsi="Times New Roman"/>
          <w:sz w:val="24"/>
        </w:rPr>
        <w:t>Договору</w:t>
      </w:r>
      <w:r>
        <w:rPr>
          <w:rFonts w:ascii="Times New Roman" w:hAnsi="Times New Roman"/>
          <w:sz w:val="24"/>
        </w:rPr>
        <w:t xml:space="preserve"> услуг, в т.ч. присутствовать при оказании услуг в качестве наблюдателя с правом получения любой информации и ознакомления с любыми документами, связанными с </w:t>
      </w:r>
      <w:r>
        <w:rPr>
          <w:rFonts w:ascii="Times New Roman" w:hAnsi="Times New Roman"/>
          <w:sz w:val="24"/>
        </w:rPr>
        <w:t>оказанием услуг</w:t>
      </w:r>
      <w:r>
        <w:rPr>
          <w:rFonts w:ascii="Times New Roman" w:hAnsi="Times New Roman"/>
          <w:sz w:val="24"/>
        </w:rPr>
        <w:t xml:space="preserve"> по </w:t>
      </w:r>
      <w:r>
        <w:rPr>
          <w:rFonts w:ascii="Times New Roman" w:hAnsi="Times New Roman"/>
          <w:sz w:val="24"/>
        </w:rPr>
        <w:t>Договору</w:t>
      </w:r>
      <w:r>
        <w:rPr>
          <w:rFonts w:ascii="Times New Roman" w:hAnsi="Times New Roman"/>
          <w:sz w:val="24"/>
        </w:rPr>
        <w:t>, не вмешиваясь в хозяйственную деятельность Исполнителя.</w:t>
      </w:r>
    </w:p>
    <w:p w14:paraId="3B000000">
      <w:pPr>
        <w:pStyle w:val="Style_1"/>
        <w:widowControl w:val="1"/>
        <w:ind w:firstLine="709"/>
        <w:jc w:val="both"/>
        <w:rPr>
          <w:rFonts w:ascii="Times New Roman" w:hAnsi="Times New Roman"/>
          <w:sz w:val="24"/>
        </w:rPr>
      </w:pPr>
      <w:r>
        <w:rPr>
          <w:rFonts w:ascii="Times New Roman" w:hAnsi="Times New Roman"/>
          <w:sz w:val="24"/>
        </w:rPr>
        <w:t xml:space="preserve">3.4.2. </w:t>
      </w:r>
      <w:r>
        <w:rPr>
          <w:rFonts w:ascii="Times New Roman" w:hAnsi="Times New Roman"/>
          <w:sz w:val="24"/>
        </w:rPr>
        <w:t xml:space="preserve">Отказаться от приемки и оплаты услуг, не соответствующих требованиям </w:t>
      </w:r>
      <w:r>
        <w:rPr>
          <w:rFonts w:ascii="Times New Roman" w:hAnsi="Times New Roman"/>
          <w:sz w:val="24"/>
        </w:rPr>
        <w:t>Договора</w:t>
      </w:r>
      <w:r>
        <w:rPr>
          <w:rFonts w:ascii="Times New Roman" w:hAnsi="Times New Roman"/>
          <w:sz w:val="24"/>
        </w:rPr>
        <w:t>.</w:t>
      </w:r>
    </w:p>
    <w:p w14:paraId="3C000000">
      <w:pPr>
        <w:pStyle w:val="Style_1"/>
        <w:widowControl w:val="1"/>
        <w:ind w:firstLine="709"/>
        <w:jc w:val="both"/>
        <w:rPr>
          <w:rFonts w:ascii="Times New Roman" w:hAnsi="Times New Roman"/>
          <w:sz w:val="24"/>
        </w:rPr>
      </w:pPr>
      <w:r>
        <w:rPr>
          <w:rFonts w:ascii="Times New Roman" w:hAnsi="Times New Roman"/>
          <w:sz w:val="24"/>
        </w:rPr>
        <w:t xml:space="preserve">3.4.3. </w:t>
      </w:r>
      <w:r>
        <w:rPr>
          <w:rFonts w:ascii="Times New Roman" w:hAnsi="Times New Roman"/>
          <w:sz w:val="24"/>
        </w:rPr>
        <w:t xml:space="preserve">Досрочно принять и оплатить услуги в соответствии с условиями </w:t>
      </w:r>
      <w:r>
        <w:rPr>
          <w:rFonts w:ascii="Times New Roman" w:hAnsi="Times New Roman"/>
          <w:sz w:val="24"/>
        </w:rPr>
        <w:t>Договора</w:t>
      </w:r>
      <w:r>
        <w:rPr>
          <w:rFonts w:ascii="Times New Roman" w:hAnsi="Times New Roman"/>
          <w:sz w:val="24"/>
        </w:rPr>
        <w:t>.</w:t>
      </w:r>
    </w:p>
    <w:p w14:paraId="3D000000">
      <w:pPr>
        <w:pStyle w:val="Style_1"/>
        <w:widowControl w:val="1"/>
        <w:ind w:firstLine="709"/>
        <w:jc w:val="both"/>
        <w:rPr>
          <w:rFonts w:ascii="Times New Roman" w:hAnsi="Times New Roman"/>
          <w:sz w:val="24"/>
        </w:rPr>
      </w:pPr>
      <w:r>
        <w:rPr>
          <w:rFonts w:ascii="Times New Roman" w:hAnsi="Times New Roman"/>
          <w:sz w:val="24"/>
        </w:rPr>
        <w:t xml:space="preserve">3.4.4. </w:t>
      </w:r>
      <w:r>
        <w:rPr>
          <w:rFonts w:ascii="Times New Roman" w:hAnsi="Times New Roman"/>
          <w:sz w:val="24"/>
        </w:rPr>
        <w:t xml:space="preserve">Принять решение об одностороннем отказе от исполнения </w:t>
      </w:r>
      <w:r>
        <w:rPr>
          <w:rFonts w:ascii="Times New Roman" w:hAnsi="Times New Roman"/>
          <w:sz w:val="24"/>
        </w:rPr>
        <w:t>Договора</w:t>
      </w:r>
      <w:r>
        <w:rPr>
          <w:rFonts w:ascii="Times New Roman" w:hAnsi="Times New Roman"/>
          <w:sz w:val="24"/>
        </w:rPr>
        <w:t xml:space="preserve"> на случаях, установленных </w:t>
      </w:r>
      <w:r>
        <w:rPr>
          <w:rFonts w:ascii="Times New Roman" w:hAnsi="Times New Roman"/>
          <w:sz w:val="24"/>
        </w:rPr>
        <w:t>Законом о контрактной системе</w:t>
      </w:r>
      <w:r>
        <w:rPr>
          <w:rFonts w:ascii="Times New Roman" w:hAnsi="Times New Roman"/>
          <w:sz w:val="24"/>
        </w:rPr>
        <w:t>.</w:t>
      </w:r>
    </w:p>
    <w:p w14:paraId="3E000000">
      <w:pPr>
        <w:pStyle w:val="Style_1"/>
        <w:widowControl w:val="1"/>
        <w:ind w:firstLine="709"/>
        <w:jc w:val="both"/>
        <w:rPr>
          <w:rFonts w:ascii="Times New Roman" w:hAnsi="Times New Roman"/>
          <w:sz w:val="24"/>
        </w:rPr>
      </w:pPr>
      <w:r>
        <w:rPr>
          <w:rFonts w:ascii="Times New Roman" w:hAnsi="Times New Roman"/>
          <w:sz w:val="24"/>
        </w:rPr>
        <w:t xml:space="preserve">3.4.5. </w:t>
      </w:r>
      <w:r>
        <w:rPr>
          <w:rFonts w:ascii="Times New Roman" w:hAnsi="Times New Roman"/>
          <w:sz w:val="24"/>
        </w:rPr>
        <w:t xml:space="preserve">Осуществлять иные права, предусмотренные настоящим </w:t>
      </w:r>
      <w:r>
        <w:rPr>
          <w:rFonts w:ascii="Times New Roman" w:hAnsi="Times New Roman"/>
          <w:sz w:val="24"/>
        </w:rPr>
        <w:t>Договором</w:t>
      </w:r>
      <w:r>
        <w:rPr>
          <w:rFonts w:ascii="Times New Roman" w:hAnsi="Times New Roman"/>
          <w:sz w:val="24"/>
        </w:rPr>
        <w:t xml:space="preserve"> и действующим законодательством Российской Федерации.</w:t>
      </w:r>
    </w:p>
    <w:p w14:paraId="3F000000">
      <w:pPr>
        <w:pStyle w:val="Style_1"/>
        <w:widowControl w:val="1"/>
        <w:ind w:firstLine="709"/>
        <w:jc w:val="both"/>
        <w:rPr>
          <w:rFonts w:ascii="Times New Roman" w:hAnsi="Times New Roman"/>
          <w:sz w:val="24"/>
        </w:rPr>
      </w:pPr>
    </w:p>
    <w:p w14:paraId="40000000">
      <w:pPr>
        <w:pStyle w:val="Style_1"/>
        <w:widowControl w:val="0"/>
        <w:pBdr>
          <w:top w:color="000000" w:space="0" w:sz="4" w:val="nil"/>
          <w:left w:color="000000" w:space="0" w:sz="4" w:val="nil"/>
          <w:bottom w:color="000000" w:space="31" w:sz="4" w:val="nil"/>
          <w:right w:color="000000" w:space="0" w:sz="4" w:val="nil"/>
          <w:between w:space="0" w:val="nil"/>
        </w:pBdr>
        <w:ind/>
        <w:jc w:val="center"/>
        <w:rPr>
          <w:rFonts w:ascii="Times New Roman" w:hAnsi="Times New Roman"/>
          <w:b w:val="1"/>
          <w:sz w:val="24"/>
        </w:rPr>
      </w:pPr>
      <w:r>
        <w:rPr>
          <w:rFonts w:ascii="Times New Roman" w:hAnsi="Times New Roman"/>
          <w:b w:val="1"/>
          <w:sz w:val="24"/>
        </w:rPr>
        <w:t>4. ПОРЯДОК СДАЧИ И ПРИЕМКИ РАБОТ</w:t>
      </w:r>
    </w:p>
    <w:p w14:paraId="41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sz w:val="24"/>
        </w:rPr>
      </w:pPr>
      <w:r>
        <w:rPr>
          <w:rFonts w:ascii="Times New Roman" w:hAnsi="Times New Roman"/>
          <w:sz w:val="24"/>
        </w:rPr>
        <w:t xml:space="preserve">4.1. Датой, подтверждающей </w:t>
      </w:r>
      <w:r>
        <w:rPr>
          <w:rFonts w:ascii="Times New Roman" w:hAnsi="Times New Roman"/>
          <w:sz w:val="24"/>
        </w:rPr>
        <w:t>оказанием услуг</w:t>
      </w:r>
      <w:r>
        <w:rPr>
          <w:rFonts w:ascii="Times New Roman" w:hAnsi="Times New Roman"/>
          <w:sz w:val="24"/>
        </w:rPr>
        <w:t xml:space="preserve">, считается дата подписания </w:t>
      </w:r>
      <w:r>
        <w:rPr>
          <w:rFonts w:ascii="Times New Roman" w:hAnsi="Times New Roman"/>
          <w:spacing w:val="-6"/>
          <w:sz w:val="24"/>
        </w:rPr>
        <w:t>Заказ</w:t>
      </w:r>
      <w:r>
        <w:rPr>
          <w:rFonts w:ascii="Times New Roman" w:hAnsi="Times New Roman"/>
          <w:spacing w:val="-6"/>
          <w:sz w:val="24"/>
        </w:rPr>
        <w:t>чиком</w:t>
      </w:r>
      <w:r>
        <w:rPr>
          <w:rFonts w:ascii="Times New Roman" w:hAnsi="Times New Roman"/>
          <w:spacing w:val="-6"/>
          <w:sz w:val="24"/>
        </w:rPr>
        <w:t xml:space="preserve"> </w:t>
      </w:r>
      <w:r>
        <w:rPr>
          <w:rFonts w:ascii="Times New Roman" w:hAnsi="Times New Roman"/>
          <w:spacing w:val="-6"/>
          <w:sz w:val="24"/>
        </w:rPr>
        <w:t xml:space="preserve">акта приема-сдачи оказанных услуг </w:t>
      </w:r>
      <w:r>
        <w:rPr>
          <w:rFonts w:ascii="Times New Roman" w:hAnsi="Times New Roman"/>
          <w:sz w:val="24"/>
        </w:rPr>
        <w:t>или универсального передаточного документы (УПД)</w:t>
      </w:r>
      <w:r>
        <w:rPr>
          <w:rFonts w:ascii="Times New Roman" w:hAnsi="Times New Roman"/>
          <w:sz w:val="24"/>
        </w:rPr>
        <w:t xml:space="preserve"> и получения Отчета об оценке.</w:t>
      </w:r>
    </w:p>
    <w:p w14:paraId="42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sz w:val="24"/>
        </w:rPr>
      </w:pPr>
      <w:r>
        <w:rPr>
          <w:rFonts w:ascii="Times New Roman" w:hAnsi="Times New Roman"/>
          <w:sz w:val="24"/>
        </w:rPr>
        <w:t xml:space="preserve">4.2. Не позднее 10 (десяти) рабочих дней после получения от Исполнителя документов, указанных в п. 4.1 </w:t>
      </w:r>
      <w:r>
        <w:rPr>
          <w:rFonts w:ascii="Times New Roman" w:hAnsi="Times New Roman"/>
          <w:sz w:val="24"/>
        </w:rPr>
        <w:t>Договора</w:t>
      </w:r>
      <w:r>
        <w:rPr>
          <w:rFonts w:ascii="Times New Roman" w:hAnsi="Times New Roman"/>
          <w:sz w:val="24"/>
        </w:rPr>
        <w:t xml:space="preserve">, Заказчик рассматривает результаты и осуществляет приемку </w:t>
      </w:r>
      <w:r>
        <w:rPr>
          <w:rFonts w:ascii="Times New Roman" w:hAnsi="Times New Roman"/>
          <w:sz w:val="24"/>
        </w:rPr>
        <w:t>оказанных услуг</w:t>
      </w:r>
      <w:r>
        <w:rPr>
          <w:rFonts w:ascii="Times New Roman" w:hAnsi="Times New Roman"/>
          <w:sz w:val="24"/>
        </w:rPr>
        <w:t xml:space="preserve"> по </w:t>
      </w:r>
      <w:r>
        <w:rPr>
          <w:rFonts w:ascii="Times New Roman" w:hAnsi="Times New Roman"/>
          <w:sz w:val="24"/>
        </w:rPr>
        <w:t>Договору</w:t>
      </w:r>
      <w:r>
        <w:rPr>
          <w:rFonts w:ascii="Times New Roman" w:hAnsi="Times New Roman"/>
          <w:sz w:val="24"/>
        </w:rPr>
        <w:t xml:space="preserve"> на предмет соответствия их объема и качества требованиям, изложенным в </w:t>
      </w:r>
      <w:r>
        <w:rPr>
          <w:rFonts w:ascii="Times New Roman" w:hAnsi="Times New Roman"/>
          <w:sz w:val="24"/>
        </w:rPr>
        <w:t>Договоре</w:t>
      </w:r>
      <w:r>
        <w:rPr>
          <w:rFonts w:ascii="Times New Roman" w:hAnsi="Times New Roman"/>
          <w:sz w:val="24"/>
        </w:rPr>
        <w:t xml:space="preserve"> и </w:t>
      </w:r>
      <w:r>
        <w:rPr>
          <w:rFonts w:ascii="Times New Roman" w:hAnsi="Times New Roman"/>
          <w:spacing w:val="-6"/>
          <w:sz w:val="24"/>
        </w:rPr>
        <w:t>Техническом</w:t>
      </w:r>
      <w:r>
        <w:rPr>
          <w:rFonts w:ascii="Times New Roman" w:hAnsi="Times New Roman"/>
          <w:spacing w:val="-6"/>
          <w:sz w:val="24"/>
        </w:rPr>
        <w:t xml:space="preserve"> </w:t>
      </w:r>
      <w:r>
        <w:rPr>
          <w:rFonts w:ascii="Times New Roman" w:hAnsi="Times New Roman"/>
          <w:spacing w:val="-6"/>
          <w:sz w:val="24"/>
        </w:rPr>
        <w:t>задани</w:t>
      </w:r>
      <w:r>
        <w:rPr>
          <w:rFonts w:ascii="Times New Roman" w:hAnsi="Times New Roman"/>
          <w:spacing w:val="-6"/>
          <w:sz w:val="24"/>
        </w:rPr>
        <w:t>ем</w:t>
      </w:r>
      <w:r>
        <w:rPr>
          <w:rFonts w:ascii="Times New Roman" w:hAnsi="Times New Roman"/>
          <w:spacing w:val="-6"/>
          <w:sz w:val="24"/>
        </w:rPr>
        <w:t xml:space="preserve"> (Задани</w:t>
      </w:r>
      <w:r>
        <w:rPr>
          <w:rFonts w:ascii="Times New Roman" w:hAnsi="Times New Roman"/>
          <w:spacing w:val="-6"/>
          <w:sz w:val="24"/>
        </w:rPr>
        <w:t>е</w:t>
      </w:r>
      <w:r>
        <w:rPr>
          <w:rFonts w:ascii="Times New Roman" w:hAnsi="Times New Roman"/>
          <w:spacing w:val="-6"/>
          <w:sz w:val="24"/>
        </w:rPr>
        <w:t xml:space="preserve"> на оценку)</w:t>
      </w:r>
      <w:r>
        <w:rPr>
          <w:rFonts w:ascii="Times New Roman" w:hAnsi="Times New Roman"/>
          <w:sz w:val="24"/>
        </w:rPr>
        <w:t xml:space="preserve"> (Приложение №1 к </w:t>
      </w:r>
      <w:r>
        <w:rPr>
          <w:rFonts w:ascii="Times New Roman" w:hAnsi="Times New Roman"/>
          <w:sz w:val="24"/>
        </w:rPr>
        <w:t>Договору</w:t>
      </w:r>
      <w:r>
        <w:rPr>
          <w:rFonts w:ascii="Times New Roman" w:hAnsi="Times New Roman"/>
          <w:sz w:val="24"/>
        </w:rPr>
        <w:t xml:space="preserve">), в соответствии с действующим законодательством и направляет Исполнителю подписанный экземпляр акта </w:t>
      </w:r>
      <w:r>
        <w:rPr>
          <w:rFonts w:ascii="Times New Roman" w:hAnsi="Times New Roman"/>
          <w:spacing w:val="-6"/>
          <w:sz w:val="24"/>
        </w:rPr>
        <w:t>приема-сдачи оказанных услуг</w:t>
      </w:r>
      <w:r>
        <w:rPr>
          <w:rFonts w:ascii="Times New Roman" w:hAnsi="Times New Roman"/>
          <w:sz w:val="24"/>
        </w:rPr>
        <w:t xml:space="preserve"> или универсального передаточного документы (УПД), либо запрос о предоставлении разъяснений касательно результатов </w:t>
      </w:r>
      <w:r>
        <w:rPr>
          <w:rFonts w:ascii="Times New Roman" w:hAnsi="Times New Roman"/>
          <w:sz w:val="24"/>
        </w:rPr>
        <w:t>оказания услуг</w:t>
      </w:r>
      <w:r>
        <w:rPr>
          <w:rFonts w:ascii="Times New Roman" w:hAnsi="Times New Roman"/>
          <w:sz w:val="24"/>
        </w:rPr>
        <w:t xml:space="preserve">, или мотивированный отказ от принятия результатов </w:t>
      </w:r>
      <w:r>
        <w:rPr>
          <w:rFonts w:ascii="Times New Roman" w:hAnsi="Times New Roman"/>
          <w:sz w:val="24"/>
        </w:rPr>
        <w:t>оказания услуг</w:t>
      </w:r>
      <w:r>
        <w:rPr>
          <w:rFonts w:ascii="Times New Roman" w:hAnsi="Times New Roman"/>
          <w:sz w:val="24"/>
        </w:rPr>
        <w:t xml:space="preserve">, или акт с перечнем выявленных недостатков и сроком их устранения. В случае отказа Заказчика от принятия </w:t>
      </w:r>
      <w:r>
        <w:rPr>
          <w:rFonts w:ascii="Times New Roman" w:hAnsi="Times New Roman"/>
          <w:sz w:val="24"/>
        </w:rPr>
        <w:t>оказанных услуг</w:t>
      </w:r>
      <w:r>
        <w:rPr>
          <w:rFonts w:ascii="Times New Roman" w:hAnsi="Times New Roman"/>
          <w:sz w:val="24"/>
        </w:rPr>
        <w:t xml:space="preserve"> </w:t>
      </w:r>
      <w:r>
        <w:rPr>
          <w:rFonts w:ascii="Times New Roman" w:hAnsi="Times New Roman"/>
          <w:sz w:val="24"/>
        </w:rPr>
        <w:t xml:space="preserve">в связи с необходимостью устранения недостатков, замечаний Исполнитель обязуется в срок не </w:t>
      </w:r>
      <w:r>
        <w:rPr>
          <w:rFonts w:ascii="Times New Roman" w:hAnsi="Times New Roman"/>
          <w:sz w:val="24"/>
        </w:rPr>
        <w:t>более 10 дней с даты получения замечаний устранить указанные недостатки, замечания за свой счет.</w:t>
      </w:r>
    </w:p>
    <w:p w14:paraId="43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sz w:val="24"/>
        </w:rPr>
      </w:pPr>
      <w:r>
        <w:rPr>
          <w:rFonts w:ascii="Times New Roman" w:hAnsi="Times New Roman"/>
          <w:sz w:val="24"/>
        </w:rPr>
        <w:t xml:space="preserve">4.3. В случае получения от Заказчика запроса о предоставлении разъяснений касательно результатов </w:t>
      </w:r>
      <w:r>
        <w:rPr>
          <w:rFonts w:ascii="Times New Roman" w:hAnsi="Times New Roman"/>
          <w:sz w:val="24"/>
        </w:rPr>
        <w:t>оказания услуг</w:t>
      </w:r>
      <w:r>
        <w:rPr>
          <w:rFonts w:ascii="Times New Roman" w:hAnsi="Times New Roman"/>
          <w:sz w:val="24"/>
        </w:rPr>
        <w:t xml:space="preserve">, или мотивированного отказа от принятия результатов </w:t>
      </w:r>
      <w:r>
        <w:rPr>
          <w:rFonts w:ascii="Times New Roman" w:hAnsi="Times New Roman"/>
          <w:sz w:val="24"/>
        </w:rPr>
        <w:t>оказания услуг</w:t>
      </w:r>
      <w:r>
        <w:rPr>
          <w:rFonts w:ascii="Times New Roman" w:hAnsi="Times New Roman"/>
          <w:sz w:val="24"/>
        </w:rPr>
        <w:t xml:space="preserve"> </w:t>
      </w:r>
      <w:r>
        <w:rPr>
          <w:rFonts w:ascii="Times New Roman" w:hAnsi="Times New Roman"/>
          <w:sz w:val="24"/>
        </w:rPr>
        <w:t xml:space="preserve">или акта с перечнем выявленных недостатков, замечаний и сроком их устранения Исполнитель в течение трех рабочих дней обязан предоставить Заказчику запрашиваемые разъяснения в отношении </w:t>
      </w:r>
      <w:r>
        <w:rPr>
          <w:rFonts w:ascii="Times New Roman" w:hAnsi="Times New Roman"/>
          <w:sz w:val="24"/>
        </w:rPr>
        <w:t>оказания услуг</w:t>
      </w:r>
      <w:r>
        <w:rPr>
          <w:rFonts w:ascii="Times New Roman" w:hAnsi="Times New Roman"/>
          <w:sz w:val="24"/>
        </w:rPr>
        <w:t xml:space="preserve"> </w:t>
      </w:r>
      <w:r>
        <w:rPr>
          <w:rFonts w:ascii="Times New Roman" w:hAnsi="Times New Roman"/>
          <w:sz w:val="24"/>
        </w:rPr>
        <w:t xml:space="preserve">или в срок, установленный в указанном акте, устранить полученные от Заказчика недостатки, замечания и передать Заказчику приведенный в соответствие с предъявленными требования, замечаниями акт об устранении недостатков, замечаний, а также акт </w:t>
      </w:r>
      <w:r>
        <w:rPr>
          <w:rFonts w:ascii="Times New Roman" w:hAnsi="Times New Roman"/>
          <w:spacing w:val="-6"/>
          <w:sz w:val="24"/>
        </w:rPr>
        <w:t>приема-сдачи оказанных услуг</w:t>
      </w:r>
      <w:r>
        <w:rPr>
          <w:rFonts w:ascii="Times New Roman" w:hAnsi="Times New Roman"/>
          <w:sz w:val="24"/>
        </w:rPr>
        <w:t xml:space="preserve"> или универсального передаточного документы (УПД)</w:t>
      </w:r>
      <w:r>
        <w:rPr>
          <w:rFonts w:ascii="Times New Roman" w:hAnsi="Times New Roman"/>
          <w:sz w:val="24"/>
        </w:rPr>
        <w:t xml:space="preserve"> </w:t>
      </w:r>
      <w:r>
        <w:rPr>
          <w:rFonts w:ascii="Times New Roman" w:hAnsi="Times New Roman"/>
          <w:sz w:val="24"/>
        </w:rPr>
        <w:t xml:space="preserve">в двух экземплярах для принятия Заказчиком </w:t>
      </w:r>
      <w:r>
        <w:rPr>
          <w:rFonts w:ascii="Times New Roman" w:hAnsi="Times New Roman"/>
          <w:sz w:val="24"/>
        </w:rPr>
        <w:t>оказанных услуг</w:t>
      </w:r>
      <w:r>
        <w:rPr>
          <w:rFonts w:ascii="Times New Roman" w:hAnsi="Times New Roman"/>
          <w:sz w:val="24"/>
        </w:rPr>
        <w:t>.</w:t>
      </w:r>
    </w:p>
    <w:p w14:paraId="44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sz w:val="24"/>
        </w:rPr>
      </w:pPr>
      <w:r>
        <w:rPr>
          <w:rFonts w:ascii="Times New Roman" w:hAnsi="Times New Roman"/>
          <w:sz w:val="24"/>
        </w:rPr>
        <w:t>4.4. Заказчик в течение 10 рабочих дней со дня получения акта приемки услуг (выполненных работ) или универсального передаточного документы (УПД) работ обязан направить Исполнителю подписанный документы о приемке или мотивированный отказ от приемки работ, оказанных Исполнителем.</w:t>
      </w:r>
    </w:p>
    <w:p w14:paraId="45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sz w:val="24"/>
        </w:rPr>
      </w:pPr>
    </w:p>
    <w:p w14:paraId="46000000">
      <w:pPr>
        <w:pStyle w:val="Style_1"/>
        <w:widowControl w:val="0"/>
        <w:pBdr>
          <w:top w:color="000000" w:space="0" w:sz="4" w:val="nil"/>
          <w:left w:color="000000" w:space="0" w:sz="4" w:val="nil"/>
          <w:bottom w:color="000000" w:space="31" w:sz="4" w:val="nil"/>
          <w:right w:color="000000" w:space="0" w:sz="4" w:val="nil"/>
          <w:between w:space="0" w:val="nil"/>
        </w:pBdr>
        <w:ind/>
        <w:jc w:val="center"/>
        <w:rPr>
          <w:rFonts w:ascii="Times New Roman" w:hAnsi="Times New Roman"/>
          <w:b w:val="1"/>
          <w:sz w:val="24"/>
        </w:rPr>
      </w:pPr>
      <w:r>
        <w:rPr>
          <w:rFonts w:ascii="Times New Roman" w:hAnsi="Times New Roman"/>
          <w:b w:val="1"/>
          <w:sz w:val="24"/>
        </w:rPr>
        <w:t>5. ОТВЕТСТВЕННОСТЬ СТОРОН</w:t>
      </w:r>
    </w:p>
    <w:p w14:paraId="47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5.1. 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05.04.2013 г.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14:paraId="48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5.2.</w:t>
      </w:r>
      <w:r>
        <w:rPr>
          <w:rFonts w:ascii="Times New Roman" w:hAnsi="Times New Roman"/>
          <w:color w:val="000000"/>
          <w:sz w:val="24"/>
        </w:rPr>
        <w:tab/>
      </w:r>
      <w:r>
        <w:rPr>
          <w:rFonts w:ascii="Times New Roman" w:hAnsi="Times New Roman"/>
          <w:color w:val="000000"/>
          <w:sz w:val="24"/>
        </w:rPr>
        <w:t>Ответственность Заказчика за неисполнение или ненадлежащее исполнение обязательств, предусмотренных Договором:</w:t>
      </w:r>
    </w:p>
    <w:p w14:paraId="49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5.2.1.</w:t>
      </w:r>
      <w:r>
        <w:rPr>
          <w:rFonts w:ascii="Times New Roman" w:hAnsi="Times New Roman"/>
          <w:color w:val="000000"/>
          <w:sz w:val="24"/>
        </w:rPr>
        <w:tab/>
      </w:r>
      <w:r>
        <w:rPr>
          <w:rFonts w:ascii="Times New Roman" w:hAnsi="Times New Roman"/>
          <w:color w:val="000000"/>
          <w:sz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4A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5.2.2.</w:t>
      </w:r>
      <w:r>
        <w:rPr>
          <w:rFonts w:ascii="Times New Roman" w:hAnsi="Times New Roman"/>
          <w:color w:val="000000"/>
          <w:sz w:val="24"/>
        </w:rPr>
        <w:tab/>
      </w:r>
      <w:r>
        <w:rPr>
          <w:rFonts w:ascii="Times New Roman" w:hAnsi="Times New Roman"/>
          <w:color w:val="000000"/>
          <w:sz w:val="24"/>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 (в ред. от 02.08.2019 г.).</w:t>
      </w:r>
    </w:p>
    <w:p w14:paraId="4B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5.2.3.</w:t>
      </w:r>
      <w:r>
        <w:rPr>
          <w:rFonts w:ascii="Times New Roman" w:hAnsi="Times New Roman"/>
          <w:color w:val="000000"/>
          <w:sz w:val="24"/>
        </w:rPr>
        <w:tab/>
      </w:r>
      <w:r>
        <w:rPr>
          <w:rFonts w:ascii="Times New Roman" w:hAnsi="Times New Roman"/>
          <w:color w:val="000000"/>
          <w:sz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C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а) 1000 рублей, если цена Договора не превышает 3 млн. рублей (включительно);</w:t>
      </w:r>
    </w:p>
    <w:p w14:paraId="4D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5.2.4.</w:t>
      </w:r>
      <w:r>
        <w:rPr>
          <w:rFonts w:ascii="Times New Roman" w:hAnsi="Times New Roman"/>
          <w:color w:val="000000"/>
          <w:sz w:val="24"/>
        </w:rPr>
        <w:tab/>
      </w:r>
      <w:r>
        <w:rPr>
          <w:rFonts w:ascii="Times New Roman" w:hAnsi="Times New Roman"/>
          <w:color w:val="000000"/>
          <w:sz w:val="24"/>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E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5.3.</w:t>
      </w:r>
      <w:r>
        <w:rPr>
          <w:rFonts w:ascii="Times New Roman" w:hAnsi="Times New Roman"/>
          <w:color w:val="000000"/>
          <w:sz w:val="24"/>
        </w:rPr>
        <w:tab/>
      </w:r>
      <w:r>
        <w:rPr>
          <w:rFonts w:ascii="Times New Roman" w:hAnsi="Times New Roman"/>
          <w:color w:val="000000"/>
          <w:sz w:val="24"/>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4F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5.3.1.</w:t>
      </w:r>
      <w:r>
        <w:rPr>
          <w:rFonts w:ascii="Times New Roman" w:hAnsi="Times New Roman"/>
          <w:color w:val="000000"/>
          <w:sz w:val="24"/>
        </w:rPr>
        <w:tab/>
      </w:r>
      <w:r>
        <w:rPr>
          <w:rFonts w:ascii="Times New Roman" w:hAnsi="Times New Roman"/>
          <w:color w:val="000000"/>
          <w:sz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14:paraId="50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а) 10 процентов цены Договора (этапа) в случае, если цена Договором (этапа) не превышает 3 млн. рублей;</w:t>
      </w:r>
    </w:p>
    <w:p w14:paraId="51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5.3.2.</w:t>
      </w:r>
      <w:r>
        <w:rPr>
          <w:rFonts w:ascii="Times New Roman" w:hAnsi="Times New Roman"/>
          <w:color w:val="000000"/>
          <w:sz w:val="24"/>
        </w:rPr>
        <w:tab/>
      </w:r>
      <w:r>
        <w:rPr>
          <w:rFonts w:ascii="Times New Roman" w:hAnsi="Times New Roman"/>
          <w:color w:val="000000"/>
          <w:sz w:val="24"/>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14:paraId="52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а) 1000 рублей, если цена Договора не превышает 3 млн. рублей;</w:t>
      </w:r>
    </w:p>
    <w:p w14:paraId="53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5.3.3.</w:t>
      </w:r>
      <w:r>
        <w:rPr>
          <w:rFonts w:ascii="Times New Roman" w:hAnsi="Times New Roman"/>
          <w:color w:val="000000"/>
          <w:sz w:val="24"/>
        </w:rPr>
        <w:tab/>
      </w:r>
      <w:r>
        <w:rPr>
          <w:rFonts w:ascii="Times New Roman" w:hAnsi="Times New Roman"/>
          <w:color w:val="000000"/>
          <w:sz w:val="24"/>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4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5.3.4.</w:t>
      </w:r>
      <w:r>
        <w:rPr>
          <w:rFonts w:ascii="Times New Roman" w:hAnsi="Times New Roman"/>
          <w:color w:val="000000"/>
          <w:sz w:val="24"/>
        </w:rPr>
        <w:tab/>
      </w:r>
      <w:r>
        <w:rPr>
          <w:rFonts w:ascii="Times New Roman" w:hAnsi="Times New Roman"/>
          <w:color w:val="000000"/>
          <w:sz w:val="24"/>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55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5.4.</w:t>
      </w:r>
      <w:r>
        <w:rPr>
          <w:rFonts w:ascii="Times New Roman" w:hAnsi="Times New Roman"/>
          <w:color w:val="000000"/>
          <w:sz w:val="24"/>
        </w:rPr>
        <w:tab/>
      </w:r>
      <w:r>
        <w:rPr>
          <w:rFonts w:ascii="Times New Roman" w:hAnsi="Times New Roman"/>
          <w:color w:val="000000"/>
          <w:sz w:val="24"/>
        </w:rPr>
        <w:t>В случае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Исполнителя оплата осуществляется за вычетом соответствующего размера неустоек (штрафов, пеней).</w:t>
      </w:r>
    </w:p>
    <w:p w14:paraId="56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5.5.</w:t>
      </w:r>
      <w:r>
        <w:rPr>
          <w:rFonts w:ascii="Times New Roman" w:hAnsi="Times New Roman"/>
          <w:color w:val="000000"/>
          <w:sz w:val="24"/>
        </w:rPr>
        <w:tab/>
      </w:r>
      <w:r>
        <w:rPr>
          <w:rFonts w:ascii="Times New Roman" w:hAnsi="Times New Roman"/>
          <w:color w:val="000000"/>
          <w:sz w:val="24"/>
        </w:rPr>
        <w:t>Заказчик вправе исполнить обязательство Исполнителя по перечислению неустоек (штрафов, пеней) в доход бюджета в соответствии с законодательством Российской Федерации.</w:t>
      </w:r>
    </w:p>
    <w:p w14:paraId="57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5.6.</w:t>
      </w:r>
      <w:r>
        <w:rPr>
          <w:rFonts w:ascii="Times New Roman" w:hAnsi="Times New Roman"/>
          <w:color w:val="000000"/>
          <w:sz w:val="24"/>
        </w:rPr>
        <w:tab/>
      </w:r>
      <w:r>
        <w:rPr>
          <w:rFonts w:ascii="Times New Roman" w:hAnsi="Times New Roman"/>
          <w:color w:val="000000"/>
          <w:sz w:val="24"/>
        </w:rPr>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14:paraId="58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5.7.</w:t>
      </w:r>
      <w:r>
        <w:rPr>
          <w:rFonts w:ascii="Times New Roman" w:hAnsi="Times New Roman"/>
          <w:color w:val="000000"/>
          <w:sz w:val="24"/>
        </w:rPr>
        <w:tab/>
      </w:r>
      <w:r>
        <w:rPr>
          <w:rFonts w:ascii="Times New Roman" w:hAnsi="Times New Roman"/>
          <w:color w:val="000000"/>
          <w:sz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9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5.8.</w:t>
      </w:r>
      <w:r>
        <w:rPr>
          <w:rFonts w:ascii="Times New Roman" w:hAnsi="Times New Roman"/>
          <w:color w:val="000000"/>
          <w:sz w:val="24"/>
        </w:rPr>
        <w:tab/>
      </w:r>
      <w:r>
        <w:rPr>
          <w:rFonts w:ascii="Times New Roman" w:hAnsi="Times New Roman"/>
          <w:color w:val="000000"/>
          <w:sz w:val="24"/>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Договоре. Претензия может быть направлена Исполнителем, в том числе на адрес электронной почты, указанный в Договоре.</w:t>
      </w:r>
    </w:p>
    <w:p w14:paraId="5A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color w:val="000000"/>
          <w:sz w:val="24"/>
        </w:rPr>
      </w:pPr>
      <w:r>
        <w:rPr>
          <w:rFonts w:ascii="Times New Roman" w:hAnsi="Times New Roman"/>
          <w:color w:val="000000"/>
          <w:sz w:val="24"/>
        </w:rPr>
        <w:t>5.9.</w:t>
      </w:r>
      <w:r>
        <w:rPr>
          <w:rFonts w:ascii="Times New Roman" w:hAnsi="Times New Roman"/>
          <w:color w:val="000000"/>
          <w:sz w:val="24"/>
        </w:rPr>
        <w:tab/>
      </w:r>
      <w:r>
        <w:rPr>
          <w:rFonts w:ascii="Times New Roman" w:hAnsi="Times New Roman"/>
          <w:color w:val="000000"/>
          <w:sz w:val="24"/>
        </w:rPr>
        <w:t>В случае неуплаты Исполнителем сумм штрафов, и Заказчик имеет право осуществить выплату Исполнителю суммы за оказанную услугу, уменьшенную на сумму пени и (или) штрафов.</w:t>
      </w:r>
    </w:p>
    <w:p w14:paraId="5B000000">
      <w:pPr>
        <w:pStyle w:val="Style_1"/>
        <w:widowControl w:val="0"/>
        <w:pBdr>
          <w:top w:color="000000" w:space="0" w:sz="4" w:val="nil"/>
          <w:left w:color="000000" w:space="0" w:sz="4" w:val="nil"/>
          <w:bottom w:color="000000" w:space="31" w:sz="4" w:val="nil"/>
          <w:right w:color="000000" w:space="0" w:sz="4" w:val="nil"/>
          <w:between w:space="0" w:val="nil"/>
        </w:pBdr>
        <w:ind w:firstLine="709"/>
        <w:jc w:val="both"/>
        <w:rPr>
          <w:rFonts w:ascii="Times New Roman" w:hAnsi="Times New Roman"/>
          <w:sz w:val="24"/>
        </w:rPr>
      </w:pPr>
      <w:r>
        <w:rPr>
          <w:rFonts w:ascii="Times New Roman" w:hAnsi="Times New Roman"/>
          <w:color w:val="000000"/>
          <w:sz w:val="24"/>
        </w:rPr>
        <w:t>5.10.</w:t>
      </w:r>
      <w:r>
        <w:rPr>
          <w:rFonts w:ascii="Times New Roman" w:hAnsi="Times New Roman"/>
          <w:color w:val="000000"/>
          <w:sz w:val="24"/>
        </w:rPr>
        <w:tab/>
      </w:r>
      <w:r>
        <w:rPr>
          <w:rFonts w:ascii="Times New Roman" w:hAnsi="Times New Roman"/>
          <w:color w:val="000000"/>
          <w:sz w:val="24"/>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5C000000">
      <w:pPr>
        <w:widowControl w:val="0"/>
        <w:ind/>
        <w:jc w:val="both"/>
        <w:rPr>
          <w:rFonts w:ascii="Times New Roman" w:hAnsi="Times New Roman"/>
          <w:sz w:val="24"/>
        </w:rPr>
      </w:pPr>
    </w:p>
    <w:p w14:paraId="5D000000">
      <w:pPr>
        <w:widowControl w:val="1"/>
        <w:ind/>
        <w:jc w:val="center"/>
        <w:rPr>
          <w:rFonts w:ascii="Times New Roman" w:hAnsi="Times New Roman"/>
          <w:sz w:val="24"/>
        </w:rPr>
      </w:pPr>
      <w:r>
        <w:rPr>
          <w:rFonts w:ascii="Times New Roman" w:hAnsi="Times New Roman"/>
          <w:b w:val="1"/>
          <w:sz w:val="24"/>
        </w:rPr>
        <w:t>6. ПОРЯДОК ИЗМЕНЕНИЯ И РАСТОРЖЕНИЯ ДОГОВОРА</w:t>
      </w:r>
    </w:p>
    <w:p w14:paraId="5E000000">
      <w:pPr>
        <w:pStyle w:val="Style_6"/>
        <w:widowControl w:val="1"/>
        <w:spacing w:after="0" w:line="240" w:lineRule="auto"/>
        <w:ind w:firstLine="709"/>
        <w:jc w:val="both"/>
        <w:outlineLvl w:val="8"/>
        <w:rPr>
          <w:rFonts w:ascii="Times New Roman" w:hAnsi="Times New Roman"/>
          <w:b w:val="0"/>
          <w:color w:val="000000"/>
          <w:sz w:val="24"/>
        </w:rPr>
      </w:pPr>
      <w:r>
        <w:rPr>
          <w:rFonts w:ascii="Times New Roman" w:hAnsi="Times New Roman"/>
          <w:b w:val="0"/>
          <w:color w:val="000000"/>
          <w:sz w:val="24"/>
        </w:rPr>
        <w:t xml:space="preserve">6.1. При заключении и исполнении Договора изменение его условий в одностороннем порядке не допускается. </w:t>
      </w:r>
    </w:p>
    <w:p w14:paraId="5F000000">
      <w:pPr>
        <w:pStyle w:val="Style_6"/>
        <w:widowControl w:val="1"/>
        <w:spacing w:after="0" w:line="240" w:lineRule="auto"/>
        <w:ind w:firstLine="709"/>
        <w:jc w:val="both"/>
        <w:outlineLvl w:val="8"/>
        <w:rPr>
          <w:rFonts w:ascii="Times New Roman" w:hAnsi="Times New Roman"/>
          <w:b w:val="0"/>
          <w:color w:val="000000"/>
          <w:sz w:val="24"/>
        </w:rPr>
      </w:pPr>
      <w:r>
        <w:rPr>
          <w:rFonts w:ascii="Times New Roman" w:hAnsi="Times New Roman"/>
          <w:b w:val="0"/>
          <w:color w:val="000000"/>
          <w:sz w:val="24"/>
        </w:rPr>
        <w:t>Договор может быть изменен по соглашению Сторон по основаниям, предусмотренным действующим законодательством.</w:t>
      </w:r>
    </w:p>
    <w:p w14:paraId="60000000">
      <w:pPr>
        <w:pStyle w:val="Style_6"/>
        <w:widowControl w:val="1"/>
        <w:spacing w:after="0" w:line="240" w:lineRule="auto"/>
        <w:ind w:firstLine="709"/>
        <w:jc w:val="both"/>
        <w:outlineLvl w:val="8"/>
        <w:rPr>
          <w:rFonts w:ascii="Times New Roman" w:hAnsi="Times New Roman"/>
          <w:b w:val="0"/>
          <w:color w:val="000000"/>
          <w:sz w:val="24"/>
        </w:rPr>
      </w:pPr>
      <w:r>
        <w:rPr>
          <w:rFonts w:ascii="Times New Roman" w:hAnsi="Times New Roman"/>
          <w:b w:val="0"/>
          <w:color w:val="000000"/>
          <w:sz w:val="24"/>
        </w:rPr>
        <w:t>6.2. Все изменения и дополнения к Договора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14:paraId="61000000">
      <w:pPr>
        <w:pStyle w:val="Style_6"/>
        <w:widowControl w:val="1"/>
        <w:spacing w:after="0" w:line="240" w:lineRule="auto"/>
        <w:ind w:firstLine="709"/>
        <w:jc w:val="both"/>
        <w:outlineLvl w:val="8"/>
        <w:rPr>
          <w:rFonts w:ascii="Times New Roman" w:hAnsi="Times New Roman"/>
          <w:b w:val="0"/>
          <w:color w:val="000000"/>
          <w:sz w:val="24"/>
        </w:rPr>
      </w:pPr>
      <w:r>
        <w:rPr>
          <w:rFonts w:ascii="Times New Roman" w:hAnsi="Times New Roman"/>
          <w:b w:val="0"/>
          <w:color w:val="000000"/>
          <w:sz w:val="24"/>
        </w:rPr>
        <w:t>6.3.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62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6.4. В случае перемены Заказчика по Договору права и обязанности Заказчика по данному Договору переходят к новому Заказчику в том же объеме и на тех же условиях.</w:t>
      </w:r>
    </w:p>
    <w:p w14:paraId="63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6.5. Договор может быть расторгнут:</w:t>
      </w:r>
    </w:p>
    <w:p w14:paraId="64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 по соглашению Сторон;</w:t>
      </w:r>
    </w:p>
    <w:p w14:paraId="65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 по решению суда по основаниям, предусмотренным гражданским законодательством;</w:t>
      </w:r>
    </w:p>
    <w:p w14:paraId="66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 в связи с односторонним отказом от исполнения Договора в соответствии с гражданским законодательством и в соответствии с положениями ч. 8-25 ст.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67000000">
      <w:pPr>
        <w:pStyle w:val="Style_6"/>
        <w:widowControl w:val="1"/>
        <w:spacing w:after="0" w:line="240" w:lineRule="auto"/>
        <w:ind/>
        <w:rPr>
          <w:rFonts w:ascii="Times New Roman" w:hAnsi="Times New Roman"/>
          <w:color w:val="000000"/>
          <w:sz w:val="24"/>
        </w:rPr>
      </w:pPr>
    </w:p>
    <w:p w14:paraId="68000000">
      <w:pPr>
        <w:pStyle w:val="Style_6"/>
        <w:widowControl w:val="1"/>
        <w:spacing w:after="0" w:line="240" w:lineRule="auto"/>
        <w:ind/>
        <w:rPr>
          <w:rFonts w:ascii="Times New Roman" w:hAnsi="Times New Roman"/>
          <w:color w:val="000000"/>
          <w:sz w:val="24"/>
        </w:rPr>
      </w:pPr>
      <w:r>
        <w:rPr>
          <w:rFonts w:ascii="Times New Roman" w:hAnsi="Times New Roman"/>
          <w:color w:val="000000"/>
          <w:sz w:val="24"/>
        </w:rPr>
        <w:t>7. ОБСТОЯТЕЛЬСТВА НЕПРЕОДОЛИМОЙ СИЛЫ</w:t>
      </w:r>
    </w:p>
    <w:p w14:paraId="69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7.1. 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то есть чрезвычайных и не предотвратимых при данных условиях обстоятельствах, возникших помимо воли Сторон после заключения Договора. При этом срок выполнения обязательств по Договору сдвигается соразмерно времени, в течение которого действовали такие обстоятельства и их последствия.</w:t>
      </w:r>
    </w:p>
    <w:p w14:paraId="6A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7.2. Сторона, для которой создалась невозможность выполнения обязательств по Договору, обязана о наступлении и прекращении вышеуказанных обстоятельств немедленно письменно известить другую Сторону.</w:t>
      </w:r>
    </w:p>
    <w:p w14:paraId="6B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7.3. В случае, если обстоятельства непреодолимой силы продолжаются более 6 месяцев, каждая из Сторон вправе требовать расторжения Договора без возмещения убытков.</w:t>
      </w:r>
    </w:p>
    <w:p w14:paraId="6C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7.4. Виновная Сторона освобождается от ответственности за частичное или полное неисполнение обязательств по Договору, если докажет, что ненадлежащее исполнение ею обязательств по Договору оказалось невозможным вследствие обстоятельств неодолимой силы. Обстоятельства непреодолимой силы определяются в соответствии с законодательством Российской Федерации.</w:t>
      </w:r>
    </w:p>
    <w:p w14:paraId="6D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 xml:space="preserve">7.5. Даты возникновения и окончания обстоятельств непреодолимой силы, их описание и по следствия для Сторон фиксируется в специальном акте, который подписывают Стороны. Специальный акт является основанием для внесения изменений в календарный график поставки товара. Сроки начала и окончания поставок товара могут </w:t>
      </w:r>
      <w:r>
        <w:rPr>
          <w:rFonts w:ascii="Times New Roman" w:hAnsi="Times New Roman"/>
          <w:b w:val="0"/>
          <w:color w:val="000000"/>
          <w:sz w:val="24"/>
        </w:rPr>
        <w:t>быть сдвинуты на срок действия обстоятельств непреодолимой силы, указанный в специальном акте.</w:t>
      </w:r>
    </w:p>
    <w:p w14:paraId="6E000000">
      <w:pPr>
        <w:pStyle w:val="Style_6"/>
        <w:widowControl w:val="1"/>
        <w:spacing w:after="0" w:line="240" w:lineRule="auto"/>
        <w:ind/>
        <w:rPr>
          <w:rFonts w:ascii="Times New Roman" w:hAnsi="Times New Roman"/>
          <w:color w:val="000000"/>
          <w:sz w:val="24"/>
        </w:rPr>
      </w:pPr>
    </w:p>
    <w:p w14:paraId="6F000000">
      <w:pPr>
        <w:pStyle w:val="Style_6"/>
        <w:widowControl w:val="1"/>
        <w:spacing w:after="0" w:line="240" w:lineRule="auto"/>
        <w:ind/>
        <w:rPr>
          <w:rFonts w:ascii="Times New Roman" w:hAnsi="Times New Roman"/>
          <w:color w:val="000000"/>
          <w:sz w:val="24"/>
        </w:rPr>
      </w:pPr>
      <w:r>
        <w:rPr>
          <w:rFonts w:ascii="Times New Roman" w:hAnsi="Times New Roman"/>
          <w:color w:val="000000"/>
          <w:sz w:val="24"/>
        </w:rPr>
        <w:t>8. ПОРЯДОК УРЕГУЛИРОВАНИЯ СПОРОВ</w:t>
      </w:r>
    </w:p>
    <w:p w14:paraId="70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8.1.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14:paraId="71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8.2.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72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Претензионный порядок досудебного урегулирования споров, вытекающих из Договора, является для Сторон обязательным.</w:t>
      </w:r>
    </w:p>
    <w:p w14:paraId="73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8.3. Срок рассмотрения писем, уведомлений или претензий не может превышать 10 (десять) календарных дней со дня их получения.</w:t>
      </w:r>
    </w:p>
    <w:p w14:paraId="74000000">
      <w:pPr>
        <w:pStyle w:val="Style_6"/>
        <w:widowControl w:val="1"/>
        <w:spacing w:after="0" w:line="240" w:lineRule="auto"/>
        <w:ind w:firstLine="709"/>
        <w:jc w:val="both"/>
        <w:rPr>
          <w:rFonts w:ascii="Times New Roman" w:hAnsi="Times New Roman"/>
          <w:b w:val="0"/>
          <w:color w:val="000000"/>
          <w:sz w:val="24"/>
        </w:rPr>
      </w:pPr>
      <w:r>
        <w:rPr>
          <w:rFonts w:ascii="Times New Roman" w:hAnsi="Times New Roman"/>
          <w:b w:val="0"/>
          <w:color w:val="000000"/>
          <w:sz w:val="24"/>
        </w:rPr>
        <w:t>8.4.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14:paraId="75000000">
      <w:pPr>
        <w:pStyle w:val="Style_6"/>
        <w:widowControl w:val="1"/>
        <w:spacing w:after="0" w:line="240" w:lineRule="auto"/>
        <w:ind w:firstLine="709"/>
        <w:jc w:val="both"/>
        <w:rPr>
          <w:rFonts w:ascii="Times New Roman" w:hAnsi="Times New Roman"/>
          <w:b w:val="0"/>
          <w:color w:val="000000"/>
          <w:sz w:val="24"/>
        </w:rPr>
      </w:pPr>
    </w:p>
    <w:p w14:paraId="76000000">
      <w:pPr>
        <w:pStyle w:val="Style_6"/>
        <w:widowControl w:val="1"/>
        <w:spacing w:after="0" w:line="240" w:lineRule="auto"/>
        <w:ind w:firstLine="709"/>
        <w:outlineLvl w:val="8"/>
        <w:rPr>
          <w:rFonts w:ascii="Times New Roman" w:hAnsi="Times New Roman"/>
          <w:color w:val="000000"/>
          <w:sz w:val="24"/>
        </w:rPr>
      </w:pPr>
      <w:r>
        <w:rPr>
          <w:rFonts w:ascii="Times New Roman" w:hAnsi="Times New Roman"/>
          <w:color w:val="000000"/>
          <w:sz w:val="24"/>
        </w:rPr>
        <w:t>9. УВЕДОМЛЕНИЯ И ИЗВЕЩЕНИЯ</w:t>
      </w:r>
    </w:p>
    <w:p w14:paraId="77000000">
      <w:pPr>
        <w:pStyle w:val="Style_6"/>
        <w:widowControl w:val="1"/>
        <w:spacing w:after="0" w:line="240" w:lineRule="auto"/>
        <w:ind w:firstLine="709"/>
        <w:jc w:val="both"/>
        <w:outlineLvl w:val="8"/>
        <w:rPr>
          <w:rFonts w:ascii="Times New Roman" w:hAnsi="Times New Roman"/>
          <w:b w:val="0"/>
          <w:color w:val="000000"/>
          <w:sz w:val="24"/>
        </w:rPr>
      </w:pPr>
      <w:r>
        <w:rPr>
          <w:rFonts w:ascii="Times New Roman" w:hAnsi="Times New Roman"/>
          <w:b w:val="0"/>
          <w:color w:val="000000"/>
          <w:sz w:val="24"/>
        </w:rPr>
        <w:t>9.1. Все уведомления и извещения, необходимые в соответствии с Договором, совершаются в письменной форме и должны быть переданы лично или направлены через ФГУП «Почта России», либо электронным сообщением, с последующим предоставлением оригинала или курьером по месту нахождения Сторон.</w:t>
      </w:r>
    </w:p>
    <w:p w14:paraId="78000000">
      <w:pPr>
        <w:pStyle w:val="Style_6"/>
        <w:widowControl w:val="1"/>
        <w:spacing w:after="0" w:line="240" w:lineRule="auto"/>
        <w:ind w:firstLine="709"/>
        <w:jc w:val="both"/>
        <w:outlineLvl w:val="8"/>
        <w:rPr>
          <w:rFonts w:ascii="Times New Roman" w:hAnsi="Times New Roman"/>
          <w:b w:val="0"/>
          <w:color w:val="000000"/>
          <w:sz w:val="24"/>
        </w:rPr>
      </w:pPr>
      <w:r>
        <w:rPr>
          <w:rFonts w:ascii="Times New Roman" w:hAnsi="Times New Roman"/>
          <w:b w:val="0"/>
          <w:color w:val="000000"/>
          <w:sz w:val="24"/>
        </w:rPr>
        <w:t>9.2. Уведомления и извещения направляются за счет уведомляющей Стороны.</w:t>
      </w:r>
    </w:p>
    <w:p w14:paraId="79000000">
      <w:pPr>
        <w:pStyle w:val="Style_6"/>
        <w:widowControl w:val="1"/>
        <w:spacing w:after="0" w:line="240" w:lineRule="auto"/>
        <w:ind w:firstLine="709"/>
        <w:jc w:val="both"/>
        <w:outlineLvl w:val="8"/>
        <w:rPr>
          <w:rFonts w:ascii="Times New Roman" w:hAnsi="Times New Roman"/>
          <w:b w:val="0"/>
          <w:color w:val="000000"/>
          <w:sz w:val="24"/>
        </w:rPr>
      </w:pPr>
      <w:r>
        <w:rPr>
          <w:rFonts w:ascii="Times New Roman" w:hAnsi="Times New Roman"/>
          <w:b w:val="0"/>
          <w:color w:val="000000"/>
          <w:sz w:val="24"/>
        </w:rPr>
        <w:t>9.3.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w:t>
      </w:r>
    </w:p>
    <w:p w14:paraId="7A000000">
      <w:pPr>
        <w:pStyle w:val="Style_6"/>
        <w:widowControl w:val="1"/>
        <w:spacing w:after="0" w:line="240" w:lineRule="auto"/>
        <w:ind w:firstLine="709"/>
        <w:jc w:val="both"/>
        <w:outlineLvl w:val="8"/>
        <w:rPr>
          <w:rFonts w:ascii="Times New Roman" w:hAnsi="Times New Roman"/>
          <w:b w:val="0"/>
          <w:color w:val="000000"/>
          <w:sz w:val="24"/>
        </w:rPr>
      </w:pPr>
      <w:r>
        <w:rPr>
          <w:rFonts w:ascii="Times New Roman" w:hAnsi="Times New Roman"/>
          <w:b w:val="0"/>
          <w:color w:val="000000"/>
          <w:sz w:val="24"/>
        </w:rPr>
        <w:t>9.4. Извещение или уведомление, направленное Стороне через ФГУП «Почта России»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7B000000">
      <w:pPr>
        <w:widowControl w:val="0"/>
        <w:ind/>
        <w:jc w:val="both"/>
        <w:rPr>
          <w:rFonts w:ascii="Times New Roman" w:hAnsi="Times New Roman"/>
          <w:sz w:val="24"/>
        </w:rPr>
      </w:pPr>
    </w:p>
    <w:p w14:paraId="7C000000">
      <w:pPr>
        <w:widowControl w:val="1"/>
        <w:ind/>
        <w:jc w:val="center"/>
        <w:rPr>
          <w:rFonts w:ascii="Times New Roman" w:hAnsi="Times New Roman"/>
          <w:b w:val="1"/>
          <w:sz w:val="24"/>
        </w:rPr>
      </w:pPr>
      <w:r>
        <w:rPr>
          <w:rFonts w:ascii="Times New Roman" w:hAnsi="Times New Roman"/>
          <w:b w:val="1"/>
          <w:sz w:val="24"/>
        </w:rPr>
        <w:t>10. СРОК ДЕЙСТВИЯ ДОГОВОРА</w:t>
      </w:r>
    </w:p>
    <w:p w14:paraId="7D000000">
      <w:pPr>
        <w:widowControl w:val="1"/>
        <w:ind w:firstLine="709"/>
        <w:jc w:val="both"/>
        <w:rPr>
          <w:rFonts w:ascii="Times New Roman" w:hAnsi="Times New Roman"/>
          <w:sz w:val="24"/>
        </w:rPr>
      </w:pPr>
      <w:r>
        <w:rPr>
          <w:rFonts w:ascii="Times New Roman" w:hAnsi="Times New Roman"/>
          <w:sz w:val="24"/>
        </w:rPr>
        <w:t>10.1.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Договору не позднее 30 декабря 2026 года.</w:t>
      </w:r>
    </w:p>
    <w:p w14:paraId="7E000000">
      <w:pPr>
        <w:widowControl w:val="1"/>
        <w:ind w:firstLine="709"/>
        <w:jc w:val="both"/>
        <w:rPr>
          <w:rFonts w:ascii="Times New Roman" w:hAnsi="Times New Roman"/>
          <w:sz w:val="24"/>
        </w:rPr>
      </w:pPr>
      <w:r>
        <w:rPr>
          <w:rFonts w:ascii="Times New Roman" w:hAnsi="Times New Roman"/>
          <w:sz w:val="24"/>
        </w:rPr>
        <w:t xml:space="preserve">10.2. </w:t>
      </w:r>
      <w:r>
        <w:rPr>
          <w:rFonts w:ascii="Times New Roman" w:hAnsi="Times New Roman"/>
          <w:color w:val="000000"/>
          <w:sz w:val="24"/>
        </w:rPr>
        <w:t>Окончание срока действия настоящего договора не освобождает Стороны от ответственности за его нарушение.</w:t>
      </w:r>
    </w:p>
    <w:p w14:paraId="7F000000">
      <w:pPr>
        <w:widowControl w:val="0"/>
        <w:ind w:firstLine="709"/>
        <w:jc w:val="both"/>
        <w:rPr>
          <w:rFonts w:ascii="Times New Roman" w:hAnsi="Times New Roman"/>
          <w:sz w:val="24"/>
        </w:rPr>
      </w:pPr>
      <w:r>
        <w:rPr>
          <w:rFonts w:ascii="Times New Roman" w:hAnsi="Times New Roman"/>
          <w:sz w:val="24"/>
        </w:rPr>
        <w:t>10.3. В случае расторжения Договора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Договора.</w:t>
      </w:r>
    </w:p>
    <w:p w14:paraId="80000000">
      <w:pPr>
        <w:widowControl w:val="0"/>
        <w:ind/>
        <w:jc w:val="both"/>
        <w:rPr>
          <w:sz w:val="24"/>
        </w:rPr>
      </w:pPr>
    </w:p>
    <w:p w14:paraId="81000000">
      <w:pPr>
        <w:widowControl w:val="1"/>
        <w:tabs>
          <w:tab w:leader="none" w:pos="8505" w:val="left"/>
        </w:tabs>
        <w:ind/>
        <w:jc w:val="center"/>
        <w:rPr>
          <w:rFonts w:ascii="Times New Roman" w:hAnsi="Times New Roman"/>
          <w:b w:val="1"/>
          <w:spacing w:val="-6"/>
          <w:sz w:val="24"/>
        </w:rPr>
      </w:pPr>
      <w:r>
        <w:rPr>
          <w:rFonts w:ascii="Times New Roman" w:hAnsi="Times New Roman"/>
          <w:b w:val="1"/>
          <w:spacing w:val="-6"/>
          <w:sz w:val="24"/>
        </w:rPr>
        <w:t>11</w:t>
      </w:r>
      <w:r>
        <w:rPr>
          <w:rFonts w:ascii="Times New Roman" w:hAnsi="Times New Roman"/>
          <w:b w:val="1"/>
          <w:spacing w:val="-6"/>
          <w:sz w:val="24"/>
        </w:rPr>
        <w:t>. ГАРАНТИИ</w:t>
      </w:r>
    </w:p>
    <w:p w14:paraId="82000000">
      <w:pPr>
        <w:pStyle w:val="Style_1"/>
        <w:widowControl w:val="1"/>
        <w:ind w:firstLine="709"/>
        <w:jc w:val="both"/>
        <w:rPr>
          <w:rFonts w:ascii="Times New Roman" w:hAnsi="Times New Roman"/>
          <w:sz w:val="24"/>
        </w:rPr>
      </w:pPr>
      <w:r>
        <w:rPr>
          <w:rFonts w:ascii="Times New Roman" w:hAnsi="Times New Roman"/>
          <w:spacing w:val="-6"/>
          <w:sz w:val="24"/>
        </w:rPr>
        <w:t>11</w:t>
      </w:r>
      <w:r>
        <w:rPr>
          <w:rFonts w:ascii="Times New Roman" w:hAnsi="Times New Roman"/>
          <w:spacing w:val="-6"/>
          <w:sz w:val="24"/>
        </w:rPr>
        <w:t xml:space="preserve">.1. </w:t>
      </w:r>
      <w:r>
        <w:rPr>
          <w:rFonts w:ascii="Times New Roman" w:hAnsi="Times New Roman"/>
          <w:sz w:val="24"/>
        </w:rPr>
        <w:t>Заказчик</w:t>
      </w:r>
      <w:r>
        <w:rPr>
          <w:rFonts w:ascii="Times New Roman" w:hAnsi="Times New Roman"/>
          <w:sz w:val="24"/>
        </w:rPr>
        <w:t xml:space="preserve"> поручает проведение оценки по </w:t>
      </w:r>
      <w:r>
        <w:rPr>
          <w:rFonts w:ascii="Times New Roman" w:hAnsi="Times New Roman"/>
          <w:sz w:val="24"/>
        </w:rPr>
        <w:t>Договору</w:t>
      </w:r>
      <w:r>
        <w:rPr>
          <w:rFonts w:ascii="Times New Roman" w:hAnsi="Times New Roman"/>
          <w:sz w:val="24"/>
        </w:rPr>
        <w:t xml:space="preserve"> </w:t>
      </w:r>
      <w:r>
        <w:rPr>
          <w:rFonts w:ascii="Times New Roman" w:hAnsi="Times New Roman"/>
          <w:sz w:val="24"/>
          <w:highlight w:val="yellow"/>
        </w:rPr>
        <w:t>____________</w:t>
      </w:r>
      <w:r>
        <w:rPr>
          <w:rFonts w:ascii="Times New Roman" w:hAnsi="Times New Roman"/>
          <w:sz w:val="24"/>
        </w:rPr>
        <w:t>:</w:t>
      </w:r>
    </w:p>
    <w:p w14:paraId="83000000">
      <w:pPr>
        <w:pStyle w:val="Style_1"/>
        <w:widowControl w:val="1"/>
        <w:numPr>
          <w:ilvl w:val="0"/>
          <w:numId w:val="1"/>
        </w:numPr>
        <w:ind w:firstLine="709" w:left="0"/>
        <w:jc w:val="both"/>
        <w:rPr>
          <w:rFonts w:ascii="Times New Roman" w:hAnsi="Times New Roman"/>
          <w:sz w:val="24"/>
        </w:rPr>
      </w:pPr>
      <w:r>
        <w:rPr>
          <w:rFonts w:ascii="Times New Roman" w:hAnsi="Times New Roman"/>
          <w:sz w:val="24"/>
        </w:rPr>
        <w:t xml:space="preserve">Член СО СРО </w:t>
      </w:r>
      <w:r>
        <w:rPr>
          <w:rFonts w:ascii="Times New Roman" w:hAnsi="Times New Roman"/>
          <w:sz w:val="24"/>
          <w:highlight w:val="yellow"/>
        </w:rPr>
        <w:t>______________</w:t>
      </w:r>
      <w:r>
        <w:rPr>
          <w:rFonts w:ascii="Times New Roman" w:hAnsi="Times New Roman"/>
          <w:sz w:val="24"/>
          <w:highlight w:val="yellow"/>
        </w:rPr>
        <w:t>;</w:t>
      </w:r>
    </w:p>
    <w:p w14:paraId="84000000">
      <w:pPr>
        <w:pStyle w:val="Style_1"/>
        <w:widowControl w:val="1"/>
        <w:numPr>
          <w:ilvl w:val="0"/>
          <w:numId w:val="1"/>
        </w:numPr>
        <w:ind w:firstLine="709" w:left="0"/>
        <w:jc w:val="both"/>
        <w:rPr>
          <w:rFonts w:ascii="Times New Roman" w:hAnsi="Times New Roman"/>
          <w:sz w:val="24"/>
        </w:rPr>
      </w:pPr>
      <w:r>
        <w:rPr>
          <w:rFonts w:ascii="Times New Roman" w:hAnsi="Times New Roman"/>
          <w:sz w:val="24"/>
        </w:rPr>
        <w:t xml:space="preserve">Стаж работы в области оценочной деятельности с </w:t>
      </w:r>
      <w:r>
        <w:rPr>
          <w:rFonts w:ascii="Times New Roman" w:hAnsi="Times New Roman"/>
          <w:sz w:val="24"/>
          <w:highlight w:val="yellow"/>
        </w:rPr>
        <w:t>_______</w:t>
      </w:r>
      <w:r>
        <w:rPr>
          <w:rFonts w:ascii="Times New Roman" w:hAnsi="Times New Roman"/>
          <w:sz w:val="24"/>
          <w:highlight w:val="yellow"/>
        </w:rPr>
        <w:t>;</w:t>
      </w:r>
    </w:p>
    <w:p w14:paraId="85000000">
      <w:pPr>
        <w:pStyle w:val="Style_1"/>
        <w:widowControl w:val="1"/>
        <w:numPr>
          <w:ilvl w:val="0"/>
          <w:numId w:val="1"/>
        </w:numPr>
        <w:ind w:firstLine="709" w:left="0"/>
        <w:jc w:val="both"/>
        <w:rPr>
          <w:rFonts w:ascii="Times New Roman" w:hAnsi="Times New Roman"/>
          <w:sz w:val="24"/>
        </w:rPr>
      </w:pPr>
      <w:r>
        <w:rPr>
          <w:rFonts w:ascii="Times New Roman" w:hAnsi="Times New Roman"/>
          <w:sz w:val="24"/>
        </w:rPr>
        <w:t xml:space="preserve">Диплом </w:t>
      </w:r>
      <w:r>
        <w:rPr>
          <w:rFonts w:ascii="Times New Roman" w:hAnsi="Times New Roman"/>
          <w:sz w:val="24"/>
          <w:highlight w:val="yellow"/>
        </w:rPr>
        <w:t>____________;</w:t>
      </w:r>
    </w:p>
    <w:p w14:paraId="86000000">
      <w:pPr>
        <w:pStyle w:val="Style_1"/>
        <w:widowControl w:val="1"/>
        <w:numPr>
          <w:ilvl w:val="0"/>
          <w:numId w:val="1"/>
        </w:numPr>
        <w:ind w:firstLine="709" w:left="0"/>
        <w:jc w:val="both"/>
        <w:rPr>
          <w:rFonts w:ascii="Times New Roman" w:hAnsi="Times New Roman"/>
          <w:sz w:val="24"/>
          <w:highlight w:val="yellow"/>
        </w:rPr>
      </w:pPr>
      <w:r>
        <w:rPr>
          <w:rFonts w:ascii="Times New Roman" w:hAnsi="Times New Roman"/>
          <w:sz w:val="24"/>
        </w:rPr>
        <w:t xml:space="preserve">Квалификационный </w:t>
      </w:r>
      <w:r>
        <w:rPr>
          <w:rFonts w:ascii="Times New Roman" w:hAnsi="Times New Roman"/>
          <w:sz w:val="24"/>
        </w:rPr>
        <w:t xml:space="preserve">аттестат в области оценочной деятельности </w:t>
      </w:r>
      <w:r>
        <w:rPr>
          <w:rFonts w:ascii="Times New Roman" w:hAnsi="Times New Roman"/>
          <w:sz w:val="24"/>
          <w:highlight w:val="yellow"/>
        </w:rPr>
        <w:t>____________.</w:t>
      </w:r>
    </w:p>
    <w:p w14:paraId="87000000">
      <w:pPr>
        <w:widowControl w:val="1"/>
        <w:ind w:firstLine="709"/>
        <w:jc w:val="both"/>
        <w:rPr>
          <w:rFonts w:ascii="Times New Roman" w:hAnsi="Times New Roman"/>
          <w:spacing w:val="-6"/>
          <w:sz w:val="24"/>
        </w:rPr>
      </w:pPr>
      <w:r>
        <w:rPr>
          <w:rFonts w:ascii="Times New Roman" w:hAnsi="Times New Roman"/>
          <w:spacing w:val="-6"/>
          <w:sz w:val="24"/>
        </w:rPr>
        <w:t>11</w:t>
      </w:r>
      <w:r>
        <w:rPr>
          <w:rFonts w:ascii="Times New Roman" w:hAnsi="Times New Roman"/>
          <w:spacing w:val="-6"/>
          <w:sz w:val="24"/>
        </w:rPr>
        <w:t xml:space="preserve">.2. Ответственность оценщика </w:t>
      </w:r>
      <w:r>
        <w:rPr>
          <w:rFonts w:ascii="Times New Roman" w:hAnsi="Times New Roman"/>
          <w:spacing w:val="-6"/>
          <w:sz w:val="24"/>
          <w:highlight w:val="yellow"/>
        </w:rPr>
        <w:t>___________</w:t>
      </w:r>
      <w:r>
        <w:rPr>
          <w:rFonts w:ascii="Times New Roman" w:hAnsi="Times New Roman"/>
          <w:spacing w:val="-6"/>
          <w:sz w:val="24"/>
        </w:rPr>
        <w:t xml:space="preserve"> застрахована в </w:t>
      </w:r>
      <w:r>
        <w:rPr>
          <w:rFonts w:ascii="Times New Roman" w:hAnsi="Times New Roman"/>
          <w:spacing w:val="-6"/>
          <w:sz w:val="24"/>
          <w:highlight w:val="yellow"/>
        </w:rPr>
        <w:t>_______</w:t>
      </w:r>
      <w:r>
        <w:rPr>
          <w:rFonts w:ascii="Times New Roman" w:hAnsi="Times New Roman"/>
          <w:spacing w:val="-6"/>
          <w:sz w:val="24"/>
        </w:rPr>
        <w:t xml:space="preserve"> (ОГРН </w:t>
      </w:r>
      <w:r>
        <w:rPr>
          <w:rFonts w:ascii="Times New Roman" w:hAnsi="Times New Roman"/>
          <w:spacing w:val="-6"/>
          <w:sz w:val="24"/>
          <w:highlight w:val="yellow"/>
        </w:rPr>
        <w:t>___________</w:t>
      </w:r>
      <w:r>
        <w:rPr>
          <w:rFonts w:ascii="Times New Roman" w:hAnsi="Times New Roman"/>
          <w:spacing w:val="-6"/>
          <w:sz w:val="24"/>
        </w:rPr>
        <w:t>,</w:t>
      </w:r>
      <w:r>
        <w:rPr>
          <w:rFonts w:ascii="Times New Roman" w:hAnsi="Times New Roman"/>
          <w:spacing w:val="-6"/>
          <w:sz w:val="24"/>
        </w:rPr>
        <w:t xml:space="preserve"> ИНН </w:t>
      </w:r>
      <w:r>
        <w:rPr>
          <w:rFonts w:ascii="Times New Roman" w:hAnsi="Times New Roman"/>
          <w:spacing w:val="-6"/>
          <w:sz w:val="24"/>
          <w:highlight w:val="yellow"/>
        </w:rPr>
        <w:t>___________</w:t>
      </w:r>
      <w:r>
        <w:rPr>
          <w:rFonts w:ascii="Times New Roman" w:hAnsi="Times New Roman"/>
          <w:spacing w:val="-6"/>
          <w:sz w:val="24"/>
        </w:rPr>
        <w:t xml:space="preserve">), страховой полис серия № </w:t>
      </w:r>
      <w:r>
        <w:rPr>
          <w:rFonts w:ascii="Times New Roman" w:hAnsi="Times New Roman"/>
          <w:spacing w:val="-6"/>
          <w:sz w:val="24"/>
          <w:highlight w:val="yellow"/>
        </w:rPr>
        <w:t>___________</w:t>
      </w:r>
      <w:r>
        <w:rPr>
          <w:rFonts w:ascii="Times New Roman" w:hAnsi="Times New Roman"/>
          <w:spacing w:val="-6"/>
          <w:sz w:val="24"/>
        </w:rPr>
        <w:t xml:space="preserve"> обязательного страхования ответственности оценщика,  страховая сумма </w:t>
      </w:r>
      <w:r>
        <w:rPr>
          <w:rFonts w:ascii="Times New Roman" w:hAnsi="Times New Roman"/>
          <w:spacing w:val="-6"/>
          <w:sz w:val="24"/>
          <w:highlight w:val="yellow"/>
        </w:rPr>
        <w:t>___________</w:t>
      </w:r>
      <w:r>
        <w:rPr>
          <w:rFonts w:ascii="Times New Roman" w:hAnsi="Times New Roman"/>
          <w:spacing w:val="-6"/>
          <w:sz w:val="24"/>
        </w:rPr>
        <w:t xml:space="preserve"> </w:t>
      </w:r>
      <w:r>
        <w:rPr>
          <w:rFonts w:ascii="Times New Roman" w:hAnsi="Times New Roman"/>
          <w:spacing w:val="-6"/>
          <w:sz w:val="24"/>
        </w:rPr>
        <w:t xml:space="preserve">рублей, срок действия с </w:t>
      </w:r>
      <w:r>
        <w:rPr>
          <w:rFonts w:ascii="Times New Roman" w:hAnsi="Times New Roman"/>
          <w:spacing w:val="-6"/>
          <w:sz w:val="24"/>
          <w:highlight w:val="yellow"/>
        </w:rPr>
        <w:t>___________</w:t>
      </w:r>
      <w:r>
        <w:rPr>
          <w:rFonts w:ascii="Times New Roman" w:hAnsi="Times New Roman"/>
          <w:spacing w:val="-6"/>
          <w:sz w:val="24"/>
        </w:rPr>
        <w:t xml:space="preserve"> по </w:t>
      </w:r>
      <w:r>
        <w:rPr>
          <w:rFonts w:ascii="Times New Roman" w:hAnsi="Times New Roman"/>
          <w:spacing w:val="-6"/>
          <w:sz w:val="24"/>
          <w:highlight w:val="yellow"/>
        </w:rPr>
        <w:t>___________</w:t>
      </w:r>
      <w:r>
        <w:rPr>
          <w:rFonts w:ascii="Times New Roman" w:hAnsi="Times New Roman"/>
          <w:spacing w:val="-6"/>
          <w:sz w:val="24"/>
        </w:rPr>
        <w:t xml:space="preserve"> </w:t>
      </w:r>
      <w:r>
        <w:rPr>
          <w:rFonts w:ascii="Times New Roman" w:hAnsi="Times New Roman"/>
          <w:spacing w:val="-6"/>
          <w:sz w:val="24"/>
        </w:rPr>
        <w:t>включительно;</w:t>
      </w:r>
    </w:p>
    <w:p w14:paraId="88000000">
      <w:pPr>
        <w:widowControl w:val="1"/>
        <w:ind w:firstLine="709"/>
        <w:jc w:val="both"/>
        <w:rPr>
          <w:rFonts w:ascii="Times New Roman" w:hAnsi="Times New Roman"/>
          <w:spacing w:val="-6"/>
          <w:sz w:val="24"/>
        </w:rPr>
      </w:pPr>
      <w:r>
        <w:rPr>
          <w:rFonts w:ascii="Times New Roman" w:hAnsi="Times New Roman"/>
          <w:spacing w:val="-6"/>
          <w:sz w:val="24"/>
        </w:rPr>
        <w:t>11</w:t>
      </w:r>
      <w:r>
        <w:rPr>
          <w:rFonts w:ascii="Times New Roman" w:hAnsi="Times New Roman"/>
          <w:spacing w:val="-6"/>
          <w:sz w:val="24"/>
        </w:rPr>
        <w:t>.3. Исполнитель и Оценщик являются независимыми, т.к. не имеют имущественного интереса в объекте оценки и не являются аффинированными лицами Заказчика, согласно ст. 16 Федерального закона «Об оценочной деятельности в Российской Федерации» № ФЗ-135».</w:t>
      </w:r>
    </w:p>
    <w:p w14:paraId="89000000">
      <w:pPr>
        <w:widowControl w:val="0"/>
        <w:ind/>
        <w:jc w:val="both"/>
        <w:rPr>
          <w:sz w:val="24"/>
        </w:rPr>
      </w:pPr>
    </w:p>
    <w:p w14:paraId="8A000000">
      <w:pPr>
        <w:widowControl w:val="1"/>
        <w:tabs>
          <w:tab w:leader="none" w:pos="426" w:val="left"/>
        </w:tabs>
        <w:ind/>
        <w:jc w:val="center"/>
        <w:rPr>
          <w:rFonts w:ascii="Times New Roman" w:hAnsi="Times New Roman"/>
          <w:b w:val="1"/>
          <w:sz w:val="24"/>
        </w:rPr>
      </w:pPr>
      <w:r>
        <w:rPr>
          <w:rFonts w:ascii="Times New Roman" w:hAnsi="Times New Roman"/>
          <w:b w:val="1"/>
          <w:sz w:val="24"/>
        </w:rPr>
        <w:t>1</w:t>
      </w:r>
      <w:r>
        <w:rPr>
          <w:rFonts w:ascii="Times New Roman" w:hAnsi="Times New Roman"/>
          <w:b w:val="1"/>
          <w:sz w:val="24"/>
        </w:rPr>
        <w:t>2</w:t>
      </w:r>
      <w:r>
        <w:rPr>
          <w:rFonts w:ascii="Times New Roman" w:hAnsi="Times New Roman"/>
          <w:b w:val="1"/>
          <w:sz w:val="24"/>
        </w:rPr>
        <w:t>. ПРОЧИЕ УСЛОВИЯ</w:t>
      </w:r>
    </w:p>
    <w:p w14:paraId="8B000000">
      <w:pPr>
        <w:pStyle w:val="Style_5"/>
        <w:widowControl w:val="1"/>
        <w:numPr>
          <w:ilvl w:val="1"/>
          <w:numId w:val="2"/>
        </w:numPr>
        <w:ind w:firstLine="709" w:left="0"/>
        <w:jc w:val="both"/>
        <w:rPr>
          <w:rFonts w:ascii="Times New Roman" w:hAnsi="Times New Roman"/>
          <w:sz w:val="24"/>
        </w:rPr>
      </w:pPr>
      <w:r>
        <w:rPr>
          <w:rFonts w:ascii="Times New Roman" w:hAnsi="Times New Roman"/>
          <w:sz w:val="24"/>
        </w:rPr>
        <w:t>Договор составлен на русском языке в электронной форме. Договор подписан Сторонами посредством электронной цифровой подписи (ЭЦП) на сервисе zakupki.lenreg.ru (электронный магазин Ленинградской области). По желанию Сторон Договор может быть оформлен на бумажном носителе в двух подлинных экземплярах, имеющих равную юридическую силу, по экземпляру для каждой Стороны.</w:t>
      </w:r>
    </w:p>
    <w:p w14:paraId="8C000000">
      <w:pPr>
        <w:pStyle w:val="Style_5"/>
        <w:widowControl w:val="1"/>
        <w:numPr>
          <w:ilvl w:val="1"/>
          <w:numId w:val="2"/>
        </w:numPr>
        <w:ind w:firstLine="709" w:left="0"/>
        <w:jc w:val="both"/>
        <w:rPr>
          <w:rFonts w:ascii="Times New Roman" w:hAnsi="Times New Roman"/>
          <w:sz w:val="24"/>
        </w:rPr>
      </w:pPr>
      <w:r>
        <w:rPr>
          <w:rFonts w:ascii="Times New Roman" w:hAnsi="Times New Roman"/>
          <w:sz w:val="24"/>
        </w:rPr>
        <w:t>В случае изменения юридических и банковских реквизитов, организационно-правового статуса каждая Сторона Договора обязана известить в письменном виде в двухдневный срок другую Сторону и предоставить всю необходимую информацию, которая может повлиять на отношения между Сторонами.</w:t>
      </w:r>
    </w:p>
    <w:p w14:paraId="8D000000">
      <w:pPr>
        <w:pStyle w:val="Style_5"/>
        <w:widowControl w:val="1"/>
        <w:numPr>
          <w:ilvl w:val="1"/>
          <w:numId w:val="2"/>
        </w:numPr>
        <w:ind w:firstLine="709" w:left="0"/>
        <w:contextualSpacing w:val="0"/>
        <w:jc w:val="both"/>
        <w:rPr>
          <w:rFonts w:ascii="Times New Roman" w:hAnsi="Times New Roman"/>
          <w:sz w:val="24"/>
        </w:rPr>
      </w:pPr>
      <w:r>
        <w:rPr>
          <w:rFonts w:ascii="Times New Roman" w:hAnsi="Times New Roman"/>
          <w:sz w:val="24"/>
        </w:rPr>
        <w:t>Права и обязанности сторон, прямо не предусмотренные в Договоре, определяются в соответствии с ГК РФ и действующим законодательством.</w:t>
      </w:r>
    </w:p>
    <w:p w14:paraId="8E000000">
      <w:pPr>
        <w:pStyle w:val="Style_5"/>
        <w:widowControl w:val="1"/>
        <w:numPr>
          <w:ilvl w:val="1"/>
          <w:numId w:val="2"/>
        </w:numPr>
        <w:ind w:firstLine="709" w:left="0"/>
        <w:contextualSpacing w:val="0"/>
        <w:jc w:val="both"/>
        <w:rPr>
          <w:rFonts w:ascii="Times New Roman" w:hAnsi="Times New Roman"/>
          <w:sz w:val="24"/>
        </w:rPr>
      </w:pPr>
      <w:r>
        <w:rPr>
          <w:rFonts w:ascii="Times New Roman" w:hAnsi="Times New Roman"/>
          <w:sz w:val="24"/>
        </w:rPr>
        <w:t>Ни одна из Сторон не может передавать свои права и обязанности по настоящему Договору какой-либо третьей стороне без письменного согласия другой Стороны.</w:t>
      </w:r>
    </w:p>
    <w:p w14:paraId="8F000000">
      <w:pPr>
        <w:pStyle w:val="Style_5"/>
        <w:widowControl w:val="1"/>
        <w:numPr>
          <w:ilvl w:val="1"/>
          <w:numId w:val="2"/>
        </w:numPr>
        <w:ind w:firstLine="709" w:left="0"/>
        <w:contextualSpacing w:val="0"/>
        <w:jc w:val="both"/>
        <w:rPr>
          <w:rFonts w:ascii="Times New Roman" w:hAnsi="Times New Roman"/>
          <w:sz w:val="24"/>
        </w:rPr>
      </w:pPr>
      <w:r>
        <w:rPr>
          <w:rFonts w:ascii="Times New Roman" w:hAnsi="Times New Roman"/>
          <w:sz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90000000">
      <w:pPr>
        <w:pStyle w:val="Style_5"/>
        <w:widowControl w:val="1"/>
        <w:numPr>
          <w:ilvl w:val="1"/>
          <w:numId w:val="2"/>
        </w:numPr>
        <w:ind w:firstLine="709" w:left="0"/>
        <w:jc w:val="both"/>
        <w:rPr>
          <w:rFonts w:ascii="Times New Roman" w:hAnsi="Times New Roman"/>
          <w:sz w:val="24"/>
        </w:rPr>
      </w:pPr>
      <w:r>
        <w:rPr>
          <w:rFonts w:ascii="Times New Roman" w:hAnsi="Times New Roman"/>
          <w:sz w:val="24"/>
        </w:rPr>
        <w:t xml:space="preserve">Стороны допускают подписание счетов на оплату, актов </w:t>
      </w:r>
      <w:r>
        <w:rPr>
          <w:rFonts w:ascii="Times New Roman" w:hAnsi="Times New Roman"/>
          <w:spacing w:val="-6"/>
          <w:sz w:val="24"/>
        </w:rPr>
        <w:t xml:space="preserve">приема-сдачи оказанных услуг </w:t>
      </w:r>
      <w:r>
        <w:rPr>
          <w:rFonts w:ascii="Times New Roman" w:hAnsi="Times New Roman"/>
          <w:sz w:val="24"/>
        </w:rPr>
        <w:t>или универсального передаточного документы (УПД)</w:t>
      </w:r>
      <w:r>
        <w:rPr>
          <w:rFonts w:ascii="Times New Roman" w:hAnsi="Times New Roman"/>
          <w:sz w:val="24"/>
        </w:rPr>
        <w:t xml:space="preserve"> путём проставления факсимильной подписи. Факсимильная подпись имеет для Сторон силу собственноручной подписи и не требует дополнительного подтверждения.</w:t>
      </w:r>
    </w:p>
    <w:p w14:paraId="91000000">
      <w:pPr>
        <w:pStyle w:val="Style_5"/>
        <w:widowControl w:val="1"/>
        <w:numPr>
          <w:ilvl w:val="1"/>
          <w:numId w:val="2"/>
        </w:numPr>
        <w:ind w:firstLine="709" w:left="0"/>
        <w:contextualSpacing w:val="0"/>
        <w:jc w:val="both"/>
        <w:rPr>
          <w:rFonts w:ascii="Times New Roman" w:hAnsi="Times New Roman"/>
          <w:sz w:val="24"/>
        </w:rPr>
      </w:pPr>
      <w:r>
        <w:rPr>
          <w:rFonts w:ascii="Times New Roman" w:hAnsi="Times New Roman"/>
          <w:sz w:val="24"/>
        </w:rPr>
        <w:t xml:space="preserve">Стороны, подтверждают, что при наличии технической возможности, взаимное согласие на обмен юридически значимыми документами (счетами на оплату, актов выполненных работ, актами сверки взаиморасчетов и др.), адресованными Сторонам Договора, в электронном виде. Технические средства и возможности позволяют </w:t>
      </w:r>
      <w:r>
        <w:rPr>
          <w:rFonts w:ascii="Times New Roman" w:hAnsi="Times New Roman"/>
          <w:sz w:val="24"/>
        </w:rPr>
        <w:t>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СБИС/Контур Диадок, с соблюдением требований Российского законодательства, действующих на дату отправки документа.</w:t>
      </w:r>
    </w:p>
    <w:p w14:paraId="92000000">
      <w:pPr>
        <w:pStyle w:val="Style_5"/>
        <w:widowControl w:val="1"/>
        <w:numPr>
          <w:ilvl w:val="1"/>
          <w:numId w:val="2"/>
        </w:numPr>
        <w:ind w:firstLine="709" w:left="0"/>
        <w:contextualSpacing w:val="0"/>
        <w:jc w:val="both"/>
        <w:rPr>
          <w:rFonts w:ascii="Times New Roman" w:hAnsi="Times New Roman"/>
          <w:sz w:val="24"/>
        </w:rPr>
      </w:pPr>
      <w:r>
        <w:rPr>
          <w:rFonts w:ascii="Times New Roman" w:hAnsi="Times New Roman"/>
          <w:sz w:val="24"/>
        </w:rPr>
        <w:t>Все приложения к Договору являются неотъемлемой его частью.</w:t>
      </w:r>
    </w:p>
    <w:p w14:paraId="93000000">
      <w:pPr>
        <w:widowControl w:val="1"/>
        <w:ind w:firstLine="709"/>
        <w:jc w:val="both"/>
        <w:rPr>
          <w:rFonts w:ascii="Times New Roman" w:hAnsi="Times New Roman"/>
          <w:sz w:val="24"/>
        </w:rPr>
      </w:pPr>
      <w:r>
        <w:rPr>
          <w:rFonts w:ascii="Times New Roman" w:hAnsi="Times New Roman"/>
          <w:sz w:val="24"/>
        </w:rPr>
        <w:t>12.9</w:t>
      </w:r>
      <w:r>
        <w:rPr>
          <w:rFonts w:ascii="Times New Roman" w:hAnsi="Times New Roman"/>
          <w:sz w:val="24"/>
        </w:rPr>
        <w:t>. Приложения к Договору:</w:t>
      </w:r>
    </w:p>
    <w:p w14:paraId="94000000">
      <w:pPr>
        <w:pStyle w:val="Style_5"/>
        <w:widowControl w:val="1"/>
        <w:ind w:firstLine="709" w:left="0"/>
        <w:contextualSpacing w:val="0"/>
        <w:jc w:val="both"/>
        <w:rPr>
          <w:rFonts w:ascii="Times New Roman" w:hAnsi="Times New Roman"/>
          <w:color w:themeColor="text1" w:val="000000"/>
          <w:sz w:val="24"/>
        </w:rPr>
      </w:pPr>
      <w:r>
        <w:rPr>
          <w:rFonts w:ascii="Times New Roman" w:hAnsi="Times New Roman"/>
          <w:color w:themeColor="text1" w:val="000000"/>
          <w:sz w:val="24"/>
        </w:rPr>
        <w:t>- Приложение №1. Техническое задание.</w:t>
      </w:r>
    </w:p>
    <w:p w14:paraId="95000000">
      <w:pPr>
        <w:pStyle w:val="Style_1"/>
        <w:widowControl w:val="1"/>
        <w:ind w:firstLine="709"/>
        <w:jc w:val="both"/>
        <w:rPr>
          <w:rFonts w:ascii="Times New Roman" w:hAnsi="Times New Roman"/>
        </w:rPr>
      </w:pPr>
    </w:p>
    <w:p w14:paraId="96000000">
      <w:pPr>
        <w:widowControl w:val="0"/>
        <w:ind/>
        <w:jc w:val="center"/>
        <w:rPr>
          <w:rFonts w:ascii="Times New Roman" w:hAnsi="Times New Roman"/>
          <w:b w:val="1"/>
          <w:sz w:val="24"/>
        </w:rPr>
      </w:pPr>
      <w:r>
        <w:rPr>
          <w:rFonts w:ascii="Times New Roman" w:hAnsi="Times New Roman"/>
          <w:b w:val="1"/>
          <w:sz w:val="24"/>
        </w:rPr>
        <w:t>1</w:t>
      </w:r>
      <w:r>
        <w:rPr>
          <w:rFonts w:ascii="Times New Roman" w:hAnsi="Times New Roman"/>
          <w:b w:val="1"/>
          <w:sz w:val="24"/>
        </w:rPr>
        <w:t>3</w:t>
      </w:r>
      <w:r>
        <w:rPr>
          <w:rFonts w:ascii="Times New Roman" w:hAnsi="Times New Roman"/>
          <w:b w:val="1"/>
          <w:sz w:val="24"/>
        </w:rPr>
        <w:t>. ЮРИДИЧЕСКИЕ АДРЕСА, БАНКОВСКИЕ РЕКВИЗИТЫ И ПОДПИСИ СТОРОН</w:t>
      </w:r>
    </w:p>
    <w:p w14:paraId="97000000">
      <w:pPr>
        <w:widowControl w:val="0"/>
        <w:ind/>
        <w:jc w:val="center"/>
        <w:rPr>
          <w:rFonts w:ascii="Times New Roman" w:hAnsi="Times New Roman"/>
          <w:b w:val="1"/>
          <w:sz w:val="24"/>
        </w:rPr>
      </w:pPr>
    </w:p>
    <w:tbl>
      <w:tblPr>
        <w:tblStyle w:val="Style_7"/>
        <w:tblW w:type="auto" w:w="0"/>
        <w:jc w:val="center"/>
        <w:tblLayout w:type="fixed"/>
      </w:tblPr>
      <w:tblGrid>
        <w:gridCol w:w="4828"/>
        <w:gridCol w:w="4743"/>
      </w:tblGrid>
      <w:tr>
        <w:trPr>
          <w:trHeight w:hRule="atLeast" w:val="20"/>
        </w:trPr>
        <w:tc>
          <w:tcPr>
            <w:tcW w:type="dxa" w:w="4828"/>
            <w:shd w:fill="auto" w:val="clear"/>
          </w:tcPr>
          <w:p w14:paraId="98000000">
            <w:pPr>
              <w:widowControl w:val="0"/>
              <w:tabs>
                <w:tab w:leader="none" w:pos="1843" w:val="left"/>
              </w:tabs>
              <w:ind/>
              <w:rPr>
                <w:rFonts w:ascii="Times New Roman" w:hAnsi="Times New Roman"/>
                <w:b w:val="1"/>
                <w:color w:val="000000"/>
                <w:sz w:val="24"/>
              </w:rPr>
            </w:pPr>
            <w:r>
              <w:rPr>
                <w:rFonts w:ascii="Times New Roman" w:hAnsi="Times New Roman"/>
                <w:b w:val="1"/>
                <w:color w:val="000000"/>
                <w:sz w:val="24"/>
              </w:rPr>
              <w:t>ЗАКАЗЧИК:</w:t>
            </w:r>
          </w:p>
          <w:p w14:paraId="99000000">
            <w:pPr>
              <w:widowControl w:val="0"/>
              <w:tabs>
                <w:tab w:leader="none" w:pos="900" w:val="left"/>
              </w:tabs>
              <w:ind w:hanging="360"/>
              <w:jc w:val="both"/>
              <w:rPr>
                <w:rFonts w:ascii="Times New Roman" w:hAnsi="Times New Roman"/>
                <w:b w:val="1"/>
                <w:sz w:val="24"/>
              </w:rPr>
            </w:pPr>
          </w:p>
          <w:p w14:paraId="9A000000">
            <w:pPr>
              <w:widowControl w:val="0"/>
              <w:ind/>
              <w:jc w:val="center"/>
              <w:rPr>
                <w:rFonts w:ascii="Times New Roman" w:hAnsi="Times New Roman"/>
                <w:b w:val="1"/>
                <w:sz w:val="24"/>
              </w:rPr>
            </w:pPr>
            <w:r>
              <w:rPr>
                <w:rFonts w:ascii="Times New Roman" w:hAnsi="Times New Roman"/>
                <w:b w:val="1"/>
                <w:sz w:val="24"/>
              </w:rPr>
              <w:t>Администрация муниципального образования Рабитицкое сельское поселение Волосовского муниципального района Ленинградской области</w:t>
            </w:r>
          </w:p>
          <w:p w14:paraId="9B000000">
            <w:pPr>
              <w:widowControl w:val="0"/>
              <w:ind/>
              <w:rPr>
                <w:rFonts w:ascii="Times New Roman" w:hAnsi="Times New Roman"/>
                <w:sz w:val="24"/>
              </w:rPr>
            </w:pPr>
          </w:p>
          <w:p w14:paraId="9C000000">
            <w:pPr>
              <w:widowControl w:val="0"/>
              <w:ind/>
              <w:jc w:val="both"/>
              <w:rPr>
                <w:rFonts w:ascii="Times New Roman" w:hAnsi="Times New Roman"/>
                <w:sz w:val="24"/>
              </w:rPr>
            </w:pPr>
            <w:r>
              <w:rPr>
                <w:rFonts w:ascii="Times New Roman" w:hAnsi="Times New Roman"/>
                <w:sz w:val="24"/>
              </w:rPr>
              <w:t>Юридический адрес: 188413, Ленинградская область, Волосовский район, д. Рабитицы, д. 22а</w:t>
            </w:r>
          </w:p>
          <w:p w14:paraId="9D000000">
            <w:pPr>
              <w:widowControl w:val="0"/>
              <w:ind/>
              <w:jc w:val="both"/>
              <w:rPr>
                <w:rFonts w:ascii="Times New Roman" w:hAnsi="Times New Roman"/>
                <w:sz w:val="24"/>
              </w:rPr>
            </w:pPr>
            <w:r>
              <w:rPr>
                <w:rFonts w:ascii="Times New Roman" w:hAnsi="Times New Roman"/>
                <w:sz w:val="24"/>
              </w:rPr>
              <w:t>Фактический (почтовый) адрес: 188414, Ленинградская область, Волосовский район, д. Извара, д. 14.</w:t>
            </w:r>
          </w:p>
          <w:p w14:paraId="9E000000">
            <w:pPr>
              <w:widowControl w:val="0"/>
              <w:ind/>
              <w:jc w:val="both"/>
              <w:rPr>
                <w:rFonts w:ascii="Times New Roman" w:hAnsi="Times New Roman"/>
                <w:sz w:val="24"/>
              </w:rPr>
            </w:pPr>
            <w:r>
              <w:rPr>
                <w:rFonts w:ascii="Times New Roman" w:hAnsi="Times New Roman"/>
                <w:sz w:val="24"/>
              </w:rPr>
              <w:t>ИНН 4717008498 КПП 470501001</w:t>
            </w:r>
          </w:p>
          <w:p w14:paraId="9F000000">
            <w:pPr>
              <w:widowControl w:val="0"/>
              <w:ind/>
              <w:jc w:val="both"/>
              <w:rPr>
                <w:rFonts w:ascii="Times New Roman" w:hAnsi="Times New Roman"/>
                <w:sz w:val="24"/>
              </w:rPr>
            </w:pPr>
            <w:r>
              <w:rPr>
                <w:rFonts w:ascii="Times New Roman" w:hAnsi="Times New Roman"/>
                <w:sz w:val="24"/>
              </w:rPr>
              <w:t>ОГРН 1054700555810</w:t>
            </w:r>
          </w:p>
          <w:p w14:paraId="A0000000">
            <w:pPr>
              <w:widowControl w:val="0"/>
              <w:ind/>
              <w:jc w:val="both"/>
              <w:rPr>
                <w:rFonts w:ascii="Times New Roman" w:hAnsi="Times New Roman"/>
                <w:sz w:val="24"/>
              </w:rPr>
            </w:pPr>
            <w:r>
              <w:rPr>
                <w:rFonts w:ascii="Times New Roman" w:hAnsi="Times New Roman"/>
                <w:sz w:val="24"/>
              </w:rPr>
              <w:t>ОКПО 04182759, ОКТМО 41606408</w:t>
            </w:r>
          </w:p>
          <w:p w14:paraId="A1000000">
            <w:pPr>
              <w:widowControl w:val="0"/>
              <w:ind/>
              <w:jc w:val="both"/>
              <w:rPr>
                <w:rFonts w:ascii="Times New Roman" w:hAnsi="Times New Roman"/>
                <w:sz w:val="24"/>
              </w:rPr>
            </w:pPr>
            <w:r>
              <w:rPr>
                <w:rFonts w:ascii="Times New Roman" w:hAnsi="Times New Roman"/>
                <w:sz w:val="24"/>
              </w:rPr>
              <w:t>Плательщик: УФК по Ленинградской области (Администрация Рабитицкого сельского поселения, л/с 04453000730)</w:t>
            </w:r>
          </w:p>
          <w:p w14:paraId="A2000000">
            <w:pPr>
              <w:widowControl w:val="0"/>
              <w:ind/>
              <w:jc w:val="both"/>
              <w:rPr>
                <w:rFonts w:ascii="Times New Roman" w:hAnsi="Times New Roman"/>
                <w:sz w:val="24"/>
              </w:rPr>
            </w:pPr>
            <w:r>
              <w:rPr>
                <w:rFonts w:ascii="Times New Roman" w:hAnsi="Times New Roman"/>
                <w:sz w:val="24"/>
              </w:rPr>
              <w:t>Единый казначейский счет:</w:t>
            </w:r>
          </w:p>
          <w:p w14:paraId="A3000000">
            <w:pPr>
              <w:widowControl w:val="0"/>
              <w:ind/>
              <w:jc w:val="both"/>
              <w:rPr>
                <w:rFonts w:ascii="Times New Roman" w:hAnsi="Times New Roman"/>
                <w:sz w:val="24"/>
              </w:rPr>
            </w:pPr>
            <w:r>
              <w:rPr>
                <w:rFonts w:ascii="Times New Roman" w:hAnsi="Times New Roman"/>
                <w:sz w:val="24"/>
              </w:rPr>
              <w:t>40102810745370000098</w:t>
            </w:r>
          </w:p>
          <w:p w14:paraId="A4000000">
            <w:pPr>
              <w:widowControl w:val="0"/>
              <w:ind/>
              <w:jc w:val="both"/>
              <w:rPr>
                <w:rFonts w:ascii="Times New Roman" w:hAnsi="Times New Roman"/>
                <w:sz w:val="24"/>
              </w:rPr>
            </w:pPr>
            <w:r>
              <w:rPr>
                <w:rFonts w:ascii="Times New Roman" w:hAnsi="Times New Roman"/>
                <w:sz w:val="24"/>
              </w:rPr>
              <w:t>Казначейский счет: 03231643416064084500</w:t>
            </w:r>
          </w:p>
          <w:p w14:paraId="A5000000">
            <w:pPr>
              <w:widowControl w:val="0"/>
              <w:ind/>
              <w:jc w:val="both"/>
              <w:rPr>
                <w:rFonts w:ascii="Times New Roman" w:hAnsi="Times New Roman"/>
                <w:sz w:val="24"/>
              </w:rPr>
            </w:pPr>
            <w:r>
              <w:rPr>
                <w:rFonts w:ascii="Times New Roman" w:hAnsi="Times New Roman"/>
                <w:sz w:val="24"/>
              </w:rPr>
              <w:t>Банк: ОКЦ № 1 Северо-Западного ГУ Банка России//УФК по Ленинградской области, г. Санкт-Петербург</w:t>
            </w:r>
          </w:p>
          <w:p w14:paraId="A6000000">
            <w:pPr>
              <w:widowControl w:val="0"/>
              <w:ind/>
              <w:jc w:val="both"/>
              <w:rPr>
                <w:rFonts w:ascii="Times New Roman" w:hAnsi="Times New Roman"/>
                <w:sz w:val="24"/>
              </w:rPr>
            </w:pPr>
            <w:r>
              <w:rPr>
                <w:rFonts w:ascii="Times New Roman" w:hAnsi="Times New Roman"/>
                <w:sz w:val="24"/>
              </w:rPr>
              <w:t>БИК</w:t>
            </w:r>
            <w:r>
              <w:rPr>
                <w:rFonts w:ascii="Times New Roman" w:hAnsi="Times New Roman"/>
                <w:sz w:val="24"/>
              </w:rPr>
              <w:t xml:space="preserve"> 044030098</w:t>
            </w:r>
          </w:p>
          <w:p w14:paraId="A7000000">
            <w:pPr>
              <w:widowControl w:val="0"/>
              <w:ind/>
              <w:jc w:val="both"/>
              <w:rPr>
                <w:rFonts w:ascii="Times New Roman" w:hAnsi="Times New Roman"/>
                <w:sz w:val="24"/>
              </w:rPr>
            </w:pPr>
            <w:r>
              <w:rPr>
                <w:rFonts w:ascii="Times New Roman" w:hAnsi="Times New Roman"/>
                <w:sz w:val="24"/>
              </w:rPr>
              <w:t>Тел</w:t>
            </w:r>
            <w:r>
              <w:rPr>
                <w:rFonts w:ascii="Times New Roman" w:hAnsi="Times New Roman"/>
                <w:sz w:val="24"/>
              </w:rPr>
              <w:t>.: 8 (813-73) 73-234, 73-242</w:t>
            </w:r>
          </w:p>
          <w:p w14:paraId="A8000000">
            <w:pPr>
              <w:widowControl w:val="0"/>
              <w:ind/>
              <w:jc w:val="both"/>
              <w:rPr>
                <w:rFonts w:ascii="Times New Roman" w:hAnsi="Times New Roman"/>
                <w:sz w:val="24"/>
              </w:rPr>
            </w:pPr>
            <w:r>
              <w:rPr>
                <w:rFonts w:ascii="Times New Roman" w:hAnsi="Times New Roman"/>
                <w:sz w:val="24"/>
              </w:rPr>
              <w:t>E-mail:  admrabitizy@yandex.ru</w:t>
            </w:r>
          </w:p>
          <w:p w14:paraId="A9000000">
            <w:pPr>
              <w:widowControl w:val="0"/>
              <w:ind/>
              <w:rPr>
                <w:rFonts w:ascii="Times New Roman" w:hAnsi="Times New Roman"/>
                <w:sz w:val="24"/>
              </w:rPr>
            </w:pPr>
          </w:p>
          <w:p w14:paraId="AA000000">
            <w:pPr>
              <w:pStyle w:val="Style_8"/>
              <w:widowControl w:val="0"/>
              <w:ind/>
              <w:rPr>
                <w:sz w:val="24"/>
              </w:rPr>
            </w:pPr>
          </w:p>
        </w:tc>
        <w:tc>
          <w:tcPr>
            <w:tcW w:type="dxa" w:w="4743"/>
            <w:shd w:fill="auto" w:val="clear"/>
          </w:tcPr>
          <w:p w14:paraId="AB000000">
            <w:pPr>
              <w:widowControl w:val="0"/>
              <w:ind/>
              <w:rPr>
                <w:rFonts w:ascii="Times New Roman" w:hAnsi="Times New Roman"/>
                <w:b w:val="1"/>
                <w:sz w:val="24"/>
              </w:rPr>
            </w:pPr>
            <w:r>
              <w:rPr>
                <w:rFonts w:ascii="Times New Roman" w:hAnsi="Times New Roman"/>
                <w:b w:val="1"/>
                <w:sz w:val="24"/>
                <w:highlight w:val="yellow"/>
              </w:rPr>
              <w:t>ИСПОЛНИТЕЛЬ:</w:t>
            </w:r>
          </w:p>
          <w:p w14:paraId="AC000000">
            <w:pPr>
              <w:widowControl w:val="0"/>
              <w:tabs>
                <w:tab w:leader="none" w:pos="900" w:val="left"/>
              </w:tabs>
              <w:ind w:hanging="360"/>
              <w:jc w:val="both"/>
              <w:rPr>
                <w:rFonts w:ascii="Times New Roman" w:hAnsi="Times New Roman"/>
                <w:b w:val="1"/>
                <w:sz w:val="24"/>
              </w:rPr>
            </w:pPr>
          </w:p>
          <w:p w14:paraId="AD000000">
            <w:pPr>
              <w:widowControl w:val="0"/>
              <w:tabs>
                <w:tab w:leader="none" w:pos="900" w:val="left"/>
              </w:tabs>
              <w:ind w:firstLine="14"/>
              <w:jc w:val="both"/>
              <w:rPr>
                <w:rFonts w:ascii="Times New Roman" w:hAnsi="Times New Roman"/>
                <w:sz w:val="24"/>
              </w:rPr>
            </w:pPr>
          </w:p>
        </w:tc>
      </w:tr>
      <w:tr>
        <w:trPr>
          <w:trHeight w:hRule="atLeast" w:val="20"/>
        </w:trPr>
        <w:tc>
          <w:tcPr>
            <w:tcW w:type="dxa" w:w="4828"/>
            <w:shd w:fill="auto" w:val="clear"/>
          </w:tcPr>
          <w:p w14:paraId="AE000000">
            <w:pPr>
              <w:widowControl w:val="0"/>
              <w:ind/>
              <w:rPr>
                <w:rFonts w:ascii="Times New Roman" w:hAnsi="Times New Roman"/>
                <w:sz w:val="24"/>
              </w:rPr>
            </w:pPr>
            <w:r>
              <w:rPr>
                <w:rFonts w:ascii="Times New Roman" w:hAnsi="Times New Roman"/>
                <w:sz w:val="24"/>
              </w:rPr>
              <w:t xml:space="preserve">Врио главы администрации </w:t>
            </w:r>
          </w:p>
          <w:p w14:paraId="AF000000">
            <w:pPr>
              <w:widowControl w:val="0"/>
              <w:tabs>
                <w:tab w:leader="none" w:pos="3090" w:val="left"/>
              </w:tabs>
              <w:ind/>
              <w:rPr>
                <w:rFonts w:ascii="Times New Roman" w:hAnsi="Times New Roman"/>
                <w:sz w:val="24"/>
              </w:rPr>
            </w:pPr>
            <w:r>
              <w:rPr>
                <w:rFonts w:ascii="Times New Roman" w:hAnsi="Times New Roman"/>
                <w:sz w:val="24"/>
              </w:rPr>
              <w:t>__________________(А.А. Зайцева)</w:t>
            </w:r>
          </w:p>
          <w:p w14:paraId="B0000000">
            <w:pPr>
              <w:pStyle w:val="Style_8"/>
              <w:widowControl w:val="0"/>
              <w:ind/>
              <w:rPr>
                <w:color w:val="000000"/>
                <w:sz w:val="18"/>
              </w:rPr>
            </w:pPr>
            <w:r>
              <w:rPr>
                <w:sz w:val="18"/>
              </w:rPr>
              <w:t>Подписано ЭЦП через электронный магазин ЛО</w:t>
            </w:r>
            <w:r>
              <w:rPr>
                <w:color w:val="000000"/>
                <w:sz w:val="18"/>
              </w:rPr>
              <w:t xml:space="preserve"> </w:t>
            </w:r>
          </w:p>
          <w:p w14:paraId="B1000000">
            <w:pPr>
              <w:widowControl w:val="0"/>
              <w:ind/>
              <w:rPr>
                <w:rFonts w:ascii="Times New Roman" w:hAnsi="Times New Roman"/>
                <w:b w:val="1"/>
                <w:color w:val="000000"/>
                <w:sz w:val="24"/>
              </w:rPr>
            </w:pPr>
          </w:p>
        </w:tc>
        <w:tc>
          <w:tcPr>
            <w:tcW w:type="dxa" w:w="4743"/>
            <w:shd w:fill="auto" w:val="clear"/>
          </w:tcPr>
          <w:p w14:paraId="B2000000">
            <w:pPr>
              <w:widowControl w:val="0"/>
              <w:tabs>
                <w:tab w:leader="none" w:pos="0" w:val="left"/>
              </w:tabs>
              <w:ind/>
              <w:rPr>
                <w:rFonts w:ascii="Times New Roman" w:hAnsi="Times New Roman"/>
                <w:sz w:val="24"/>
              </w:rPr>
            </w:pPr>
          </w:p>
          <w:p w14:paraId="B3000000">
            <w:pPr>
              <w:widowControl w:val="0"/>
              <w:ind/>
              <w:rPr>
                <w:rFonts w:ascii="Times New Roman" w:hAnsi="Times New Roman"/>
                <w:b w:val="1"/>
                <w:sz w:val="24"/>
              </w:rPr>
            </w:pPr>
            <w:r>
              <w:rPr>
                <w:rFonts w:ascii="Times New Roman" w:hAnsi="Times New Roman"/>
                <w:sz w:val="24"/>
              </w:rPr>
              <w:t xml:space="preserve"> </w:t>
            </w:r>
          </w:p>
        </w:tc>
      </w:tr>
    </w:tbl>
    <w:p w14:paraId="B4000000">
      <w:pPr>
        <w:widowControl w:val="1"/>
        <w:ind/>
        <w:jc w:val="center"/>
        <w:rPr>
          <w:rFonts w:ascii="Times New Roman" w:hAnsi="Times New Roman"/>
          <w:b w:val="1"/>
          <w:sz w:val="20"/>
        </w:rPr>
      </w:pPr>
    </w:p>
    <w:p w14:paraId="B5000000">
      <w:pPr>
        <w:sectPr>
          <w:pgSz w:h="16838" w:orient="portrait" w:w="11906"/>
          <w:pgMar w:bottom="1134" w:footer="708" w:gutter="0" w:header="708" w:left="1701" w:right="850" w:top="1134"/>
        </w:sectPr>
      </w:pPr>
    </w:p>
    <w:p w14:paraId="B6000000">
      <w:pPr>
        <w:widowControl w:val="1"/>
        <w:ind/>
        <w:jc w:val="right"/>
        <w:rPr>
          <w:rFonts w:ascii="Times New Roman CYR" w:hAnsi="Times New Roman CYR"/>
          <w:sz w:val="21"/>
        </w:rPr>
      </w:pPr>
      <w:r>
        <w:rPr>
          <w:rFonts w:ascii="Times New Roman CYR" w:hAnsi="Times New Roman CYR"/>
          <w:sz w:val="21"/>
        </w:rPr>
        <w:t>Приложение №1</w:t>
      </w:r>
    </w:p>
    <w:p w14:paraId="B7000000">
      <w:pPr>
        <w:widowControl w:val="1"/>
        <w:ind/>
        <w:jc w:val="right"/>
        <w:rPr>
          <w:rFonts w:ascii="Times New Roman CYR" w:hAnsi="Times New Roman CYR"/>
          <w:sz w:val="21"/>
        </w:rPr>
      </w:pPr>
      <w:r>
        <w:rPr>
          <w:rFonts w:ascii="Times New Roman CYR" w:hAnsi="Times New Roman CYR"/>
          <w:sz w:val="21"/>
        </w:rPr>
        <w:t xml:space="preserve">к </w:t>
      </w:r>
      <w:r>
        <w:rPr>
          <w:rFonts w:ascii="Times New Roman CYR" w:hAnsi="Times New Roman CYR"/>
          <w:sz w:val="21"/>
        </w:rPr>
        <w:t>Договору № ЭМ-__ от __.__.2026 г.</w:t>
      </w:r>
    </w:p>
    <w:p w14:paraId="B8000000">
      <w:pPr>
        <w:keepNext w:val="1"/>
        <w:widowControl w:val="1"/>
        <w:ind/>
        <w:jc w:val="center"/>
        <w:rPr>
          <w:sz w:val="21"/>
        </w:rPr>
      </w:pPr>
    </w:p>
    <w:p w14:paraId="B9000000">
      <w:pPr>
        <w:keepNext w:val="1"/>
        <w:widowControl w:val="1"/>
        <w:ind/>
        <w:jc w:val="center"/>
        <w:rPr>
          <w:b w:val="1"/>
          <w:sz w:val="4"/>
        </w:rPr>
      </w:pPr>
    </w:p>
    <w:p w14:paraId="BA000000">
      <w:pPr>
        <w:widowControl w:val="1"/>
        <w:ind/>
        <w:jc w:val="center"/>
        <w:rPr>
          <w:rFonts w:ascii="Times New Roman" w:hAnsi="Times New Roman"/>
          <w:b w:val="1"/>
          <w:sz w:val="24"/>
        </w:rPr>
      </w:pPr>
      <w:r>
        <w:rPr>
          <w:rFonts w:ascii="Times New Roman" w:hAnsi="Times New Roman"/>
          <w:b w:val="1"/>
          <w:sz w:val="24"/>
        </w:rPr>
        <w:t>Техническое задание  (Задание на оценку)</w:t>
      </w:r>
    </w:p>
    <w:p w14:paraId="BB000000">
      <w:pPr>
        <w:widowControl w:val="1"/>
        <w:ind/>
        <w:jc w:val="center"/>
        <w:rPr>
          <w:rFonts w:ascii="Times New Roman" w:hAnsi="Times New Roman"/>
          <w:b w:val="1"/>
          <w:sz w:val="24"/>
        </w:rPr>
      </w:pPr>
    </w:p>
    <w:tbl>
      <w:tblPr>
        <w:tblStyle w:val="Style_7"/>
        <w:tblW w:type="auto" w:w="0"/>
        <w:tblInd w:type="dxa" w:w="-72"/>
        <w:tblLayout w:type="fixed"/>
      </w:tblPr>
      <w:tblGrid>
        <w:gridCol w:w="2448"/>
        <w:gridCol w:w="7230"/>
      </w:tblGrid>
      <w:tr>
        <w:trPr>
          <w:trHeight w:hRule="atLeast" w:val="20"/>
        </w:trPr>
        <w:tc>
          <w:tcPr>
            <w:tcW w:type="dxa" w:w="2448"/>
            <w:tcBorders>
              <w:top w:color="000000" w:sz="3" w:val="single"/>
              <w:left w:color="000000" w:sz="3" w:val="single"/>
              <w:bottom w:color="000000" w:sz="3" w:val="single"/>
              <w:right w:color="000000" w:sz="3" w:val="single"/>
            </w:tcBorders>
            <w:shd w:fill="FFFFFF" w:val="clear"/>
          </w:tcPr>
          <w:p w14:paraId="BC000000">
            <w:pPr>
              <w:rPr>
                <w:rFonts w:ascii="Times New Roman" w:hAnsi="Times New Roman"/>
                <w:b w:val="1"/>
                <w:spacing w:val="-6"/>
                <w:sz w:val="24"/>
              </w:rPr>
            </w:pPr>
            <w:r>
              <w:rPr>
                <w:rFonts w:ascii="Times New Roman" w:hAnsi="Times New Roman"/>
                <w:b w:val="1"/>
                <w:spacing w:val="-6"/>
                <w:sz w:val="24"/>
              </w:rPr>
              <w:t>Объект оценки (ОО)</w:t>
            </w:r>
          </w:p>
        </w:tc>
        <w:tc>
          <w:tcPr>
            <w:tcW w:type="dxa" w:w="7230"/>
            <w:tcBorders>
              <w:top w:color="000000" w:sz="3" w:val="single"/>
              <w:left w:color="000000" w:sz="3" w:val="single"/>
              <w:bottom w:color="000000" w:sz="3" w:val="single"/>
              <w:right w:color="000000" w:sz="3" w:val="single"/>
            </w:tcBorders>
            <w:shd w:fill="FFFFFF" w:val="clear"/>
            <w:vAlign w:val="center"/>
          </w:tcPr>
          <w:p w14:paraId="BD000000">
            <w:pPr>
              <w:widowControl w:val="1"/>
              <w:ind/>
              <w:jc w:val="both"/>
              <w:rPr>
                <w:rFonts w:ascii="Times New Roman" w:hAnsi="Times New Roman"/>
                <w:spacing w:val="-6"/>
                <w:sz w:val="24"/>
              </w:rPr>
            </w:pPr>
            <w:r>
              <w:rPr>
                <w:rFonts w:ascii="Times New Roman" w:hAnsi="Times New Roman"/>
                <w:sz w:val="24"/>
              </w:rPr>
              <w:t>Помещения нежилого фонда, площадь 94,8 кв.м., расположенное в здании бани с общей площадью 219,3 кв.м., кадастровый номер  47:22:0342001:152, по адресу: Ленинградская область, Волосовский район, д. Рабитицы, д. Б/Н</w:t>
            </w:r>
          </w:p>
        </w:tc>
      </w:tr>
      <w:tr>
        <w:trPr>
          <w:trHeight w:hRule="atLeast" w:val="20"/>
        </w:trPr>
        <w:tc>
          <w:tcPr>
            <w:tcW w:type="dxa" w:w="2448"/>
            <w:tcBorders>
              <w:top w:color="000000" w:sz="3" w:val="single"/>
              <w:left w:color="000000" w:sz="3" w:val="single"/>
              <w:bottom w:color="000000" w:sz="3" w:val="single"/>
              <w:right w:color="000000" w:sz="3" w:val="single"/>
            </w:tcBorders>
            <w:shd w:fill="FFFFFF" w:val="clear"/>
          </w:tcPr>
          <w:p w14:paraId="BE000000">
            <w:pPr>
              <w:rPr>
                <w:rFonts w:ascii="Times New Roman" w:hAnsi="Times New Roman"/>
                <w:b w:val="1"/>
                <w:spacing w:val="-6"/>
                <w:sz w:val="24"/>
              </w:rPr>
            </w:pPr>
            <w:r>
              <w:rPr>
                <w:rFonts w:ascii="Times New Roman" w:hAnsi="Times New Roman"/>
                <w:b w:val="1"/>
                <w:spacing w:val="-6"/>
                <w:sz w:val="24"/>
              </w:rPr>
              <w:t>Цель и задача оценки:</w:t>
            </w:r>
          </w:p>
        </w:tc>
        <w:tc>
          <w:tcPr>
            <w:tcW w:type="dxa" w:w="7230"/>
            <w:tcBorders>
              <w:top w:color="000000" w:sz="3" w:val="single"/>
              <w:left w:color="000000" w:sz="3" w:val="single"/>
              <w:bottom w:color="000000" w:sz="3" w:val="single"/>
              <w:right w:color="000000" w:sz="3" w:val="single"/>
            </w:tcBorders>
            <w:shd w:fill="FFFFFF" w:val="clear"/>
            <w:vAlign w:val="center"/>
          </w:tcPr>
          <w:p w14:paraId="BF000000">
            <w:pPr>
              <w:widowControl w:val="1"/>
              <w:ind/>
              <w:jc w:val="both"/>
              <w:rPr>
                <w:rFonts w:ascii="Times New Roman" w:hAnsi="Times New Roman"/>
                <w:spacing w:val="-6"/>
                <w:sz w:val="24"/>
              </w:rPr>
            </w:pPr>
            <w:r>
              <w:rPr>
                <w:rFonts w:ascii="Times New Roman" w:hAnsi="Times New Roman"/>
                <w:spacing w:val="-6"/>
                <w:sz w:val="24"/>
              </w:rPr>
              <w:t xml:space="preserve">Определение </w:t>
            </w:r>
            <w:r>
              <w:rPr>
                <w:rFonts w:ascii="Times New Roman" w:hAnsi="Times New Roman"/>
                <w:sz w:val="24"/>
              </w:rPr>
              <w:t>рыночной стоимости годовой арендной платы за право владения и пользование объектом недвижимого имущества: ОО № 1: Помещения нежилого фонда, площадь 94,8 кв.м., расположенное в здании бани с общей площадью 219,3 кв.м., кадастровый номер  47:22:0342001:152, по адресу: Ленинградская область, Волосовский район, д. Рабитицы, д. Б/Н</w:t>
            </w:r>
          </w:p>
        </w:tc>
      </w:tr>
      <w:tr>
        <w:trPr>
          <w:trHeight w:hRule="atLeast" w:val="20"/>
        </w:trPr>
        <w:tc>
          <w:tcPr>
            <w:tcW w:type="dxa" w:w="2448"/>
            <w:tcBorders>
              <w:top w:color="000000" w:sz="3" w:val="single"/>
              <w:left w:color="000000" w:sz="3" w:val="single"/>
              <w:bottom w:color="000000" w:sz="3" w:val="single"/>
              <w:right w:color="000000" w:sz="3" w:val="single"/>
            </w:tcBorders>
            <w:shd w:fill="FFFFFF" w:val="clear"/>
          </w:tcPr>
          <w:p w14:paraId="C0000000">
            <w:pPr>
              <w:rPr>
                <w:rFonts w:ascii="Times New Roman" w:hAnsi="Times New Roman"/>
                <w:b w:val="1"/>
                <w:spacing w:val="-6"/>
                <w:sz w:val="24"/>
              </w:rPr>
            </w:pPr>
            <w:r>
              <w:rPr>
                <w:rFonts w:ascii="Times New Roman" w:hAnsi="Times New Roman"/>
                <w:b w:val="1"/>
                <w:spacing w:val="-6"/>
                <w:sz w:val="24"/>
              </w:rPr>
              <w:t>Вид определяемой стоимости объекта оценки:</w:t>
            </w:r>
          </w:p>
        </w:tc>
        <w:tc>
          <w:tcPr>
            <w:tcW w:type="dxa" w:w="7230"/>
            <w:tcBorders>
              <w:top w:color="000000" w:sz="3" w:val="single"/>
              <w:left w:color="000000" w:sz="3" w:val="single"/>
              <w:bottom w:color="000000" w:sz="3" w:val="single"/>
              <w:right w:color="000000" w:sz="3" w:val="single"/>
            </w:tcBorders>
            <w:shd w:fill="FFFFFF" w:val="clear"/>
          </w:tcPr>
          <w:p w14:paraId="C1000000">
            <w:pPr>
              <w:pStyle w:val="Style_9"/>
              <w:rPr>
                <w:color w:val="000000"/>
                <w:spacing w:val="-6"/>
              </w:rPr>
            </w:pPr>
            <w:r>
              <w:rPr>
                <w:color w:val="000000"/>
                <w:spacing w:val="-6"/>
              </w:rPr>
              <w:t xml:space="preserve">Рыночная </w:t>
            </w:r>
          </w:p>
        </w:tc>
      </w:tr>
      <w:tr>
        <w:trPr>
          <w:trHeight w:hRule="atLeast" w:val="20"/>
        </w:trPr>
        <w:tc>
          <w:tcPr>
            <w:tcW w:type="dxa" w:w="2448"/>
            <w:tcBorders>
              <w:top w:color="000000" w:sz="3" w:val="single"/>
              <w:left w:color="000000" w:sz="3" w:val="single"/>
              <w:bottom w:color="000000" w:sz="3" w:val="single"/>
              <w:right w:color="000000" w:sz="3" w:val="single"/>
            </w:tcBorders>
            <w:shd w:fill="FFFFFF" w:val="clear"/>
          </w:tcPr>
          <w:p w14:paraId="C2000000">
            <w:pPr>
              <w:rPr>
                <w:rFonts w:ascii="Times New Roman" w:hAnsi="Times New Roman"/>
                <w:b w:val="1"/>
                <w:spacing w:val="-6"/>
                <w:sz w:val="24"/>
              </w:rPr>
            </w:pPr>
            <w:r>
              <w:rPr>
                <w:rFonts w:ascii="Times New Roman" w:hAnsi="Times New Roman"/>
                <w:b w:val="1"/>
                <w:sz w:val="24"/>
              </w:rPr>
              <w:t>Исходные данные</w:t>
            </w:r>
          </w:p>
        </w:tc>
        <w:tc>
          <w:tcPr>
            <w:tcW w:type="dxa" w:w="7230"/>
            <w:tcBorders>
              <w:top w:color="000000" w:sz="3" w:val="single"/>
              <w:left w:color="000000" w:sz="3" w:val="single"/>
              <w:bottom w:color="000000" w:sz="3" w:val="single"/>
              <w:right w:color="000000" w:sz="3" w:val="single"/>
            </w:tcBorders>
            <w:shd w:fill="FFFFFF" w:val="clear"/>
            <w:vAlign w:val="center"/>
          </w:tcPr>
          <w:p w14:paraId="C3000000">
            <w:pPr>
              <w:widowControl w:val="1"/>
              <w:ind/>
              <w:jc w:val="both"/>
              <w:rPr>
                <w:rFonts w:ascii="Times New Roman" w:hAnsi="Times New Roman"/>
                <w:spacing w:val="-6"/>
                <w:sz w:val="24"/>
              </w:rPr>
            </w:pPr>
            <w:r>
              <w:rPr>
                <w:rFonts w:ascii="Times New Roman" w:hAnsi="Times New Roman"/>
                <w:sz w:val="24"/>
              </w:rPr>
              <w:t>Сбор исходных данных для проведения оценки поручается Исполнителю, с выездом на место нахождения помещений (</w:t>
            </w:r>
            <w:r>
              <w:rPr>
                <w:rFonts w:ascii="Times New Roman" w:hAnsi="Times New Roman"/>
                <w:spacing w:val="-6"/>
                <w:sz w:val="24"/>
              </w:rPr>
              <w:t xml:space="preserve">Ленинградская область, Волосовский район, </w:t>
            </w:r>
            <w:r>
              <w:rPr>
                <w:rFonts w:ascii="Times New Roman" w:hAnsi="Times New Roman"/>
                <w:sz w:val="24"/>
              </w:rPr>
              <w:t>д. Рабитицы, д. Б/Н</w:t>
            </w:r>
            <w:r>
              <w:rPr>
                <w:rFonts w:ascii="Times New Roman" w:hAnsi="Times New Roman"/>
                <w:sz w:val="24"/>
              </w:rPr>
              <w:t>)</w:t>
            </w:r>
          </w:p>
        </w:tc>
      </w:tr>
      <w:tr>
        <w:trPr>
          <w:trHeight w:hRule="atLeast" w:val="20"/>
        </w:trPr>
        <w:tc>
          <w:tcPr>
            <w:tcW w:type="dxa" w:w="2448"/>
            <w:tcBorders>
              <w:top w:color="000000" w:sz="3" w:val="single"/>
              <w:left w:color="000000" w:sz="3" w:val="single"/>
              <w:bottom w:color="000000" w:sz="3" w:val="single"/>
              <w:right w:color="000000" w:sz="3" w:val="single"/>
            </w:tcBorders>
            <w:shd w:fill="FFFFFF" w:val="clear"/>
          </w:tcPr>
          <w:p w14:paraId="C4000000">
            <w:pPr>
              <w:rPr>
                <w:rFonts w:ascii="Times New Roman" w:hAnsi="Times New Roman"/>
                <w:b w:val="1"/>
                <w:spacing w:val="-6"/>
                <w:sz w:val="24"/>
              </w:rPr>
            </w:pPr>
            <w:r>
              <w:rPr>
                <w:rFonts w:ascii="Times New Roman" w:hAnsi="Times New Roman"/>
                <w:b w:val="1"/>
                <w:spacing w:val="-6"/>
                <w:sz w:val="24"/>
              </w:rPr>
              <w:t>Дата проведения оценки:</w:t>
            </w:r>
          </w:p>
        </w:tc>
        <w:tc>
          <w:tcPr>
            <w:tcW w:type="dxa" w:w="7230"/>
            <w:tcBorders>
              <w:top w:color="000000" w:sz="3" w:val="single"/>
              <w:left w:color="000000" w:sz="3" w:val="single"/>
              <w:bottom w:color="000000" w:sz="3" w:val="single"/>
              <w:right w:color="000000" w:sz="3" w:val="single"/>
            </w:tcBorders>
            <w:shd w:fill="FFFFFF" w:val="clear"/>
          </w:tcPr>
          <w:p w14:paraId="C5000000">
            <w:pPr>
              <w:rPr>
                <w:rFonts w:ascii="Times New Roman" w:hAnsi="Times New Roman"/>
                <w:spacing w:val="-6"/>
                <w:sz w:val="24"/>
              </w:rPr>
            </w:pPr>
            <w:r>
              <w:rPr>
                <w:rFonts w:ascii="Times New Roman" w:hAnsi="Times New Roman"/>
                <w:spacing w:val="-6"/>
                <w:sz w:val="24"/>
              </w:rPr>
              <w:t xml:space="preserve">Совпадает с датой осмотра  </w:t>
            </w:r>
          </w:p>
        </w:tc>
      </w:tr>
      <w:tr>
        <w:trPr>
          <w:trHeight w:hRule="atLeast" w:val="20"/>
        </w:trPr>
        <w:tc>
          <w:tcPr>
            <w:tcW w:type="dxa" w:w="2448"/>
            <w:tcBorders>
              <w:top w:color="000000" w:sz="3" w:val="single"/>
              <w:left w:color="000000" w:sz="3" w:val="single"/>
              <w:bottom w:color="000000" w:sz="3" w:val="single"/>
              <w:right w:color="000000" w:sz="3" w:val="single"/>
            </w:tcBorders>
            <w:shd w:fill="FFFFFF" w:val="clear"/>
          </w:tcPr>
          <w:p w14:paraId="C6000000">
            <w:pPr>
              <w:rPr>
                <w:rFonts w:ascii="Times New Roman" w:hAnsi="Times New Roman"/>
                <w:b w:val="1"/>
                <w:spacing w:val="-6"/>
                <w:sz w:val="24"/>
              </w:rPr>
            </w:pPr>
            <w:r>
              <w:rPr>
                <w:rFonts w:ascii="Times New Roman" w:hAnsi="Times New Roman"/>
                <w:b w:val="1"/>
                <w:spacing w:val="-6"/>
                <w:sz w:val="24"/>
              </w:rPr>
              <w:t>Срок проведения оценки:</w:t>
            </w:r>
          </w:p>
        </w:tc>
        <w:tc>
          <w:tcPr>
            <w:tcW w:type="dxa" w:w="7230"/>
            <w:tcBorders>
              <w:top w:color="000000" w:sz="3" w:val="single"/>
              <w:left w:color="000000" w:sz="3" w:val="single"/>
              <w:bottom w:color="000000" w:sz="3" w:val="single"/>
              <w:right w:color="000000" w:sz="3" w:val="single"/>
            </w:tcBorders>
            <w:shd w:fill="FFFFFF" w:val="clear"/>
          </w:tcPr>
          <w:p w14:paraId="C7000000">
            <w:pPr>
              <w:rPr>
                <w:rFonts w:ascii="Times New Roman" w:hAnsi="Times New Roman"/>
                <w:spacing w:val="-6"/>
                <w:sz w:val="24"/>
              </w:rPr>
            </w:pPr>
            <w:r>
              <w:rPr>
                <w:rFonts w:ascii="Times New Roman" w:hAnsi="Times New Roman"/>
                <w:spacing w:val="-6"/>
                <w:sz w:val="24"/>
              </w:rPr>
              <w:t xml:space="preserve">10 рабочих дней со дня заключения </w:t>
            </w:r>
            <w:r>
              <w:rPr>
                <w:rFonts w:ascii="Times New Roman" w:hAnsi="Times New Roman"/>
                <w:spacing w:val="-6"/>
                <w:sz w:val="24"/>
              </w:rPr>
              <w:t>Договора</w:t>
            </w:r>
          </w:p>
        </w:tc>
      </w:tr>
      <w:tr>
        <w:trPr>
          <w:trHeight w:hRule="atLeast" w:val="20"/>
        </w:trPr>
        <w:tc>
          <w:tcPr>
            <w:tcW w:type="dxa" w:w="2448"/>
            <w:tcBorders>
              <w:top w:color="000000" w:sz="3" w:val="single"/>
              <w:left w:color="000000" w:sz="3" w:val="single"/>
              <w:bottom w:color="000000" w:sz="3" w:val="single"/>
              <w:right w:color="000000" w:sz="3" w:val="single"/>
            </w:tcBorders>
            <w:shd w:fill="FFFFFF" w:val="clear"/>
          </w:tcPr>
          <w:p w14:paraId="C8000000">
            <w:pPr>
              <w:rPr>
                <w:rFonts w:ascii="Times New Roman" w:hAnsi="Times New Roman"/>
                <w:b w:val="1"/>
                <w:spacing w:val="-6"/>
                <w:sz w:val="24"/>
              </w:rPr>
            </w:pPr>
            <w:r>
              <w:rPr>
                <w:rFonts w:ascii="Times New Roman" w:hAnsi="Times New Roman"/>
                <w:b w:val="1"/>
                <w:spacing w:val="-6"/>
                <w:sz w:val="24"/>
              </w:rPr>
              <w:t>Применяемые стандарты и законы:</w:t>
            </w:r>
          </w:p>
        </w:tc>
        <w:tc>
          <w:tcPr>
            <w:tcW w:type="dxa" w:w="7230"/>
            <w:tcBorders>
              <w:top w:color="000000" w:sz="3" w:val="single"/>
              <w:left w:color="000000" w:sz="3" w:val="single"/>
              <w:bottom w:color="000000" w:sz="3" w:val="single"/>
              <w:right w:color="000000" w:sz="3" w:val="single"/>
            </w:tcBorders>
            <w:shd w:fill="FFFFFF" w:val="clear"/>
            <w:vAlign w:val="center"/>
          </w:tcPr>
          <w:p w14:paraId="C9000000">
            <w:pPr>
              <w:widowControl w:val="1"/>
              <w:numPr>
                <w:ilvl w:val="0"/>
                <w:numId w:val="3"/>
              </w:numPr>
              <w:tabs>
                <w:tab w:leader="none" w:pos="720" w:val="clear"/>
              </w:tabs>
              <w:ind w:firstLine="0" w:left="0"/>
              <w:jc w:val="both"/>
              <w:rPr>
                <w:rFonts w:ascii="Times New Roman" w:hAnsi="Times New Roman"/>
                <w:spacing w:val="-6"/>
                <w:sz w:val="24"/>
              </w:rPr>
            </w:pPr>
            <w:r>
              <w:rPr>
                <w:rFonts w:ascii="Times New Roman" w:hAnsi="Times New Roman"/>
                <w:spacing w:val="-6"/>
                <w:sz w:val="24"/>
              </w:rPr>
              <w:t>Федеральный стандарт оценки «Структура федеральных стандартов оценки и основные понятия, используемые в федеральных стандартах оценки (ФСО I)», Приложение №1 к приказу Минэкономразвития России от 14 апреля 2022г. №200.</w:t>
            </w:r>
          </w:p>
          <w:p w14:paraId="CA000000">
            <w:pPr>
              <w:widowControl w:val="1"/>
              <w:numPr>
                <w:ilvl w:val="0"/>
                <w:numId w:val="3"/>
              </w:numPr>
              <w:tabs>
                <w:tab w:leader="none" w:pos="720" w:val="clear"/>
              </w:tabs>
              <w:ind w:firstLine="0" w:left="0"/>
              <w:jc w:val="both"/>
              <w:rPr>
                <w:rFonts w:ascii="Times New Roman" w:hAnsi="Times New Roman"/>
                <w:spacing w:val="-6"/>
                <w:sz w:val="24"/>
              </w:rPr>
            </w:pPr>
            <w:r>
              <w:rPr>
                <w:rFonts w:ascii="Times New Roman" w:hAnsi="Times New Roman"/>
                <w:spacing w:val="-6"/>
                <w:sz w:val="24"/>
              </w:rPr>
              <w:t>Федеральный стандарт оценки «Виды стоимости (ФСО II)», Приложение №2 к приказу Минэкономразвития России от 14 апреля 2022г. №200.</w:t>
            </w:r>
          </w:p>
          <w:p w14:paraId="CB000000">
            <w:pPr>
              <w:widowControl w:val="1"/>
              <w:numPr>
                <w:ilvl w:val="0"/>
                <w:numId w:val="3"/>
              </w:numPr>
              <w:tabs>
                <w:tab w:leader="none" w:pos="720" w:val="clear"/>
              </w:tabs>
              <w:ind w:firstLine="0" w:left="0"/>
              <w:jc w:val="both"/>
              <w:rPr>
                <w:rFonts w:ascii="Times New Roman" w:hAnsi="Times New Roman"/>
                <w:spacing w:val="-6"/>
                <w:sz w:val="24"/>
              </w:rPr>
            </w:pPr>
            <w:r>
              <w:rPr>
                <w:rFonts w:ascii="Times New Roman" w:hAnsi="Times New Roman"/>
                <w:spacing w:val="-6"/>
                <w:sz w:val="24"/>
              </w:rPr>
              <w:t>Федеральный стандарт оценки «Процесс оценки (ФСО III)», Приложение №3 к приказу Минэкономразвития России от 14 апреля 2022г. №200.</w:t>
            </w:r>
          </w:p>
          <w:p w14:paraId="CC000000">
            <w:pPr>
              <w:widowControl w:val="1"/>
              <w:numPr>
                <w:ilvl w:val="0"/>
                <w:numId w:val="3"/>
              </w:numPr>
              <w:tabs>
                <w:tab w:leader="none" w:pos="720" w:val="clear"/>
              </w:tabs>
              <w:ind w:firstLine="0" w:left="0"/>
              <w:jc w:val="both"/>
              <w:rPr>
                <w:rFonts w:ascii="Times New Roman" w:hAnsi="Times New Roman"/>
                <w:spacing w:val="-6"/>
                <w:sz w:val="24"/>
              </w:rPr>
            </w:pPr>
            <w:r>
              <w:rPr>
                <w:rFonts w:ascii="Times New Roman" w:hAnsi="Times New Roman"/>
                <w:spacing w:val="-6"/>
                <w:sz w:val="24"/>
              </w:rPr>
              <w:t>Федеральный стандарт оценки «Задание на оценку (ФСО IV)», Приложение №4 к приказу Минэкономразвития России от 14 апреля 2022г. №200.</w:t>
            </w:r>
          </w:p>
          <w:p w14:paraId="CD000000">
            <w:pPr>
              <w:widowControl w:val="1"/>
              <w:numPr>
                <w:ilvl w:val="0"/>
                <w:numId w:val="3"/>
              </w:numPr>
              <w:tabs>
                <w:tab w:leader="none" w:pos="720" w:val="clear"/>
              </w:tabs>
              <w:ind w:firstLine="0" w:left="0"/>
              <w:jc w:val="both"/>
              <w:rPr>
                <w:rFonts w:ascii="Times New Roman" w:hAnsi="Times New Roman"/>
                <w:spacing w:val="-6"/>
                <w:sz w:val="24"/>
              </w:rPr>
            </w:pPr>
            <w:r>
              <w:rPr>
                <w:rFonts w:ascii="Times New Roman" w:hAnsi="Times New Roman"/>
                <w:spacing w:val="-6"/>
                <w:sz w:val="24"/>
              </w:rPr>
              <w:t>Федеральный стандарт оценки «Подходы и методы оценки (ФСО V)», Приложение №5 к приказу Минэкономразвития России от 14 апреля 2022г. №200.</w:t>
            </w:r>
          </w:p>
          <w:p w14:paraId="CE000000">
            <w:pPr>
              <w:widowControl w:val="1"/>
              <w:numPr>
                <w:ilvl w:val="0"/>
                <w:numId w:val="3"/>
              </w:numPr>
              <w:tabs>
                <w:tab w:leader="none" w:pos="720" w:val="clear"/>
              </w:tabs>
              <w:ind w:firstLine="0" w:left="0"/>
              <w:jc w:val="both"/>
              <w:rPr>
                <w:rFonts w:ascii="Times New Roman" w:hAnsi="Times New Roman"/>
                <w:spacing w:val="-6"/>
                <w:sz w:val="24"/>
              </w:rPr>
            </w:pPr>
            <w:r>
              <w:rPr>
                <w:rFonts w:ascii="Times New Roman" w:hAnsi="Times New Roman"/>
                <w:spacing w:val="-6"/>
                <w:sz w:val="24"/>
              </w:rPr>
              <w:t>Федеральный стандарт оценки «Отчет об оценке (ФСО VI)», Приложение №6 к приказу Минэкономразвития России от 14 апреля 2022г. №200.</w:t>
            </w:r>
          </w:p>
          <w:p w14:paraId="CF000000">
            <w:pPr>
              <w:widowControl w:val="1"/>
              <w:numPr>
                <w:ilvl w:val="0"/>
                <w:numId w:val="3"/>
              </w:numPr>
              <w:tabs>
                <w:tab w:leader="none" w:pos="720" w:val="clear"/>
              </w:tabs>
              <w:ind w:firstLine="0" w:left="0"/>
              <w:jc w:val="both"/>
              <w:rPr>
                <w:rFonts w:ascii="Times New Roman" w:hAnsi="Times New Roman"/>
                <w:spacing w:val="-6"/>
                <w:sz w:val="24"/>
              </w:rPr>
            </w:pPr>
            <w:r>
              <w:rPr>
                <w:rFonts w:ascii="Times New Roman" w:hAnsi="Times New Roman"/>
                <w:spacing w:val="-6"/>
                <w:sz w:val="24"/>
              </w:rPr>
              <w:t>Федеральный стандарт оценки ФСО № 7 «Оценка недвижимости», утвержденный Приказом Министерства экономического развития РФ №329 от 25.09.2014г.</w:t>
            </w:r>
          </w:p>
          <w:p w14:paraId="D0000000">
            <w:pPr>
              <w:widowControl w:val="1"/>
              <w:tabs>
                <w:tab w:leader="none" w:pos="266" w:val="left"/>
                <w:tab w:leader="none" w:pos="1110" w:val="left"/>
                <w:tab w:leader="none" w:pos="5145" w:val="left"/>
              </w:tabs>
              <w:ind/>
              <w:jc w:val="both"/>
              <w:rPr>
                <w:rFonts w:ascii="Times New Roman" w:hAnsi="Times New Roman"/>
                <w:spacing w:val="-6"/>
                <w:sz w:val="24"/>
              </w:rPr>
            </w:pPr>
          </w:p>
        </w:tc>
      </w:tr>
      <w:tr>
        <w:trPr>
          <w:trHeight w:hRule="atLeast" w:val="20"/>
        </w:trPr>
        <w:tc>
          <w:tcPr>
            <w:tcW w:type="dxa" w:w="2448"/>
            <w:tcBorders>
              <w:top w:color="000000" w:sz="3" w:val="single"/>
              <w:left w:color="000000" w:sz="3" w:val="single"/>
              <w:bottom w:color="000000" w:sz="3" w:val="single"/>
              <w:right w:color="000000" w:sz="3" w:val="single"/>
            </w:tcBorders>
            <w:shd w:fill="FFFFFF" w:val="clear"/>
          </w:tcPr>
          <w:p w14:paraId="D1000000">
            <w:pPr>
              <w:rPr>
                <w:rFonts w:ascii="Times New Roman" w:hAnsi="Times New Roman"/>
                <w:b w:val="1"/>
                <w:spacing w:val="-6"/>
                <w:sz w:val="24"/>
              </w:rPr>
            </w:pPr>
            <w:r>
              <w:rPr>
                <w:rFonts w:ascii="Times New Roman" w:hAnsi="Times New Roman"/>
                <w:b w:val="1"/>
                <w:spacing w:val="-6"/>
                <w:sz w:val="24"/>
              </w:rPr>
              <w:t xml:space="preserve">Ограничения, связанные с предполагаемым использованием </w:t>
            </w:r>
            <w:r>
              <w:rPr>
                <w:rFonts w:ascii="Times New Roman" w:hAnsi="Times New Roman"/>
                <w:b w:val="1"/>
                <w:spacing w:val="-6"/>
                <w:sz w:val="24"/>
              </w:rPr>
              <w:t>результатов оценки:</w:t>
            </w:r>
          </w:p>
        </w:tc>
        <w:tc>
          <w:tcPr>
            <w:tcW w:type="dxa" w:w="7230"/>
            <w:tcBorders>
              <w:top w:color="000000" w:sz="3" w:val="single"/>
              <w:left w:color="000000" w:sz="3" w:val="single"/>
              <w:bottom w:color="000000" w:sz="3" w:val="single"/>
              <w:right w:color="000000" w:sz="3" w:val="single"/>
            </w:tcBorders>
            <w:shd w:fill="FFFFFF" w:val="clear"/>
            <w:vAlign w:val="center"/>
          </w:tcPr>
          <w:p w14:paraId="D2000000">
            <w:pPr>
              <w:widowControl w:val="0"/>
              <w:numPr>
                <w:ilvl w:val="0"/>
                <w:numId w:val="4"/>
              </w:numPr>
              <w:ind/>
              <w:jc w:val="both"/>
              <w:rPr>
                <w:rFonts w:ascii="Times New Roman" w:hAnsi="Times New Roman"/>
                <w:spacing w:val="-6"/>
                <w:sz w:val="24"/>
              </w:rPr>
            </w:pPr>
            <w:r>
              <w:rPr>
                <w:rFonts w:ascii="Times New Roman" w:hAnsi="Times New Roman"/>
                <w:spacing w:val="-6"/>
                <w:sz w:val="24"/>
              </w:rPr>
              <w:t xml:space="preserve">Согласно статье 12 Федерального Закона № 135-ФЗ от 29.07.1998 г. «Об оценочной деятельности в Российской Федерации» с изменениями и дополнениями на дату оценки итоговая величина рыночной стоимости объекта оценки, указанная в отчете, составленном по </w:t>
            </w:r>
            <w:r>
              <w:rPr>
                <w:rFonts w:ascii="Times New Roman" w:hAnsi="Times New Roman"/>
                <w:spacing w:val="-6"/>
                <w:sz w:val="24"/>
              </w:rPr>
              <w:t>основаниям и в порядке, которые предусмотрены вышеуказанным законом, признается достоверной и рекомендуемой для целей совершения сделки с объектом оценки, если в порядке, установленном законодательством РФ, или в судебном порядке не установлено иное.</w:t>
            </w:r>
          </w:p>
          <w:p w14:paraId="D3000000">
            <w:pPr>
              <w:widowControl w:val="0"/>
              <w:numPr>
                <w:ilvl w:val="0"/>
                <w:numId w:val="4"/>
              </w:numPr>
              <w:ind/>
              <w:jc w:val="both"/>
              <w:rPr>
                <w:rFonts w:ascii="Times New Roman" w:hAnsi="Times New Roman"/>
                <w:spacing w:val="-6"/>
                <w:sz w:val="24"/>
              </w:rPr>
            </w:pPr>
            <w:r>
              <w:rPr>
                <w:rFonts w:ascii="Times New Roman" w:hAnsi="Times New Roman"/>
                <w:spacing w:val="-6"/>
                <w:sz w:val="24"/>
              </w:rPr>
              <w:t>Ни Заказчик, ни Оценщик не могут использовать Отчет иначе, чем это предусмотрено Договором на оценку. Разглашение содержания настоящего Отчета возможно только после предварительного письменного согласования.</w:t>
            </w:r>
          </w:p>
          <w:p w14:paraId="D4000000">
            <w:pPr>
              <w:widowControl w:val="0"/>
              <w:numPr>
                <w:ilvl w:val="0"/>
                <w:numId w:val="4"/>
              </w:numPr>
              <w:ind/>
              <w:jc w:val="both"/>
              <w:rPr>
                <w:rFonts w:ascii="Times New Roman" w:hAnsi="Times New Roman"/>
                <w:spacing w:val="-6"/>
                <w:sz w:val="24"/>
              </w:rPr>
            </w:pPr>
            <w:r>
              <w:rPr>
                <w:rFonts w:ascii="Times New Roman" w:hAnsi="Times New Roman"/>
                <w:sz w:val="24"/>
              </w:rPr>
              <w:t>Итоговая величина стоимости Объекта оценки, указанная в Отчете, может быть признана рекомендуемой для принятия решения, если с даты составления Отчета об оценке прошло не более 6 месяцев.</w:t>
            </w:r>
          </w:p>
        </w:tc>
      </w:tr>
      <w:tr>
        <w:trPr>
          <w:trHeight w:hRule="atLeast" w:val="20"/>
        </w:trPr>
        <w:tc>
          <w:tcPr>
            <w:tcW w:type="dxa" w:w="2448"/>
            <w:tcBorders>
              <w:top w:color="000000" w:sz="3" w:val="single"/>
              <w:left w:color="000000" w:sz="3" w:val="single"/>
              <w:bottom w:color="000000" w:sz="3" w:val="single"/>
              <w:right w:color="000000" w:sz="3" w:val="single"/>
            </w:tcBorders>
            <w:shd w:fill="FFFFFF" w:val="clear"/>
          </w:tcPr>
          <w:p w14:paraId="D5000000">
            <w:pPr>
              <w:rPr>
                <w:rFonts w:ascii="Times New Roman" w:hAnsi="Times New Roman"/>
                <w:b w:val="1"/>
                <w:spacing w:val="-6"/>
                <w:sz w:val="24"/>
              </w:rPr>
            </w:pPr>
            <w:r>
              <w:rPr>
                <w:rFonts w:ascii="Times New Roman" w:hAnsi="Times New Roman"/>
                <w:b w:val="1"/>
                <w:spacing w:val="-6"/>
                <w:sz w:val="24"/>
              </w:rPr>
              <w:t>Допущения и ограничения, на которых должна основываться оценка:</w:t>
            </w:r>
          </w:p>
        </w:tc>
        <w:tc>
          <w:tcPr>
            <w:tcW w:type="dxa" w:w="7230"/>
            <w:tcBorders>
              <w:top w:color="000000" w:sz="3" w:val="single"/>
              <w:left w:color="000000" w:sz="3" w:val="single"/>
              <w:bottom w:color="000000" w:sz="3" w:val="single"/>
              <w:right w:color="000000" w:sz="3" w:val="single"/>
            </w:tcBorders>
            <w:shd w:fill="FFFFFF" w:val="clear"/>
            <w:vAlign w:val="center"/>
          </w:tcPr>
          <w:p w14:paraId="D6000000">
            <w:pPr>
              <w:widowControl w:val="1"/>
              <w:numPr>
                <w:ilvl w:val="0"/>
                <w:numId w:val="4"/>
              </w:numPr>
              <w:ind w:hanging="1" w:left="34"/>
              <w:jc w:val="both"/>
              <w:rPr>
                <w:rFonts w:ascii="Times New Roman" w:hAnsi="Times New Roman"/>
                <w:spacing w:val="-6"/>
                <w:sz w:val="24"/>
              </w:rPr>
            </w:pPr>
            <w:r>
              <w:rPr>
                <w:rFonts w:ascii="Times New Roman" w:hAnsi="Times New Roman"/>
                <w:spacing w:val="-6"/>
                <w:sz w:val="24"/>
              </w:rPr>
              <w:t>Федеральным законом № 135 от 29 июля 1998 года «Об оценочной деятельности в Российской Федерации» с изменениями и дополнениями на дату оценки; Федеральными стандартами оценки ФСО I, ФСО II, ФСО III, ФСО IV, ФСО V, ФСО VI и ФСО № 7.</w:t>
            </w:r>
          </w:p>
          <w:p w14:paraId="D7000000">
            <w:pPr>
              <w:widowControl w:val="1"/>
              <w:numPr>
                <w:ilvl w:val="0"/>
                <w:numId w:val="4"/>
              </w:numPr>
              <w:ind w:hanging="1" w:left="34"/>
              <w:jc w:val="both"/>
              <w:rPr>
                <w:rFonts w:ascii="Times New Roman" w:hAnsi="Times New Roman"/>
                <w:spacing w:val="-6"/>
                <w:sz w:val="24"/>
              </w:rPr>
            </w:pPr>
            <w:r>
              <w:rPr>
                <w:rFonts w:ascii="Times New Roman" w:hAnsi="Times New Roman"/>
                <w:spacing w:val="-6"/>
                <w:sz w:val="24"/>
              </w:rPr>
              <w:t>Оценщик не несет ответственности за исчерпывающее юридическое описание прав оцениваемой собственности или за вопросы, связанные с рассмотрением прав собственности. Право оцениваемой собственности считается достоверным и достаточным для рыночного оборота оцениваемого объекта. Оцениваемая собственность считается свободной от каких-либо претензий или обременений, кроме оговоренных в отчете. Оценщик не несет ответственности за наличие каких-либо скрытых факторов, которые могут оказать влияние на стоимость объектов, ни за необходимость выявления таковых.</w:t>
            </w:r>
          </w:p>
          <w:p w14:paraId="D8000000">
            <w:pPr>
              <w:widowControl w:val="1"/>
              <w:numPr>
                <w:ilvl w:val="0"/>
                <w:numId w:val="4"/>
              </w:numPr>
              <w:ind w:hanging="1" w:left="34"/>
              <w:jc w:val="both"/>
              <w:rPr>
                <w:rFonts w:ascii="Times New Roman" w:hAnsi="Times New Roman"/>
                <w:spacing w:val="-6"/>
                <w:sz w:val="24"/>
              </w:rPr>
            </w:pPr>
            <w:r>
              <w:rPr>
                <w:rFonts w:ascii="Times New Roman" w:hAnsi="Times New Roman"/>
                <w:spacing w:val="-6"/>
                <w:sz w:val="24"/>
              </w:rPr>
              <w:t>Под стоимостью объекта оценки определяется его стоимость, рассчитанная безотносительно торговых издержек и без учета каких-либо сопутствующих налогов.</w:t>
            </w:r>
          </w:p>
          <w:p w14:paraId="D9000000">
            <w:pPr>
              <w:widowControl w:val="1"/>
              <w:numPr>
                <w:ilvl w:val="0"/>
                <w:numId w:val="4"/>
              </w:numPr>
              <w:ind w:hanging="1" w:left="34"/>
              <w:jc w:val="both"/>
              <w:rPr>
                <w:rFonts w:ascii="Times New Roman" w:hAnsi="Times New Roman"/>
                <w:spacing w:val="-6"/>
                <w:sz w:val="24"/>
              </w:rPr>
            </w:pPr>
            <w:r>
              <w:rPr>
                <w:rFonts w:ascii="Times New Roman" w:hAnsi="Times New Roman"/>
                <w:spacing w:val="-6"/>
                <w:sz w:val="24"/>
              </w:rPr>
              <w:t>Стоимость объекта оценки определяется с учетом особенностей его правового титула, наличия возможных ограничений и действующих / текущих обременений, наличие которых (в том числе невозможность их устранения Собственником недвижимого имущества в одностороннем порядке) в случае отчуждения объектов оценки, окажет влияние на инвестиционную привлекательность недвижимого имущества.</w:t>
            </w:r>
          </w:p>
          <w:p w14:paraId="DA000000">
            <w:pPr>
              <w:widowControl w:val="1"/>
              <w:numPr>
                <w:ilvl w:val="0"/>
                <w:numId w:val="4"/>
              </w:numPr>
              <w:ind w:hanging="1" w:left="34"/>
              <w:jc w:val="both"/>
              <w:rPr>
                <w:rFonts w:ascii="Times New Roman" w:hAnsi="Times New Roman"/>
                <w:spacing w:val="-6"/>
                <w:sz w:val="24"/>
              </w:rPr>
            </w:pPr>
            <w:r>
              <w:rPr>
                <w:rFonts w:ascii="Times New Roman" w:hAnsi="Times New Roman"/>
                <w:spacing w:val="-6"/>
                <w:sz w:val="24"/>
              </w:rPr>
              <w:t>Оценщик обязан провести анализ на предмет установления наличия / отсутствия обременений недвижимого имущества, права на которое оцениваются, на основании документов, содержащих сведения о наличии обременений, установленных в отношении оцениваемого имущества, включая обременение сервитутом, залогом или долговыми обязательствами, наличием арендаторов, соглашений, контрактов, договоров и других обременений (если таковые имеются).</w:t>
            </w:r>
          </w:p>
          <w:p w14:paraId="DB000000">
            <w:pPr>
              <w:widowControl w:val="1"/>
              <w:numPr>
                <w:ilvl w:val="0"/>
                <w:numId w:val="4"/>
              </w:numPr>
              <w:ind w:hanging="1" w:left="34"/>
              <w:jc w:val="both"/>
              <w:rPr>
                <w:rFonts w:ascii="Times New Roman" w:hAnsi="Times New Roman"/>
                <w:spacing w:val="-6"/>
                <w:sz w:val="24"/>
              </w:rPr>
            </w:pPr>
            <w:r>
              <w:rPr>
                <w:rFonts w:ascii="Times New Roman" w:hAnsi="Times New Roman"/>
                <w:spacing w:val="-6"/>
                <w:sz w:val="24"/>
              </w:rPr>
              <w:t>Допускается незначительное отклонение расчетов, выполненных по этапам в табличном процессоре Microsoft Office Excel, от расчетов, выполненных на калькуляторе.</w:t>
            </w:r>
          </w:p>
          <w:p w14:paraId="DC000000">
            <w:pPr>
              <w:widowControl w:val="1"/>
              <w:numPr>
                <w:ilvl w:val="0"/>
                <w:numId w:val="4"/>
              </w:numPr>
              <w:ind w:hanging="1" w:left="34"/>
              <w:jc w:val="both"/>
              <w:rPr>
                <w:rFonts w:ascii="Times New Roman" w:hAnsi="Times New Roman"/>
                <w:spacing w:val="-6"/>
                <w:sz w:val="24"/>
              </w:rPr>
            </w:pPr>
            <w:r>
              <w:rPr>
                <w:rFonts w:ascii="Times New Roman" w:hAnsi="Times New Roman"/>
                <w:spacing w:val="-6"/>
                <w:sz w:val="24"/>
              </w:rPr>
              <w:t>Оценщик не несет ответственности за достоверность сведений, предоставленных Заказчиком.</w:t>
            </w:r>
          </w:p>
          <w:p w14:paraId="DD000000">
            <w:pPr>
              <w:widowControl w:val="1"/>
              <w:numPr>
                <w:ilvl w:val="0"/>
                <w:numId w:val="4"/>
              </w:numPr>
              <w:ind w:hanging="1" w:left="34"/>
              <w:jc w:val="both"/>
              <w:rPr>
                <w:rFonts w:ascii="Times New Roman" w:hAnsi="Times New Roman"/>
                <w:spacing w:val="-6"/>
                <w:sz w:val="24"/>
              </w:rPr>
            </w:pPr>
            <w:r>
              <w:rPr>
                <w:rFonts w:ascii="Times New Roman" w:hAnsi="Times New Roman"/>
                <w:spacing w:val="-6"/>
                <w:sz w:val="24"/>
              </w:rPr>
              <w:t xml:space="preserve">Сведения, полученные Оценщиками от третьих сторон и содержащиеся в отчете, считаются достоверными. Однако Оценщик не может гарантировать абсолютную точность информации, поэтому указывается источник информации. Ссылки на источник информации </w:t>
            </w:r>
            <w:r>
              <w:rPr>
                <w:rFonts w:ascii="Times New Roman" w:hAnsi="Times New Roman"/>
                <w:spacing w:val="-6"/>
                <w:sz w:val="24"/>
              </w:rPr>
              <w:t>приводятся в соответствующих разделах Отчета.</w:t>
            </w:r>
          </w:p>
          <w:p w14:paraId="DE000000">
            <w:pPr>
              <w:widowControl w:val="1"/>
              <w:numPr>
                <w:ilvl w:val="0"/>
                <w:numId w:val="4"/>
              </w:numPr>
              <w:tabs>
                <w:tab w:leader="none" w:pos="1260" w:val="left"/>
              </w:tabs>
              <w:ind w:hanging="1" w:left="34"/>
              <w:jc w:val="both"/>
              <w:rPr>
                <w:rFonts w:ascii="Times New Roman" w:hAnsi="Times New Roman"/>
                <w:spacing w:val="-6"/>
                <w:sz w:val="24"/>
              </w:rPr>
            </w:pPr>
            <w:r>
              <w:rPr>
                <w:rFonts w:ascii="Times New Roman" w:hAnsi="Times New Roman"/>
                <w:spacing w:val="-6"/>
                <w:sz w:val="24"/>
              </w:rPr>
              <w:t>Оценщик вправе самостоятельно определять конкретные методы оценки в рамках применения каждого из подходов.</w:t>
            </w:r>
          </w:p>
          <w:p w14:paraId="DF000000">
            <w:pPr>
              <w:widowControl w:val="1"/>
              <w:numPr>
                <w:ilvl w:val="0"/>
                <w:numId w:val="4"/>
              </w:numPr>
              <w:tabs>
                <w:tab w:leader="none" w:pos="432" w:val="left"/>
                <w:tab w:leader="none" w:pos="1260" w:val="left"/>
              </w:tabs>
              <w:ind w:hanging="1" w:left="34"/>
              <w:jc w:val="both"/>
              <w:rPr>
                <w:rFonts w:ascii="Times New Roman" w:hAnsi="Times New Roman"/>
                <w:spacing w:val="-6"/>
                <w:sz w:val="24"/>
              </w:rPr>
            </w:pPr>
            <w:r>
              <w:rPr>
                <w:rFonts w:ascii="Times New Roman" w:hAnsi="Times New Roman"/>
                <w:spacing w:val="-6"/>
                <w:sz w:val="24"/>
              </w:rPr>
              <w:t>Произведенные расчеты, высказанные мнения и полученные выводы ограничены только пределами оговоренных в данном отчете допущений и ограничений, и являются личными непредвзятыми профессиональными мнениями и выводами Оценщика.</w:t>
            </w:r>
          </w:p>
          <w:p w14:paraId="E0000000">
            <w:pPr>
              <w:widowControl w:val="1"/>
              <w:numPr>
                <w:ilvl w:val="0"/>
                <w:numId w:val="4"/>
              </w:numPr>
              <w:tabs>
                <w:tab w:leader="none" w:pos="459" w:val="left"/>
              </w:tabs>
              <w:ind w:hanging="1" w:left="34"/>
              <w:jc w:val="both"/>
              <w:rPr>
                <w:rFonts w:ascii="Times New Roman" w:hAnsi="Times New Roman"/>
                <w:spacing w:val="-6"/>
                <w:sz w:val="24"/>
              </w:rPr>
            </w:pPr>
            <w:r>
              <w:rPr>
                <w:rFonts w:ascii="Times New Roman" w:hAnsi="Times New Roman"/>
                <w:spacing w:val="-6"/>
                <w:sz w:val="24"/>
              </w:rPr>
              <w:t>Итоговое значение рыночной стоимости объекта оценки представить в рублях.</w:t>
            </w:r>
          </w:p>
          <w:p w14:paraId="E1000000">
            <w:pPr>
              <w:widowControl w:val="1"/>
              <w:numPr>
                <w:ilvl w:val="0"/>
                <w:numId w:val="4"/>
              </w:numPr>
              <w:tabs>
                <w:tab w:leader="none" w:pos="459" w:val="left"/>
              </w:tabs>
              <w:ind w:hanging="1" w:left="34"/>
              <w:jc w:val="both"/>
              <w:rPr>
                <w:rFonts w:ascii="Times New Roman" w:hAnsi="Times New Roman"/>
                <w:spacing w:val="-6"/>
                <w:sz w:val="24"/>
              </w:rPr>
            </w:pPr>
            <w:r>
              <w:rPr>
                <w:rFonts w:ascii="Times New Roman" w:hAnsi="Times New Roman"/>
                <w:spacing w:val="-6"/>
                <w:sz w:val="24"/>
              </w:rPr>
              <w:t>Учитывая специфику и развитость рынка ОО (активный/неактивный), относительная погрешность результата оценки по настоящему договору от других оценок может составлять 20%.</w:t>
            </w:r>
          </w:p>
          <w:p w14:paraId="E2000000">
            <w:pPr>
              <w:widowControl w:val="1"/>
              <w:numPr>
                <w:ilvl w:val="0"/>
                <w:numId w:val="4"/>
              </w:numPr>
              <w:tabs>
                <w:tab w:leader="none" w:pos="459" w:val="left"/>
              </w:tabs>
              <w:ind w:hanging="1" w:left="34"/>
              <w:jc w:val="both"/>
              <w:rPr>
                <w:rFonts w:ascii="Times New Roman" w:hAnsi="Times New Roman"/>
                <w:spacing w:val="-6"/>
                <w:sz w:val="24"/>
              </w:rPr>
            </w:pPr>
            <w:r>
              <w:rPr>
                <w:rFonts w:ascii="Times New Roman" w:hAnsi="Times New Roman"/>
                <w:spacing w:val="-6"/>
                <w:sz w:val="24"/>
              </w:rPr>
              <w:t>Количество экземпляров отчета об оценке для Заказчика: в печатном варианте в 1</w:t>
            </w:r>
            <w:r>
              <w:rPr>
                <w:rFonts w:ascii="Times New Roman" w:hAnsi="Times New Roman"/>
                <w:spacing w:val="-6"/>
                <w:sz w:val="24"/>
              </w:rPr>
              <w:t xml:space="preserve"> </w:t>
            </w:r>
            <w:r>
              <w:rPr>
                <w:rFonts w:ascii="Times New Roman" w:hAnsi="Times New Roman"/>
                <w:spacing w:val="-6"/>
                <w:sz w:val="24"/>
              </w:rPr>
              <w:t>(одном) экземпляре.</w:t>
            </w:r>
          </w:p>
          <w:p w14:paraId="E3000000">
            <w:pPr>
              <w:widowControl w:val="1"/>
              <w:numPr>
                <w:ilvl w:val="0"/>
                <w:numId w:val="4"/>
              </w:numPr>
              <w:tabs>
                <w:tab w:leader="none" w:pos="459" w:val="left"/>
              </w:tabs>
              <w:ind w:hanging="1" w:left="34"/>
              <w:jc w:val="both"/>
              <w:rPr>
                <w:rFonts w:ascii="Times New Roman" w:hAnsi="Times New Roman"/>
                <w:spacing w:val="-6"/>
                <w:sz w:val="24"/>
              </w:rPr>
            </w:pPr>
            <w:r>
              <w:rPr>
                <w:rFonts w:ascii="Times New Roman" w:hAnsi="Times New Roman"/>
                <w:spacing w:val="-6"/>
                <w:sz w:val="24"/>
              </w:rPr>
              <w:t>Любые дополнения, изменения и приложения к Заданию на оценку действительны лишь при условии, если они совершены в письменной форме и подписаны уполномоченными представителями Сторон.</w:t>
            </w:r>
          </w:p>
        </w:tc>
      </w:tr>
    </w:tbl>
    <w:p w14:paraId="E4000000">
      <w:pPr>
        <w:widowControl w:val="1"/>
        <w:ind/>
        <w:jc w:val="center"/>
        <w:rPr>
          <w:b w:val="1"/>
          <w:sz w:val="6"/>
        </w:rPr>
      </w:pPr>
    </w:p>
    <w:p w14:paraId="E5000000">
      <w:pPr>
        <w:widowControl w:val="1"/>
        <w:ind/>
        <w:jc w:val="center"/>
        <w:rPr>
          <w:b w:val="1"/>
          <w:sz w:val="20"/>
        </w:rPr>
      </w:pPr>
    </w:p>
    <w:p w14:paraId="E6000000">
      <w:pPr>
        <w:widowControl w:val="1"/>
        <w:ind/>
        <w:jc w:val="center"/>
        <w:rPr>
          <w:rFonts w:ascii="Times New Roman" w:hAnsi="Times New Roman"/>
          <w:b w:val="1"/>
          <w:sz w:val="24"/>
        </w:rPr>
      </w:pPr>
      <w:r>
        <w:rPr>
          <w:rFonts w:ascii="Times New Roman" w:hAnsi="Times New Roman"/>
          <w:b w:val="1"/>
          <w:sz w:val="24"/>
        </w:rPr>
        <w:t>Подписи сторон</w:t>
      </w:r>
    </w:p>
    <w:tbl>
      <w:tblPr>
        <w:tblStyle w:val="Style_10"/>
        <w:tblW w:type="auto" w:w="0"/>
        <w:tblBorders>
          <w:top w:color="000000" w:val="nil"/>
          <w:left w:color="000000" w:val="nil"/>
          <w:bottom w:color="000000" w:val="nil"/>
          <w:right w:color="000000" w:val="nil"/>
          <w:insideH w:color="000000" w:val="nil"/>
          <w:insideV w:color="000000" w:val="nil"/>
        </w:tblBorders>
        <w:tblLayout w:type="fixed"/>
      </w:tblPr>
      <w:tblGrid>
        <w:gridCol w:w="4785"/>
        <w:gridCol w:w="4786"/>
      </w:tblGrid>
      <w:tr>
        <w:tc>
          <w:tcPr>
            <w:tcW w:type="dxa" w:w="4785"/>
            <w:tcBorders>
              <w:top w:color="000000" w:val="nil"/>
              <w:left w:color="000000" w:val="nil"/>
              <w:bottom w:color="000000" w:val="nil"/>
              <w:right w:color="000000" w:val="nil"/>
            </w:tcBorders>
          </w:tcPr>
          <w:p w14:paraId="E7000000">
            <w:pPr>
              <w:widowControl w:val="0"/>
              <w:tabs>
                <w:tab w:leader="none" w:pos="1843" w:val="left"/>
              </w:tabs>
              <w:ind/>
              <w:rPr>
                <w:rFonts w:ascii="Times New Roman" w:hAnsi="Times New Roman"/>
                <w:b w:val="1"/>
                <w:color w:val="000000"/>
                <w:sz w:val="24"/>
              </w:rPr>
            </w:pPr>
            <w:r>
              <w:rPr>
                <w:rFonts w:ascii="Times New Roman" w:hAnsi="Times New Roman"/>
                <w:b w:val="1"/>
                <w:color w:val="000000"/>
                <w:sz w:val="24"/>
              </w:rPr>
              <w:t>ЗАКАЗЧИК:</w:t>
            </w:r>
          </w:p>
          <w:p w14:paraId="E8000000">
            <w:pPr>
              <w:widowControl w:val="1"/>
              <w:ind/>
              <w:jc w:val="center"/>
              <w:rPr>
                <w:b w:val="1"/>
                <w:sz w:val="24"/>
              </w:rPr>
            </w:pPr>
          </w:p>
        </w:tc>
        <w:tc>
          <w:tcPr>
            <w:tcW w:type="dxa" w:w="4786"/>
            <w:tcBorders>
              <w:top w:color="000000" w:val="nil"/>
              <w:left w:color="000000" w:val="nil"/>
              <w:bottom w:color="000000" w:val="nil"/>
              <w:right w:color="000000" w:val="nil"/>
            </w:tcBorders>
          </w:tcPr>
          <w:p w14:paraId="E9000000">
            <w:pPr>
              <w:widowControl w:val="0"/>
              <w:ind/>
              <w:rPr>
                <w:rFonts w:ascii="Times New Roman" w:hAnsi="Times New Roman"/>
                <w:b w:val="1"/>
                <w:sz w:val="24"/>
              </w:rPr>
            </w:pPr>
            <w:r>
              <w:rPr>
                <w:rFonts w:ascii="Times New Roman" w:hAnsi="Times New Roman"/>
                <w:b w:val="1"/>
                <w:sz w:val="24"/>
                <w:highlight w:val="yellow"/>
              </w:rPr>
              <w:t>ИСПОЛНИТЕЛЬ:</w:t>
            </w:r>
          </w:p>
          <w:p w14:paraId="EA000000">
            <w:pPr>
              <w:widowControl w:val="1"/>
              <w:ind/>
              <w:jc w:val="center"/>
              <w:rPr>
                <w:b w:val="1"/>
                <w:sz w:val="24"/>
              </w:rPr>
            </w:pPr>
          </w:p>
        </w:tc>
      </w:tr>
      <w:tr>
        <w:tc>
          <w:tcPr>
            <w:tcW w:type="dxa" w:w="4785"/>
            <w:tcBorders>
              <w:top w:color="000000" w:val="nil"/>
              <w:left w:color="000000" w:val="nil"/>
              <w:bottom w:color="000000" w:val="nil"/>
              <w:right w:color="000000" w:val="nil"/>
            </w:tcBorders>
          </w:tcPr>
          <w:p w14:paraId="EB000000">
            <w:pPr>
              <w:widowControl w:val="0"/>
              <w:tabs>
                <w:tab w:leader="none" w:pos="900" w:val="left"/>
              </w:tabs>
              <w:ind w:hanging="360"/>
              <w:jc w:val="both"/>
              <w:rPr>
                <w:rFonts w:ascii="Times New Roman" w:hAnsi="Times New Roman"/>
                <w:b w:val="1"/>
                <w:sz w:val="24"/>
              </w:rPr>
            </w:pPr>
          </w:p>
          <w:p w14:paraId="EC000000">
            <w:pPr>
              <w:widowControl w:val="0"/>
              <w:ind/>
              <w:jc w:val="center"/>
              <w:rPr>
                <w:rFonts w:ascii="Times New Roman" w:hAnsi="Times New Roman"/>
                <w:b w:val="1"/>
                <w:sz w:val="24"/>
              </w:rPr>
            </w:pPr>
            <w:r>
              <w:rPr>
                <w:rFonts w:ascii="Times New Roman" w:hAnsi="Times New Roman"/>
                <w:b w:val="1"/>
                <w:sz w:val="24"/>
              </w:rPr>
              <w:t>Администрация муниципального образования Рабитицкое сельское поселение Волосовского муниципального района Ленинградской области</w:t>
            </w:r>
          </w:p>
          <w:p w14:paraId="ED000000">
            <w:pPr>
              <w:widowControl w:val="1"/>
              <w:ind/>
              <w:jc w:val="center"/>
              <w:rPr>
                <w:b w:val="1"/>
                <w:sz w:val="24"/>
              </w:rPr>
            </w:pPr>
          </w:p>
          <w:p w14:paraId="EE000000">
            <w:pPr>
              <w:widowControl w:val="1"/>
              <w:ind/>
              <w:jc w:val="center"/>
              <w:rPr>
                <w:b w:val="1"/>
                <w:sz w:val="24"/>
              </w:rPr>
            </w:pPr>
          </w:p>
          <w:p w14:paraId="EF000000">
            <w:pPr>
              <w:widowControl w:val="0"/>
              <w:ind/>
              <w:rPr>
                <w:rFonts w:ascii="Times New Roman" w:hAnsi="Times New Roman"/>
                <w:sz w:val="24"/>
              </w:rPr>
            </w:pPr>
            <w:r>
              <w:rPr>
                <w:rFonts w:ascii="Times New Roman" w:hAnsi="Times New Roman"/>
                <w:sz w:val="24"/>
              </w:rPr>
              <w:t xml:space="preserve">Врио главы администрации </w:t>
            </w:r>
          </w:p>
          <w:p w14:paraId="F0000000">
            <w:pPr>
              <w:widowControl w:val="0"/>
              <w:tabs>
                <w:tab w:leader="none" w:pos="3090" w:val="left"/>
              </w:tabs>
              <w:ind/>
              <w:rPr>
                <w:rFonts w:ascii="Times New Roman" w:hAnsi="Times New Roman"/>
                <w:sz w:val="24"/>
              </w:rPr>
            </w:pPr>
            <w:r>
              <w:rPr>
                <w:rFonts w:ascii="Times New Roman" w:hAnsi="Times New Roman"/>
                <w:sz w:val="24"/>
              </w:rPr>
              <w:t>__________________(А.А. Зайцева)</w:t>
            </w:r>
          </w:p>
          <w:p w14:paraId="F1000000">
            <w:pPr>
              <w:pStyle w:val="Style_8"/>
              <w:widowControl w:val="0"/>
              <w:ind/>
              <w:rPr>
                <w:color w:val="000000"/>
                <w:sz w:val="18"/>
              </w:rPr>
            </w:pPr>
            <w:r>
              <w:rPr>
                <w:sz w:val="18"/>
              </w:rPr>
              <w:t>Подписано ЭЦП через электронный магазин ЛО</w:t>
            </w:r>
            <w:r>
              <w:rPr>
                <w:color w:val="000000"/>
                <w:sz w:val="18"/>
              </w:rPr>
              <w:t xml:space="preserve"> </w:t>
            </w:r>
          </w:p>
          <w:p w14:paraId="F2000000">
            <w:pPr>
              <w:widowControl w:val="1"/>
              <w:ind/>
              <w:jc w:val="center"/>
              <w:rPr>
                <w:b w:val="1"/>
                <w:sz w:val="24"/>
              </w:rPr>
            </w:pPr>
          </w:p>
        </w:tc>
        <w:tc>
          <w:tcPr>
            <w:tcW w:type="dxa" w:w="4786"/>
            <w:tcBorders>
              <w:top w:color="000000" w:val="nil"/>
              <w:left w:color="000000" w:val="nil"/>
              <w:bottom w:color="000000" w:val="nil"/>
              <w:right w:color="000000" w:val="nil"/>
            </w:tcBorders>
          </w:tcPr>
          <w:p w14:paraId="F3000000">
            <w:pPr>
              <w:widowControl w:val="1"/>
              <w:ind/>
              <w:jc w:val="center"/>
              <w:rPr>
                <w:b w:val="1"/>
                <w:sz w:val="24"/>
              </w:rPr>
            </w:pPr>
          </w:p>
        </w:tc>
      </w:tr>
    </w:tbl>
    <w:p w14:paraId="F4000000">
      <w:pPr>
        <w:widowControl w:val="1"/>
        <w:ind/>
        <w:jc w:val="center"/>
        <w:rPr>
          <w:b w:val="1"/>
          <w:sz w:val="20"/>
        </w:rPr>
      </w:pPr>
    </w:p>
    <w:p w14:paraId="F5000000">
      <w:pPr>
        <w:widowControl w:val="1"/>
        <w:ind/>
        <w:jc w:val="center"/>
        <w:rPr>
          <w:b w:val="1"/>
          <w:color w:val="FF0000"/>
          <w:sz w:val="10"/>
        </w:rPr>
      </w:pPr>
    </w:p>
    <w:p w14:paraId="F6000000">
      <w:pPr>
        <w:widowControl w:val="1"/>
        <w:ind/>
        <w:jc w:val="center"/>
        <w:rPr>
          <w:rFonts w:ascii="Times New Roman" w:hAnsi="Times New Roman"/>
          <w:sz w:val="16"/>
        </w:rPr>
      </w:pPr>
    </w:p>
    <w:sectPr>
      <w:pgSz w:h="16838" w:orient="portrait" w:w="11906"/>
      <w:pgMar w:bottom="1134" w:footer="708" w:gutter="0" w:header="708" w:left="1701" w:right="850" w:top="1134"/>
    </w:sectPr>
  </w:body>
</w:document>
</file>

<file path=word/endnotes.xml><?xml version="1.0" encoding="utf-8"?>
<w:endnot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endnote w:id="-1" w:type="separator">
    <w:p w14:paraId="FA000000">
      <w:r>
        <w:separator/>
      </w:r>
    </w:p>
  </w:endnote>
  <w:endnote w:id="0" w:type="continuationSeparator">
    <w:p w14:paraId="FB000000">
      <w:r>
        <w:continuationSeparator/>
      </w:r>
    </w:p>
  </w:endnote>
</w:endnotes>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notes.xml><?xml version="1.0" encoding="utf-8"?>
<w:footnot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footnote w:id="-1" w:type="separator">
    <w:p w14:paraId="F7000000">
      <w:r>
        <w:separator/>
      </w:r>
    </w:p>
  </w:footnote>
  <w:footnote w:id="0" w:type="continuationSeparator">
    <w:p w14:paraId="F8000000">
      <w:r>
        <w:continuationSeparator/>
      </w:r>
    </w:p>
  </w:footnote>
  <w:footnote w:id="1">
    <w:p w14:paraId="F9000000">
      <w:pPr>
        <w:pStyle w:val="Style_36"/>
        <w:widowControl w:val="1"/>
        <w:ind w:left="426"/>
      </w:pPr>
      <w:r>
        <w:rPr>
          <w:vertAlign w:val="superscript"/>
        </w:rPr>
        <w:footnoteRef/>
      </w:r>
      <w:r>
        <w:rPr>
          <w:rFonts w:ascii="Calibri" w:hAnsi="Calibri"/>
          <w:sz w:val="18"/>
        </w:rPr>
        <w:t xml:space="preserve">Корректируется на стадии заключения </w:t>
      </w:r>
      <w:r>
        <w:rPr>
          <w:rFonts w:ascii="Calibri" w:hAnsi="Calibri"/>
          <w:sz w:val="18"/>
        </w:rPr>
        <w:t>договора</w:t>
      </w:r>
    </w:p>
  </w:footnote>
</w:footnote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lvl w:ilvl="1"/>
    <w:lvl w:ilvl="2"/>
    <w:lvl w:ilvl="3"/>
    <w:lvl w:ilvl="4"/>
    <w:lvl w:ilvl="5"/>
    <w:lvl w:ilvl="6"/>
    <w:lvl w:ilvl="7"/>
    <w:lvl w:ilvl="8"/>
  </w:abstractNum>
  <w:abstractNum w:abstractNumId="1">
    <w:lvl w:ilvl="0">
      <w:start w:val="12"/>
      <w:numFmt w:val="decimal"/>
      <w:lvlText w:val="%1."/>
      <w:lvlJc w:val="left"/>
      <w:pPr>
        <w:widowControl w:val="1"/>
        <w:ind w:hanging="480" w:left="480"/>
      </w:pPr>
    </w:lvl>
    <w:lvl w:ilvl="1">
      <w:start w:val="1"/>
      <w:numFmt w:val="decimal"/>
      <w:lvlText w:val="%1.%2."/>
      <w:lvlJc w:val="left"/>
      <w:pPr>
        <w:widowControl w:val="1"/>
        <w:ind w:hanging="480" w:left="1048"/>
      </w:pPr>
    </w:lvl>
    <w:lvl w:ilvl="2">
      <w:start w:val="1"/>
      <w:numFmt w:val="decimal"/>
      <w:lvlText w:val="%1.%2.%3."/>
      <w:lvlJc w:val="left"/>
      <w:pPr>
        <w:widowControl w:val="1"/>
        <w:ind w:hanging="720" w:left="1856"/>
      </w:pPr>
    </w:lvl>
    <w:lvl w:ilvl="3">
      <w:start w:val="1"/>
      <w:numFmt w:val="decimal"/>
      <w:lvlText w:val="%1.%2.%3.%4."/>
      <w:lvlJc w:val="left"/>
      <w:pPr>
        <w:widowControl w:val="1"/>
        <w:ind w:hanging="720" w:left="2424"/>
      </w:pPr>
    </w:lvl>
    <w:lvl w:ilvl="4">
      <w:start w:val="1"/>
      <w:numFmt w:val="decimal"/>
      <w:lvlText w:val="%1.%2.%3.%4.%5."/>
      <w:lvlJc w:val="left"/>
      <w:pPr>
        <w:widowControl w:val="1"/>
        <w:ind w:hanging="1080" w:left="3352"/>
      </w:pPr>
    </w:lvl>
    <w:lvl w:ilvl="5">
      <w:start w:val="1"/>
      <w:numFmt w:val="decimal"/>
      <w:lvlText w:val="%1.%2.%3.%4.%5.%6."/>
      <w:lvlJc w:val="left"/>
      <w:pPr>
        <w:widowControl w:val="1"/>
        <w:ind w:hanging="1080" w:left="3920"/>
      </w:pPr>
    </w:lvl>
    <w:lvl w:ilvl="6">
      <w:start w:val="1"/>
      <w:numFmt w:val="decimal"/>
      <w:lvlText w:val="%1.%2.%3.%4.%5.%6.%7."/>
      <w:lvlJc w:val="left"/>
      <w:pPr>
        <w:widowControl w:val="1"/>
        <w:ind w:hanging="1440" w:left="4848"/>
      </w:pPr>
    </w:lvl>
    <w:lvl w:ilvl="7">
      <w:start w:val="1"/>
      <w:numFmt w:val="decimal"/>
      <w:lvlText w:val="%1.%2.%3.%4.%5.%6.%7.%8."/>
      <w:lvlJc w:val="left"/>
      <w:pPr>
        <w:widowControl w:val="1"/>
        <w:ind w:hanging="1440" w:left="5416"/>
      </w:pPr>
    </w:lvl>
    <w:lvl w:ilvl="8">
      <w:start w:val="1"/>
      <w:numFmt w:val="decimal"/>
      <w:lvlText w:val="%1.%2.%3.%4.%5.%6.%7.%8.%9."/>
      <w:lvlJc w:val="left"/>
      <w:pPr>
        <w:widowControl w:val="1"/>
        <w:ind w:hanging="1800" w:left="6344"/>
      </w:pPr>
    </w:lvl>
  </w:abstractNum>
  <w:abstractNum w:abstractNumId="2">
    <w:lvl w:ilvl="0">
      <w:start w:val="1"/>
      <w:numFmt w:val="bullet"/>
      <w:lvlText w:val=""/>
      <w:lvlJc w:val="left"/>
      <w:pPr>
        <w:widowControl w:val="1"/>
        <w:tabs>
          <w:tab w:leader="none" w:pos="720" w:val="left"/>
        </w:tabs>
        <w:ind w:hanging="360" w:left="720"/>
      </w:pPr>
      <w:rPr>
        <w:rFonts w:ascii="Symbol" w:hAnsi="Symbol"/>
      </w:rPr>
    </w:lvl>
    <w:lvl w:ilvl="1">
      <w:start w:val="1"/>
      <w:numFmt w:val="bullet"/>
      <w:lvlText w:val="o"/>
      <w:lvlJc w:val="left"/>
      <w:pPr>
        <w:widowControl w:val="1"/>
        <w:tabs>
          <w:tab w:leader="none" w:pos="1440" w:val="left"/>
        </w:tabs>
        <w:ind w:hanging="360" w:left="1440"/>
      </w:pPr>
      <w:rPr>
        <w:rFonts w:ascii="Courier New" w:hAnsi="Courier New"/>
      </w:rPr>
    </w:lvl>
    <w:lvl w:ilvl="2">
      <w:start w:val="1"/>
      <w:numFmt w:val="bullet"/>
      <w:lvlText w:val=""/>
      <w:lvlJc w:val="left"/>
      <w:pPr>
        <w:widowControl w:val="1"/>
        <w:tabs>
          <w:tab w:leader="none" w:pos="2160" w:val="left"/>
        </w:tabs>
        <w:ind w:hanging="360" w:left="2160"/>
      </w:pPr>
      <w:rPr>
        <w:rFonts w:ascii="Wingdings" w:hAnsi="Wingdings"/>
      </w:rPr>
    </w:lvl>
    <w:lvl w:ilvl="3">
      <w:start w:val="1"/>
      <w:numFmt w:val="bullet"/>
      <w:lvlText w:val=""/>
      <w:lvlJc w:val="left"/>
      <w:pPr>
        <w:widowControl w:val="1"/>
        <w:tabs>
          <w:tab w:leader="none" w:pos="2880" w:val="left"/>
        </w:tabs>
        <w:ind w:hanging="360" w:left="2880"/>
      </w:pPr>
      <w:rPr>
        <w:rFonts w:ascii="Symbol" w:hAnsi="Symbol"/>
      </w:rPr>
    </w:lvl>
    <w:lvl w:ilvl="4">
      <w:start w:val="1"/>
      <w:numFmt w:val="bullet"/>
      <w:lvlText w:val="o"/>
      <w:lvlJc w:val="left"/>
      <w:pPr>
        <w:widowControl w:val="1"/>
        <w:tabs>
          <w:tab w:leader="none" w:pos="3600" w:val="left"/>
        </w:tabs>
        <w:ind w:hanging="360" w:left="3600"/>
      </w:pPr>
      <w:rPr>
        <w:rFonts w:ascii="Courier New" w:hAnsi="Courier New"/>
      </w:rPr>
    </w:lvl>
    <w:lvl w:ilvl="5">
      <w:start w:val="1"/>
      <w:numFmt w:val="bullet"/>
      <w:lvlText w:val=""/>
      <w:lvlJc w:val="left"/>
      <w:pPr>
        <w:widowControl w:val="1"/>
        <w:tabs>
          <w:tab w:leader="none" w:pos="4320" w:val="left"/>
        </w:tabs>
        <w:ind w:hanging="360" w:left="4320"/>
      </w:pPr>
      <w:rPr>
        <w:rFonts w:ascii="Wingdings" w:hAnsi="Wingdings"/>
      </w:rPr>
    </w:lvl>
    <w:lvl w:ilvl="6">
      <w:start w:val="1"/>
      <w:numFmt w:val="bullet"/>
      <w:lvlText w:val=""/>
      <w:lvlJc w:val="left"/>
      <w:pPr>
        <w:widowControl w:val="1"/>
        <w:tabs>
          <w:tab w:leader="none" w:pos="5040" w:val="left"/>
        </w:tabs>
        <w:ind w:hanging="360" w:left="5040"/>
      </w:pPr>
      <w:rPr>
        <w:rFonts w:ascii="Symbol" w:hAnsi="Symbol"/>
      </w:rPr>
    </w:lvl>
    <w:lvl w:ilvl="7">
      <w:start w:val="1"/>
      <w:numFmt w:val="bullet"/>
      <w:lvlText w:val="o"/>
      <w:lvlJc w:val="left"/>
      <w:pPr>
        <w:widowControl w:val="1"/>
        <w:tabs>
          <w:tab w:leader="none" w:pos="5760" w:val="left"/>
        </w:tabs>
        <w:ind w:hanging="360" w:left="5760"/>
      </w:pPr>
      <w:rPr>
        <w:rFonts w:ascii="Courier New" w:hAnsi="Courier New"/>
      </w:rPr>
    </w:lvl>
    <w:lvl w:ilvl="8">
      <w:start w:val="1"/>
      <w:numFmt w:val="bullet"/>
      <w:lvlText w:val=""/>
      <w:lvlJc w:val="left"/>
      <w:pPr>
        <w:widowControl w:val="1"/>
        <w:tabs>
          <w:tab w:leader="none" w:pos="6480" w:val="left"/>
        </w:tabs>
        <w:ind w:hanging="360" w:left="6480"/>
      </w:pPr>
      <w:rPr>
        <w:rFonts w:ascii="Wingdings" w:hAnsi="Wingdings"/>
      </w:rPr>
    </w:lvl>
  </w:abstractNum>
  <w:abstractNum w:abstractNumId="3">
    <w:lvl w:ilvl="0">
      <w:numFmt w:val="bullet"/>
      <w:lvlText w:val=""/>
      <w:legacy w:legacy="1" w:legacyIndent="360" w:legacySpace="0"/>
      <w:lvlJc w:val="left"/>
      <w:rPr>
        <w:rFonts w:ascii="Symbol" w:hAnsi="Symbol"/>
      </w:rPr>
    </w:lvl>
  </w:abstractNum>
  <w:abstractNum w:abstractNumId="4">
    <w:lvl w:ilvl="0">
      <w:start w:val="1"/>
      <w:numFmt w:val="decimal"/>
      <w:pStyle w:val="Style_29"/>
      <w:lvlText w:val="%1."/>
      <w:lvlJc w:val="left"/>
      <w:pPr>
        <w:widowControl w:val="1"/>
        <w:tabs>
          <w:tab w:leader="none" w:pos="1287" w:val="left"/>
        </w:tabs>
        <w:ind w:hanging="720" w:left="720"/>
      </w:pPr>
      <w:rPr>
        <w:b w:val="1"/>
      </w:rPr>
    </w:lvl>
    <w:lvl w:ilvl="1">
      <w:start w:val="1"/>
      <w:numFmt w:val="decimal"/>
      <w:pStyle w:val="Style_14"/>
      <w:lvlText w:val="%1.%2."/>
      <w:lvlJc w:val="left"/>
      <w:pPr>
        <w:widowControl w:val="1"/>
        <w:ind w:hanging="720" w:left="720"/>
      </w:pPr>
      <w:rPr>
        <w:i w:val="0"/>
      </w:rPr>
    </w:lvl>
    <w:lvl w:ilvl="2">
      <w:start w:val="1"/>
      <w:numFmt w:val="decimal"/>
      <w:lvlText w:val="%1.%2.%3."/>
      <w:lvlJc w:val="left"/>
      <w:pPr>
        <w:widowControl w:val="1"/>
        <w:ind w:hanging="720" w:left="720"/>
      </w:pPr>
      <w:rPr>
        <w:rFonts w:ascii="Times New Roman" w:hAnsi="Times New Roman"/>
        <w:b w:val="0"/>
        <w:i w:val="0"/>
        <w:caps w:val="0"/>
        <w:smallCaps w:val="0"/>
        <w:strike w:val="0"/>
        <w:spacing w:val="0"/>
        <w:u w:val="none"/>
      </w:rPr>
    </w:lvl>
    <w:lvl w:ilvl="3">
      <w:start w:val="1"/>
      <w:numFmt w:val="decimal"/>
      <w:lvlText w:val="%1.%2.%3.%4."/>
      <w:lvlJc w:val="left"/>
      <w:pPr>
        <w:widowControl w:val="1"/>
        <w:ind w:hanging="720" w:left="720"/>
      </w:pPr>
    </w:lvl>
    <w:lvl w:ilvl="4">
      <w:start w:val="1"/>
      <w:numFmt w:val="russianLower"/>
      <w:lvlText w:val="(%5)"/>
      <w:lvlJc w:val="left"/>
      <w:pPr>
        <w:widowControl w:val="1"/>
        <w:tabs>
          <w:tab w:leader="none" w:pos="5670" w:val="left"/>
        </w:tabs>
        <w:ind w:hanging="720" w:left="1440"/>
      </w:pPr>
    </w:lvl>
    <w:lvl w:ilvl="5">
      <w:start w:val="1"/>
      <w:numFmt w:val="bullet"/>
      <w:lvlText w:val=""/>
      <w:lvlJc w:val="left"/>
      <w:pPr>
        <w:widowControl w:val="1"/>
        <w:ind w:hanging="720" w:left="1440"/>
      </w:pPr>
      <w:rPr>
        <w:rFonts w:ascii="Symbol" w:hAnsi="Symbol"/>
      </w:rPr>
    </w:lvl>
    <w:lvl w:ilvl="6">
      <w:start w:val="1"/>
      <w:numFmt w:val="bullet"/>
      <w:pStyle w:val="Style_50"/>
      <w:lvlText w:val=""/>
      <w:lvlJc w:val="left"/>
      <w:pPr>
        <w:widowControl w:val="1"/>
        <w:ind w:hanging="720" w:left="1440"/>
      </w:pPr>
      <w:rPr>
        <w:rFonts w:ascii="Symbol" w:hAnsi="Symbol"/>
        <w:color w:val="000000"/>
      </w:rPr>
    </w:lvl>
    <w:lvl w:ilvl="7">
      <w:start w:val="1"/>
      <w:numFmt w:val="lowerLetter"/>
      <w:lvlText w:val="%8."/>
      <w:lvlJc w:val="left"/>
      <w:pPr>
        <w:widowControl w:val="1"/>
        <w:ind w:hanging="720" w:left="720"/>
      </w:pPr>
    </w:lvl>
    <w:lvl w:ilvl="8">
      <w:start w:val="1"/>
      <w:numFmt w:val="lowerRoman"/>
      <w:lvlText w:val="%9."/>
      <w:lvlJc w:val="right"/>
      <w:pPr>
        <w:widowControl w:val="1"/>
        <w:ind w:hanging="720" w:left="72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9"/>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1" w:type="paragraph">
    <w:name w:val="Normal"/>
    <w:link w:val="Style_11_ch"/>
    <w:uiPriority w:val="0"/>
    <w:qFormat/>
    <w:rPr>
      <w:rFonts w:ascii="Calibri" w:hAnsi="Calibri"/>
    </w:rPr>
  </w:style>
  <w:style w:default="1" w:styleId="Style_11_ch" w:type="character">
    <w:name w:val="Normal"/>
    <w:link w:val="Style_11"/>
    <w:rPr>
      <w:rFonts w:ascii="Calibri" w:hAnsi="Calibri"/>
    </w:rPr>
  </w:style>
  <w:style w:styleId="Style_12" w:type="paragraph">
    <w:name w:val="toc 2"/>
    <w:next w:val="Style_11"/>
    <w:link w:val="Style_12_ch"/>
    <w:uiPriority w:val="39"/>
    <w:pPr>
      <w:ind w:firstLine="0" w:left="200"/>
      <w:jc w:val="left"/>
    </w:pPr>
    <w:rPr>
      <w:rFonts w:ascii="XO Thames" w:hAnsi="XO Thames"/>
      <w:sz w:val="28"/>
    </w:rPr>
  </w:style>
  <w:style w:styleId="Style_12_ch" w:type="character">
    <w:name w:val="toc 2"/>
    <w:link w:val="Style_12"/>
    <w:rPr>
      <w:rFonts w:ascii="XO Thames" w:hAnsi="XO Thames"/>
      <w:sz w:val="28"/>
    </w:rPr>
  </w:style>
  <w:style w:styleId="Style_13" w:type="paragraph">
    <w:name w:val="toc 4"/>
    <w:next w:val="Style_11"/>
    <w:link w:val="Style_13_ch"/>
    <w:uiPriority w:val="39"/>
    <w:pPr>
      <w:ind w:firstLine="0" w:left="600"/>
      <w:jc w:val="left"/>
    </w:pPr>
    <w:rPr>
      <w:rFonts w:ascii="XO Thames" w:hAnsi="XO Thames"/>
      <w:sz w:val="28"/>
    </w:rPr>
  </w:style>
  <w:style w:styleId="Style_13_ch" w:type="character">
    <w:name w:val="toc 4"/>
    <w:link w:val="Style_13"/>
    <w:rPr>
      <w:rFonts w:ascii="XO Thames" w:hAnsi="XO Thames"/>
      <w:sz w:val="28"/>
    </w:rPr>
  </w:style>
  <w:style w:styleId="Style_14" w:type="paragraph">
    <w:name w:val="LB Gov style 2"/>
    <w:link w:val="Style_14_ch"/>
    <w:pPr>
      <w:widowControl w:val="1"/>
      <w:numPr>
        <w:ilvl w:val="1"/>
        <w:numId w:val="5"/>
      </w:numPr>
      <w:spacing w:after="120" w:before="120"/>
      <w:ind/>
      <w:jc w:val="both"/>
    </w:pPr>
    <w:rPr>
      <w:rFonts w:ascii="Times New Roman" w:hAnsi="Times New Roman"/>
    </w:rPr>
  </w:style>
  <w:style w:styleId="Style_14_ch" w:type="character">
    <w:name w:val="LB Gov style 2"/>
    <w:link w:val="Style_14"/>
    <w:rPr>
      <w:rFonts w:ascii="Times New Roman" w:hAnsi="Times New Roman"/>
    </w:rPr>
  </w:style>
  <w:style w:styleId="Style_15" w:type="paragraph">
    <w:name w:val="toc 6"/>
    <w:next w:val="Style_11"/>
    <w:link w:val="Style_15_ch"/>
    <w:uiPriority w:val="39"/>
    <w:pPr>
      <w:ind w:firstLine="0" w:left="1000"/>
      <w:jc w:val="left"/>
    </w:pPr>
    <w:rPr>
      <w:rFonts w:ascii="XO Thames" w:hAnsi="XO Thames"/>
      <w:sz w:val="28"/>
    </w:rPr>
  </w:style>
  <w:style w:styleId="Style_15_ch" w:type="character">
    <w:name w:val="toc 6"/>
    <w:link w:val="Style_15"/>
    <w:rPr>
      <w:rFonts w:ascii="XO Thames" w:hAnsi="XO Thames"/>
      <w:sz w:val="28"/>
    </w:rPr>
  </w:style>
  <w:style w:styleId="Style_16" w:type="paragraph">
    <w:name w:val="toc 7"/>
    <w:next w:val="Style_11"/>
    <w:link w:val="Style_16_ch"/>
    <w:uiPriority w:val="39"/>
    <w:pPr>
      <w:ind w:firstLine="0" w:left="1200"/>
      <w:jc w:val="left"/>
    </w:pPr>
    <w:rPr>
      <w:rFonts w:ascii="XO Thames" w:hAnsi="XO Thames"/>
      <w:sz w:val="28"/>
    </w:rPr>
  </w:style>
  <w:style w:styleId="Style_16_ch" w:type="character">
    <w:name w:val="toc 7"/>
    <w:link w:val="Style_16"/>
    <w:rPr>
      <w:rFonts w:ascii="XO Thames" w:hAnsi="XO Thames"/>
      <w:sz w:val="28"/>
    </w:rPr>
  </w:style>
  <w:style w:styleId="Style_17" w:type="paragraph">
    <w:name w:val="Endnote"/>
    <w:link w:val="Style_17_ch"/>
    <w:pPr>
      <w:ind w:firstLine="851" w:left="0"/>
      <w:jc w:val="both"/>
    </w:pPr>
    <w:rPr>
      <w:rFonts w:ascii="XO Thames" w:hAnsi="XO Thames"/>
      <w:sz w:val="22"/>
    </w:rPr>
  </w:style>
  <w:style w:styleId="Style_17_ch" w:type="character">
    <w:name w:val="Endnote"/>
    <w:link w:val="Style_17"/>
    <w:rPr>
      <w:rFonts w:ascii="XO Thames" w:hAnsi="XO Thames"/>
      <w:sz w:val="22"/>
    </w:rPr>
  </w:style>
  <w:style w:styleId="Style_18" w:type="paragraph">
    <w:name w:val="heading 3"/>
    <w:basedOn w:val="Style_11"/>
    <w:link w:val="Style_18_ch"/>
    <w:uiPriority w:val="9"/>
    <w:qFormat/>
    <w:pPr>
      <w:widowControl w:val="1"/>
      <w:spacing w:after="15" w:before="15"/>
      <w:ind w:left="15" w:right="15"/>
      <w:outlineLvl w:val="2"/>
    </w:pPr>
    <w:rPr>
      <w:rFonts w:ascii="Arial" w:hAnsi="Arial"/>
      <w:b w:val="1"/>
      <w:color w:val="1CC11C"/>
      <w:sz w:val="18"/>
    </w:rPr>
  </w:style>
  <w:style w:styleId="Style_18_ch" w:type="character">
    <w:name w:val="heading 3"/>
    <w:basedOn w:val="Style_11_ch"/>
    <w:link w:val="Style_18"/>
    <w:rPr>
      <w:rFonts w:ascii="Arial" w:hAnsi="Arial"/>
      <w:b w:val="1"/>
      <w:color w:val="1CC11C"/>
      <w:sz w:val="18"/>
    </w:rPr>
  </w:style>
  <w:style w:styleId="Style_19" w:type="paragraph">
    <w:name w:val="LB Gov style 5"/>
    <w:basedOn w:val="Style_20"/>
    <w:link w:val="Style_19_ch"/>
    <w:pPr>
      <w:numPr>
        <w:ilvl w:val="4"/>
      </w:numPr>
    </w:pPr>
  </w:style>
  <w:style w:styleId="Style_19_ch" w:type="character">
    <w:name w:val="LB Gov style 5"/>
    <w:basedOn w:val="Style_20_ch"/>
    <w:link w:val="Style_19"/>
  </w:style>
  <w:style w:styleId="Style_21" w:type="paragraph">
    <w:name w:val="Default"/>
    <w:link w:val="Style_21_ch"/>
    <w:rPr>
      <w:rFonts w:ascii="Times New Roman" w:hAnsi="Times New Roman"/>
      <w:color w:val="000000"/>
      <w:sz w:val="24"/>
    </w:rPr>
  </w:style>
  <w:style w:styleId="Style_21_ch" w:type="character">
    <w:name w:val="Default"/>
    <w:link w:val="Style_21"/>
    <w:rPr>
      <w:rFonts w:ascii="Times New Roman" w:hAnsi="Times New Roman"/>
      <w:color w:val="000000"/>
      <w:sz w:val="24"/>
    </w:rPr>
  </w:style>
  <w:style w:styleId="Style_20" w:type="paragraph">
    <w:name w:val="LB Gov style 4"/>
    <w:basedOn w:val="Style_22"/>
    <w:link w:val="Style_20_ch"/>
    <w:pPr>
      <w:numPr>
        <w:ilvl w:val="3"/>
      </w:numPr>
    </w:pPr>
  </w:style>
  <w:style w:styleId="Style_20_ch" w:type="character">
    <w:name w:val="LB Gov style 4"/>
    <w:basedOn w:val="Style_22_ch"/>
    <w:link w:val="Style_20"/>
  </w:style>
  <w:style w:styleId="Style_23" w:type="paragraph">
    <w:name w:val="Без интервала3"/>
    <w:link w:val="Style_23_ch"/>
    <w:rPr>
      <w:rFonts w:ascii="Times New Roman" w:hAnsi="Times New Roman"/>
      <w:sz w:val="24"/>
    </w:rPr>
  </w:style>
  <w:style w:styleId="Style_23_ch" w:type="character">
    <w:name w:val="Без интервала3"/>
    <w:link w:val="Style_23"/>
    <w:rPr>
      <w:rFonts w:ascii="Times New Roman" w:hAnsi="Times New Roman"/>
      <w:sz w:val="24"/>
    </w:rPr>
  </w:style>
  <w:style w:styleId="Style_24" w:type="paragraph">
    <w:name w:val="Emphasis"/>
    <w:link w:val="Style_24_ch"/>
    <w:rPr>
      <w:i w:val="1"/>
    </w:rPr>
  </w:style>
  <w:style w:styleId="Style_24_ch" w:type="character">
    <w:name w:val="Emphasis"/>
    <w:link w:val="Style_24"/>
    <w:rPr>
      <w:i w:val="1"/>
    </w:rPr>
  </w:style>
  <w:style w:styleId="Style_5" w:type="paragraph">
    <w:name w:val="List Paragraph"/>
    <w:basedOn w:val="Style_11"/>
    <w:link w:val="Style_5_ch"/>
    <w:pPr>
      <w:widowControl w:val="1"/>
      <w:ind w:left="720"/>
      <w:contextualSpacing w:val="1"/>
    </w:pPr>
    <w:rPr>
      <w:rFonts w:asciiTheme="minorAscii" w:hAnsiTheme="minorHAnsi"/>
    </w:rPr>
  </w:style>
  <w:style w:styleId="Style_5_ch" w:type="character">
    <w:name w:val="List Paragraph"/>
    <w:basedOn w:val="Style_11_ch"/>
    <w:link w:val="Style_5"/>
    <w:rPr>
      <w:rFonts w:asciiTheme="minorAscii" w:hAnsiTheme="minorHAnsi"/>
    </w:rPr>
  </w:style>
  <w:style w:styleId="Style_25" w:type="paragraph">
    <w:name w:val="js-phone-number"/>
    <w:basedOn w:val="Style_26"/>
    <w:link w:val="Style_25_ch"/>
  </w:style>
  <w:style w:styleId="Style_25_ch" w:type="character">
    <w:name w:val="js-phone-number"/>
    <w:basedOn w:val="Style_26_ch"/>
    <w:link w:val="Style_25"/>
  </w:style>
  <w:style w:styleId="Style_26" w:type="paragraph">
    <w:name w:val="Default Paragraph Font"/>
    <w:link w:val="Style_26_ch"/>
  </w:style>
  <w:style w:styleId="Style_26_ch" w:type="character">
    <w:name w:val="Default Paragraph Font"/>
    <w:link w:val="Style_26"/>
  </w:style>
  <w:style w:styleId="Style_27" w:type="paragraph">
    <w:name w:val="toc 3"/>
    <w:next w:val="Style_11"/>
    <w:link w:val="Style_27_ch"/>
    <w:uiPriority w:val="39"/>
    <w:pPr>
      <w:ind w:firstLine="0" w:left="400"/>
      <w:jc w:val="left"/>
    </w:pPr>
    <w:rPr>
      <w:rFonts w:ascii="XO Thames" w:hAnsi="XO Thames"/>
      <w:sz w:val="28"/>
    </w:rPr>
  </w:style>
  <w:style w:styleId="Style_27_ch" w:type="character">
    <w:name w:val="toc 3"/>
    <w:link w:val="Style_27"/>
    <w:rPr>
      <w:rFonts w:ascii="XO Thames" w:hAnsi="XO Thames"/>
      <w:sz w:val="28"/>
    </w:rPr>
  </w:style>
  <w:style w:styleId="Style_8" w:type="paragraph">
    <w:name w:val="???????1"/>
    <w:link w:val="Style_8_ch"/>
    <w:rPr>
      <w:rFonts w:ascii="Times New Roman" w:hAnsi="Times New Roman"/>
      <w:sz w:val="20"/>
    </w:rPr>
  </w:style>
  <w:style w:styleId="Style_8_ch" w:type="character">
    <w:name w:val="???????1"/>
    <w:link w:val="Style_8"/>
    <w:rPr>
      <w:rFonts w:ascii="Times New Roman" w:hAnsi="Times New Roman"/>
      <w:sz w:val="20"/>
    </w:rPr>
  </w:style>
  <w:style w:styleId="Style_28" w:type="paragraph">
    <w:name w:val="Основной текст с отступом Знак"/>
    <w:basedOn w:val="Style_26"/>
    <w:link w:val="Style_28_ch"/>
    <w:rPr>
      <w:rFonts w:ascii="Calibri" w:hAnsi="Calibri"/>
    </w:rPr>
  </w:style>
  <w:style w:styleId="Style_28_ch" w:type="character">
    <w:name w:val="Основной текст с отступом Знак"/>
    <w:basedOn w:val="Style_26_ch"/>
    <w:link w:val="Style_28"/>
    <w:rPr>
      <w:rFonts w:ascii="Calibri" w:hAnsi="Calibri"/>
    </w:rPr>
  </w:style>
  <w:style w:styleId="Style_29" w:type="paragraph">
    <w:name w:val="LB Gov style 1"/>
    <w:link w:val="Style_29_ch"/>
    <w:pPr>
      <w:widowControl w:val="1"/>
      <w:numPr>
        <w:numId w:val="5"/>
      </w:numPr>
      <w:spacing w:after="120" w:before="360"/>
      <w:ind/>
      <w:jc w:val="both"/>
    </w:pPr>
    <w:rPr>
      <w:rFonts w:ascii="Times New Roman" w:hAnsi="Times New Roman"/>
      <w:b w:val="1"/>
    </w:rPr>
  </w:style>
  <w:style w:styleId="Style_29_ch" w:type="character">
    <w:name w:val="LB Gov style 1"/>
    <w:link w:val="Style_29"/>
    <w:rPr>
      <w:rFonts w:ascii="Times New Roman" w:hAnsi="Times New Roman"/>
      <w:b w:val="1"/>
    </w:rPr>
  </w:style>
  <w:style w:styleId="Style_30" w:type="paragraph">
    <w:name w:val="Normal (Web)"/>
    <w:basedOn w:val="Style_11"/>
    <w:link w:val="Style_30_ch"/>
    <w:pPr>
      <w:widowControl w:val="1"/>
      <w:spacing w:afterAutospacing="on" w:beforeAutospacing="on"/>
      <w:ind/>
    </w:pPr>
    <w:rPr>
      <w:rFonts w:ascii="Times New Roman" w:hAnsi="Times New Roman"/>
      <w:sz w:val="24"/>
    </w:rPr>
  </w:style>
  <w:style w:styleId="Style_30_ch" w:type="character">
    <w:name w:val="Normal (Web)"/>
    <w:basedOn w:val="Style_11_ch"/>
    <w:link w:val="Style_30"/>
    <w:rPr>
      <w:rFonts w:ascii="Times New Roman" w:hAnsi="Times New Roman"/>
      <w:sz w:val="24"/>
    </w:rPr>
  </w:style>
  <w:style w:styleId="Style_31" w:type="paragraph">
    <w:name w:val="Основной текст (2)"/>
    <w:link w:val="Style_31_ch"/>
    <w:rPr>
      <w:rFonts w:ascii="Times New Roman" w:hAnsi="Times New Roman"/>
      <w:b w:val="0"/>
      <w:i w:val="0"/>
      <w:smallCaps w:val="0"/>
      <w:strike w:val="0"/>
      <w:color w:val="000000"/>
      <w:spacing w:val="0"/>
      <w:sz w:val="24"/>
      <w:u w:val="none"/>
    </w:rPr>
  </w:style>
  <w:style w:styleId="Style_31_ch" w:type="character">
    <w:name w:val="Основной текст (2)"/>
    <w:link w:val="Style_31"/>
    <w:rPr>
      <w:rFonts w:ascii="Times New Roman" w:hAnsi="Times New Roman"/>
      <w:b w:val="0"/>
      <w:i w:val="0"/>
      <w:smallCaps w:val="0"/>
      <w:strike w:val="0"/>
      <w:color w:val="000000"/>
      <w:spacing w:val="0"/>
      <w:sz w:val="24"/>
      <w:u w:val="none"/>
    </w:rPr>
  </w:style>
  <w:style w:styleId="Style_32" w:type="paragraph">
    <w:name w:val="heading 5"/>
    <w:next w:val="Style_11"/>
    <w:link w:val="Style_32_ch"/>
    <w:uiPriority w:val="9"/>
    <w:qFormat/>
    <w:pPr>
      <w:spacing w:after="120" w:before="120"/>
      <w:ind/>
      <w:jc w:val="both"/>
      <w:outlineLvl w:val="4"/>
    </w:pPr>
    <w:rPr>
      <w:rFonts w:ascii="XO Thames" w:hAnsi="XO Thames"/>
      <w:b w:val="1"/>
      <w:sz w:val="22"/>
    </w:rPr>
  </w:style>
  <w:style w:styleId="Style_32_ch" w:type="character">
    <w:name w:val="heading 5"/>
    <w:link w:val="Style_32"/>
    <w:rPr>
      <w:rFonts w:ascii="XO Thames" w:hAnsi="XO Thames"/>
      <w:b w:val="1"/>
      <w:sz w:val="22"/>
    </w:rPr>
  </w:style>
  <w:style w:styleId="Style_33" w:type="paragraph">
    <w:name w:val="Основной шрифт"/>
    <w:link w:val="Style_33_ch"/>
  </w:style>
  <w:style w:styleId="Style_33_ch" w:type="character">
    <w:name w:val="Основной шрифт"/>
    <w:link w:val="Style_33"/>
  </w:style>
  <w:style w:styleId="Style_34" w:type="paragraph">
    <w:name w:val="heading 1"/>
    <w:next w:val="Style_11"/>
    <w:link w:val="Style_34_ch"/>
    <w:uiPriority w:val="9"/>
    <w:qFormat/>
    <w:pPr>
      <w:spacing w:after="120" w:before="120"/>
      <w:ind/>
      <w:jc w:val="both"/>
      <w:outlineLvl w:val="0"/>
    </w:pPr>
    <w:rPr>
      <w:rFonts w:ascii="XO Thames" w:hAnsi="XO Thames"/>
      <w:b w:val="1"/>
      <w:sz w:val="32"/>
    </w:rPr>
  </w:style>
  <w:style w:styleId="Style_34_ch" w:type="character">
    <w:name w:val="heading 1"/>
    <w:link w:val="Style_34"/>
    <w:rPr>
      <w:rFonts w:ascii="XO Thames" w:hAnsi="XO Thames"/>
      <w:b w:val="1"/>
      <w:sz w:val="32"/>
    </w:rPr>
  </w:style>
  <w:style w:styleId="Style_1" w:type="paragraph">
    <w:name w:val="No Spacing"/>
    <w:link w:val="Style_1_ch"/>
  </w:style>
  <w:style w:styleId="Style_1_ch" w:type="character">
    <w:name w:val="No Spacing"/>
    <w:link w:val="Style_1"/>
  </w:style>
  <w:style w:styleId="Style_35" w:type="paragraph">
    <w:name w:val="Hyperlink"/>
    <w:basedOn w:val="Style_26"/>
    <w:link w:val="Style_35_ch"/>
    <w:rPr>
      <w:color w:val="0000FF"/>
      <w:u w:val="single"/>
    </w:rPr>
  </w:style>
  <w:style w:styleId="Style_35_ch" w:type="character">
    <w:name w:val="Hyperlink"/>
    <w:basedOn w:val="Style_26_ch"/>
    <w:link w:val="Style_35"/>
    <w:rPr>
      <w:color w:val="0000FF"/>
      <w:u w:val="single"/>
    </w:rPr>
  </w:style>
  <w:style w:styleId="Style_36" w:type="paragraph">
    <w:name w:val="Footnote"/>
    <w:link w:val="Style_36_ch"/>
    <w:pPr>
      <w:widowControl w:val="1"/>
      <w:ind w:firstLine="851"/>
      <w:jc w:val="both"/>
    </w:pPr>
    <w:rPr>
      <w:rFonts w:ascii="XO Thames" w:hAnsi="XO Thames"/>
    </w:rPr>
  </w:style>
  <w:style w:styleId="Style_36_ch" w:type="character">
    <w:name w:val="Footnote"/>
    <w:link w:val="Style_36"/>
    <w:rPr>
      <w:rFonts w:ascii="XO Thames" w:hAnsi="XO Thames"/>
    </w:rPr>
  </w:style>
  <w:style w:styleId="Style_37" w:type="paragraph">
    <w:name w:val="Без интервала1"/>
    <w:link w:val="Style_37_ch"/>
    <w:rPr>
      <w:rFonts w:ascii="Times New Roman" w:hAnsi="Times New Roman"/>
      <w:sz w:val="24"/>
    </w:rPr>
  </w:style>
  <w:style w:styleId="Style_37_ch" w:type="character">
    <w:name w:val="Без интервала1"/>
    <w:link w:val="Style_37"/>
    <w:rPr>
      <w:rFonts w:ascii="Times New Roman" w:hAnsi="Times New Roman"/>
      <w:sz w:val="24"/>
    </w:rPr>
  </w:style>
  <w:style w:styleId="Style_38" w:type="paragraph">
    <w:name w:val="toc 1"/>
    <w:next w:val="Style_11"/>
    <w:link w:val="Style_38_ch"/>
    <w:uiPriority w:val="39"/>
    <w:pPr>
      <w:ind w:firstLine="0" w:left="0"/>
      <w:jc w:val="left"/>
    </w:pPr>
    <w:rPr>
      <w:rFonts w:ascii="XO Thames" w:hAnsi="XO Thames"/>
      <w:b w:val="1"/>
      <w:sz w:val="28"/>
    </w:rPr>
  </w:style>
  <w:style w:styleId="Style_38_ch" w:type="character">
    <w:name w:val="toc 1"/>
    <w:link w:val="Style_38"/>
    <w:rPr>
      <w:rFonts w:ascii="XO Thames" w:hAnsi="XO Thames"/>
      <w:b w:val="1"/>
      <w:sz w:val="28"/>
    </w:rPr>
  </w:style>
  <w:style w:styleId="Style_39" w:type="paragraph">
    <w:name w:val="Без интервала4"/>
    <w:link w:val="Style_39_ch"/>
    <w:rPr>
      <w:rFonts w:ascii="Times New Roman" w:hAnsi="Times New Roman"/>
      <w:sz w:val="24"/>
    </w:rPr>
  </w:style>
  <w:style w:styleId="Style_39_ch" w:type="character">
    <w:name w:val="Без интервала4"/>
    <w:link w:val="Style_39"/>
    <w:rPr>
      <w:rFonts w:ascii="Times New Roman" w:hAnsi="Times New Roman"/>
      <w:sz w:val="24"/>
    </w:rPr>
  </w:style>
  <w:style w:styleId="Style_40" w:type="paragraph">
    <w:name w:val="Header and Footer"/>
    <w:link w:val="Style_40_ch"/>
    <w:pPr>
      <w:spacing w:line="240" w:lineRule="auto"/>
      <w:ind/>
      <w:jc w:val="both"/>
    </w:pPr>
    <w:rPr>
      <w:rFonts w:ascii="XO Thames" w:hAnsi="XO Thames"/>
      <w:sz w:val="28"/>
    </w:rPr>
  </w:style>
  <w:style w:styleId="Style_40_ch" w:type="character">
    <w:name w:val="Header and Footer"/>
    <w:link w:val="Style_40"/>
    <w:rPr>
      <w:rFonts w:ascii="XO Thames" w:hAnsi="XO Thames"/>
      <w:sz w:val="28"/>
    </w:rPr>
  </w:style>
  <w:style w:styleId="Style_41" w:type="paragraph">
    <w:name w:val="Без интервала2"/>
    <w:link w:val="Style_41_ch"/>
    <w:rPr>
      <w:rFonts w:ascii="Times New Roman" w:hAnsi="Times New Roman"/>
      <w:sz w:val="24"/>
    </w:rPr>
  </w:style>
  <w:style w:styleId="Style_41_ch" w:type="character">
    <w:name w:val="Без интервала2"/>
    <w:link w:val="Style_41"/>
    <w:rPr>
      <w:rFonts w:ascii="Times New Roman" w:hAnsi="Times New Roman"/>
      <w:sz w:val="24"/>
    </w:rPr>
  </w:style>
  <w:style w:styleId="Style_42" w:type="paragraph">
    <w:name w:val="ListLabel 1"/>
    <w:link w:val="Style_42_ch"/>
  </w:style>
  <w:style w:styleId="Style_42_ch" w:type="character">
    <w:name w:val="ListLabel 1"/>
    <w:link w:val="Style_42"/>
  </w:style>
  <w:style w:styleId="Style_43" w:type="paragraph">
    <w:name w:val="toc 9"/>
    <w:next w:val="Style_11"/>
    <w:link w:val="Style_43_ch"/>
    <w:uiPriority w:val="39"/>
    <w:pPr>
      <w:ind w:firstLine="0" w:left="1600"/>
      <w:jc w:val="left"/>
    </w:pPr>
    <w:rPr>
      <w:rFonts w:ascii="XO Thames" w:hAnsi="XO Thames"/>
      <w:sz w:val="28"/>
    </w:rPr>
  </w:style>
  <w:style w:styleId="Style_43_ch" w:type="character">
    <w:name w:val="toc 9"/>
    <w:link w:val="Style_43"/>
    <w:rPr>
      <w:rFonts w:ascii="XO Thames" w:hAnsi="XO Thames"/>
      <w:sz w:val="28"/>
    </w:rPr>
  </w:style>
  <w:style w:styleId="Style_44" w:type="paragraph">
    <w:name w:val="toc 8"/>
    <w:next w:val="Style_11"/>
    <w:link w:val="Style_44_ch"/>
    <w:uiPriority w:val="39"/>
    <w:pPr>
      <w:ind w:firstLine="0" w:left="1400"/>
      <w:jc w:val="left"/>
    </w:pPr>
    <w:rPr>
      <w:rFonts w:ascii="XO Thames" w:hAnsi="XO Thames"/>
      <w:sz w:val="28"/>
    </w:rPr>
  </w:style>
  <w:style w:styleId="Style_44_ch" w:type="character">
    <w:name w:val="toc 8"/>
    <w:link w:val="Style_44"/>
    <w:rPr>
      <w:rFonts w:ascii="XO Thames" w:hAnsi="XO Thames"/>
      <w:sz w:val="28"/>
    </w:rPr>
  </w:style>
  <w:style w:styleId="Style_2" w:type="paragraph">
    <w:name w:val="Body Text 1"/>
    <w:basedOn w:val="Style_11"/>
    <w:link w:val="Style_2_ch"/>
    <w:pPr>
      <w:widowControl w:val="1"/>
      <w:spacing w:after="120" w:before="120"/>
      <w:ind/>
      <w:jc w:val="both"/>
    </w:pPr>
    <w:rPr>
      <w:rFonts w:ascii="Times New Roman" w:hAnsi="Times New Roman"/>
    </w:rPr>
  </w:style>
  <w:style w:styleId="Style_2_ch" w:type="character">
    <w:name w:val="Body Text 1"/>
    <w:basedOn w:val="Style_11_ch"/>
    <w:link w:val="Style_2"/>
    <w:rPr>
      <w:rFonts w:ascii="Times New Roman" w:hAnsi="Times New Roman"/>
    </w:rPr>
  </w:style>
  <w:style w:styleId="Style_3" w:type="paragraph">
    <w:name w:val="Body Text Indent"/>
    <w:basedOn w:val="Style_11"/>
    <w:link w:val="Style_3_ch"/>
    <w:pPr>
      <w:widowControl w:val="1"/>
      <w:spacing w:after="120"/>
      <w:ind w:left="283"/>
    </w:pPr>
    <w:rPr>
      <w:rFonts w:ascii="Times New Roman" w:hAnsi="Times New Roman"/>
      <w:color w:val="000000"/>
      <w:sz w:val="24"/>
    </w:rPr>
  </w:style>
  <w:style w:styleId="Style_3_ch" w:type="character">
    <w:name w:val="Body Text Indent"/>
    <w:basedOn w:val="Style_11_ch"/>
    <w:link w:val="Style_3"/>
    <w:rPr>
      <w:rFonts w:ascii="Times New Roman" w:hAnsi="Times New Roman"/>
      <w:color w:val="000000"/>
      <w:sz w:val="24"/>
    </w:rPr>
  </w:style>
  <w:style w:styleId="Style_6" w:type="paragraph">
    <w:name w:val="Заголовок №2_0"/>
    <w:basedOn w:val="Style_11"/>
    <w:link w:val="Style_6_ch"/>
    <w:pPr>
      <w:widowControl w:val="0"/>
      <w:spacing w:after="120" w:line="0" w:lineRule="atLeast"/>
      <w:ind/>
      <w:jc w:val="center"/>
      <w:outlineLvl w:val="1"/>
    </w:pPr>
    <w:rPr>
      <w:rFonts w:asciiTheme="minorAscii" w:hAnsiTheme="minorHAnsi"/>
      <w:b w:val="1"/>
    </w:rPr>
  </w:style>
  <w:style w:styleId="Style_6_ch" w:type="character">
    <w:name w:val="Заголовок №2_0"/>
    <w:basedOn w:val="Style_11_ch"/>
    <w:link w:val="Style_6"/>
    <w:rPr>
      <w:rFonts w:asciiTheme="minorAscii" w:hAnsiTheme="minorHAnsi"/>
      <w:b w:val="1"/>
    </w:rPr>
  </w:style>
  <w:style w:styleId="Style_45" w:type="paragraph">
    <w:name w:val="toc 5"/>
    <w:next w:val="Style_11"/>
    <w:link w:val="Style_45_ch"/>
    <w:uiPriority w:val="39"/>
    <w:pPr>
      <w:ind w:firstLine="0" w:left="800"/>
      <w:jc w:val="left"/>
    </w:pPr>
    <w:rPr>
      <w:rFonts w:ascii="XO Thames" w:hAnsi="XO Thames"/>
      <w:sz w:val="28"/>
    </w:rPr>
  </w:style>
  <w:style w:styleId="Style_45_ch" w:type="character">
    <w:name w:val="toc 5"/>
    <w:link w:val="Style_45"/>
    <w:rPr>
      <w:rFonts w:ascii="XO Thames" w:hAnsi="XO Thames"/>
      <w:sz w:val="28"/>
    </w:rPr>
  </w:style>
  <w:style w:styleId="Style_9" w:type="paragraph">
    <w:name w:val="Table Text"/>
    <w:link w:val="Style_9_ch"/>
    <w:rPr>
      <w:rFonts w:ascii="Times New Roman" w:hAnsi="Times New Roman"/>
      <w:color w:val="000000"/>
      <w:sz w:val="24"/>
    </w:rPr>
  </w:style>
  <w:style w:styleId="Style_9_ch" w:type="character">
    <w:name w:val="Table Text"/>
    <w:link w:val="Style_9"/>
    <w:rPr>
      <w:rFonts w:ascii="Times New Roman" w:hAnsi="Times New Roman"/>
      <w:color w:val="000000"/>
      <w:sz w:val="24"/>
    </w:rPr>
  </w:style>
  <w:style w:styleId="Style_46" w:type="paragraph">
    <w:name w:val="Balloon Text"/>
    <w:basedOn w:val="Style_11"/>
    <w:link w:val="Style_46_ch"/>
    <w:rPr>
      <w:rFonts w:ascii="Tahoma" w:hAnsi="Tahoma"/>
      <w:sz w:val="16"/>
    </w:rPr>
  </w:style>
  <w:style w:styleId="Style_46_ch" w:type="character">
    <w:name w:val="Balloon Text"/>
    <w:basedOn w:val="Style_11_ch"/>
    <w:link w:val="Style_46"/>
    <w:rPr>
      <w:rFonts w:ascii="Tahoma" w:hAnsi="Tahoma"/>
      <w:sz w:val="16"/>
    </w:rPr>
  </w:style>
  <w:style w:styleId="Style_47" w:type="paragraph">
    <w:name w:val="Subtitle"/>
    <w:next w:val="Style_11"/>
    <w:link w:val="Style_47_ch"/>
    <w:uiPriority w:val="11"/>
    <w:qFormat/>
    <w:pPr>
      <w:ind/>
      <w:jc w:val="both"/>
    </w:pPr>
    <w:rPr>
      <w:rFonts w:ascii="XO Thames" w:hAnsi="XO Thames"/>
      <w:i w:val="1"/>
      <w:sz w:val="24"/>
    </w:rPr>
  </w:style>
  <w:style w:styleId="Style_47_ch" w:type="character">
    <w:name w:val="Subtitle"/>
    <w:link w:val="Style_47"/>
    <w:rPr>
      <w:rFonts w:ascii="XO Thames" w:hAnsi="XO Thames"/>
      <w:i w:val="1"/>
      <w:sz w:val="24"/>
    </w:rPr>
  </w:style>
  <w:style w:styleId="Style_22" w:type="paragraph">
    <w:name w:val="LB Gov style 3"/>
    <w:basedOn w:val="Style_14"/>
    <w:link w:val="Style_22_ch"/>
    <w:pPr>
      <w:numPr>
        <w:ilvl w:val="2"/>
      </w:numPr>
    </w:pPr>
  </w:style>
  <w:style w:styleId="Style_22_ch" w:type="character">
    <w:name w:val="LB Gov style 3"/>
    <w:basedOn w:val="Style_14_ch"/>
    <w:link w:val="Style_22"/>
  </w:style>
  <w:style w:styleId="Style_48" w:type="paragraph">
    <w:name w:val="Title"/>
    <w:next w:val="Style_11"/>
    <w:link w:val="Style_48_ch"/>
    <w:uiPriority w:val="10"/>
    <w:qFormat/>
    <w:pPr>
      <w:spacing w:after="567" w:before="567"/>
      <w:ind/>
      <w:jc w:val="center"/>
    </w:pPr>
    <w:rPr>
      <w:rFonts w:ascii="XO Thames" w:hAnsi="XO Thames"/>
      <w:b w:val="1"/>
      <w:caps w:val="1"/>
      <w:sz w:val="40"/>
    </w:rPr>
  </w:style>
  <w:style w:styleId="Style_48_ch" w:type="character">
    <w:name w:val="Title"/>
    <w:link w:val="Style_48"/>
    <w:rPr>
      <w:rFonts w:ascii="XO Thames" w:hAnsi="XO Thames"/>
      <w:b w:val="1"/>
      <w:caps w:val="1"/>
      <w:sz w:val="40"/>
    </w:rPr>
  </w:style>
  <w:style w:styleId="Style_49" w:type="paragraph">
    <w:name w:val="heading 4"/>
    <w:next w:val="Style_11"/>
    <w:link w:val="Style_49_ch"/>
    <w:uiPriority w:val="9"/>
    <w:qFormat/>
    <w:pPr>
      <w:spacing w:after="120" w:before="120"/>
      <w:ind/>
      <w:jc w:val="both"/>
      <w:outlineLvl w:val="3"/>
    </w:pPr>
    <w:rPr>
      <w:rFonts w:ascii="XO Thames" w:hAnsi="XO Thames"/>
      <w:b w:val="1"/>
      <w:sz w:val="24"/>
    </w:rPr>
  </w:style>
  <w:style w:styleId="Style_49_ch" w:type="character">
    <w:name w:val="heading 4"/>
    <w:link w:val="Style_49"/>
    <w:rPr>
      <w:rFonts w:ascii="XO Thames" w:hAnsi="XO Thames"/>
      <w:b w:val="1"/>
      <w:sz w:val="24"/>
    </w:rPr>
  </w:style>
  <w:style w:styleId="Style_4" w:type="paragraph">
    <w:name w:val="heading 2"/>
    <w:basedOn w:val="Style_11"/>
    <w:next w:val="Style_11"/>
    <w:link w:val="Style_4_ch"/>
    <w:uiPriority w:val="9"/>
    <w:qFormat/>
    <w:pPr>
      <w:keepNext w:val="1"/>
      <w:keepLines w:val="1"/>
      <w:widowControl w:val="1"/>
      <w:spacing w:before="200"/>
      <w:ind/>
      <w:outlineLvl w:val="1"/>
    </w:pPr>
    <w:rPr>
      <w:rFonts w:asciiTheme="majorAscii" w:hAnsiTheme="majorHAnsi"/>
      <w:b w:val="1"/>
      <w:color w:themeColor="accent1" w:val="4F81BD"/>
      <w:sz w:val="26"/>
    </w:rPr>
  </w:style>
  <w:style w:styleId="Style_4_ch" w:type="character">
    <w:name w:val="heading 2"/>
    <w:basedOn w:val="Style_11_ch"/>
    <w:link w:val="Style_4"/>
    <w:rPr>
      <w:rFonts w:asciiTheme="majorAscii" w:hAnsiTheme="majorHAnsi"/>
      <w:b w:val="1"/>
      <w:color w:themeColor="accent1" w:val="4F81BD"/>
      <w:sz w:val="26"/>
    </w:rPr>
  </w:style>
  <w:style w:styleId="Style_50" w:type="paragraph">
    <w:name w:val="LB Gov style 6"/>
    <w:basedOn w:val="Style_11"/>
    <w:link w:val="Style_50_ch"/>
    <w:pPr>
      <w:widowControl w:val="1"/>
      <w:numPr>
        <w:ilvl w:val="6"/>
        <w:numId w:val="5"/>
      </w:numPr>
      <w:spacing w:after="120" w:before="120"/>
      <w:ind/>
      <w:jc w:val="both"/>
    </w:pPr>
    <w:rPr>
      <w:rFonts w:ascii="Times New Roman" w:hAnsi="Times New Roman"/>
    </w:rPr>
  </w:style>
  <w:style w:styleId="Style_50_ch" w:type="character">
    <w:name w:val="LB Gov style 6"/>
    <w:basedOn w:val="Style_11_ch"/>
    <w:link w:val="Style_50"/>
    <w:rPr>
      <w:rFonts w:ascii="Times New Roman" w:hAnsi="Times New Roman"/>
    </w:rPr>
  </w:style>
  <w:style w:styleId="Style_10" w:type="table">
    <w:name w:val="Table Grid"/>
    <w:basedOn w:val="Style_7"/>
    <w:tblPr>
      <w:tblInd w:type="dxa" w:w="0"/>
      <w:tblBorders>
        <w:top w:color="000000" w:sz="4" w:val="single"/>
        <w:left w:color="000000" w:sz="4" w:val="single"/>
        <w:bottom w:color="000000" w:sz="4" w:val="single"/>
        <w:right w:color="000000" w:sz="4" w:val="single"/>
        <w:insideH w:color="000000" w:sz="4" w:val="single"/>
        <w:insideV w:color="000000" w:sz="4" w:val="single"/>
      </w:tblBorders>
      <w:tblCellMar>
        <w:top w:type="dxa" w:w="0"/>
        <w:left w:type="dxa" w:w="108"/>
        <w:bottom w:type="dxa" w:w="0"/>
        <w:right w:type="dxa" w:w="108"/>
      </w:tblCellMar>
    </w:tblPr>
  </w:style>
  <w:style w:default="1" w:styleId="Style_7"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8" Target="endnotes.xml" Type="http://schemas.openxmlformats.org/officeDocument/2006/relationships/endnotes"/>
  <Relationship Id="rId4" Target="stylesWithEffects.xml" Type="http://schemas.microsoft.com/office/2007/relationships/stylesWithEffects"/>
  <Relationship Id="rId9" Target="numbering.xml" Type="http://schemas.openxmlformats.org/officeDocument/2006/relationships/numbering"/>
  <Relationship Id="rId7" Target="footnotes.xml" Type="http://schemas.openxmlformats.org/officeDocument/2006/relationships/footnotes"/>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2025-04-16T11:31:00Z</dcterms:created>
  <dcterms:modified xsi:type="dcterms:W3CDTF">2026-09-24T16:39:48Z</dcterms:modified>
</cp:coreProperties>
</file>