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webSettings.xml" ContentType="application/vnd.openxmlformats-officedocument.wordprocessingml.webSettings+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ve="http://schemas.openxmlformats.org/markup-compatibility/2006" xmlns:w="http://schemas.openxmlformats.org/wordprocessingml/2006/main" xmlns:w10="urn:schemas-microsoft-com:office:word" xmlns:wne="http://schemas.microsoft.com/office/word/2006/wordml" xmlns:wp="http://schemas.openxmlformats.org/drawingml/2006/wordprocessingDrawing" xmlns:wpg="http://schemas.microsoft.com/office/word/2010/wordprocessingGroup" xmlns:wps="http://schemas.microsoft.com/office/word/2010/wordprocessingShape">
  <w:body>
    <w:tbl>
      <w:tblPr>
        <w:tblStyle w:val="TableStyle0"/>
        <w:tblW w:w="5000" w:type="pct"/>
        <w:tblLayout w:type="fixed"/>
        <w:tblCellMar>
          <w:left w:w="57" w:type="dxa"/>
          <w:right w:w="57" w:type="dxa"/>
        </w:tblCellMar>
        <w:tblLook w:val="04A0"/>
      </w:tblPr>
      <w:tblGrid>
        <w:gridCol w:w="405"/>
        <w:gridCol w:w="600"/>
        <w:gridCol w:w="900"/>
        <w:gridCol w:w="900"/>
        <w:gridCol w:w="900"/>
        <w:gridCol w:w="900"/>
        <w:gridCol w:w="900"/>
        <w:gridCol w:w="900"/>
        <w:gridCol w:w="900"/>
        <w:gridCol w:w="900"/>
        <w:gridCol w:w="900"/>
        <w:gridCol w:w="900"/>
        <w:gridCol w:w="600"/>
      </w:tblGrid>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bottom"/>
          </w:tcPr>
          <w:p>
            <w:pPr>
              <w:spacing w:after="0"/>
              <w:wordWrap w:val="1"/>
              <w:jc w:val="center"/>
            </w:pPr>
            <w:r>
              <w:rPr>
                <w:rFonts w:ascii="Arial" w:hAnsi="Arial"/>
                <w:b/>
                <w:sz w:val="19"/>
                <w:szCs w:val="19"/>
              </w:rPr>
              <w:t>КОНТРАКТ НА ПОСТАВКУ № </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right"/>
            </w:pPr>
          </w:p>
        </w:tc>
        <w:tc>
          <w:tcPr>
            <w:tcW w:w="600" w:type="dxa"/>
            <w:shd w:val="clear" w:color="auto" w:fill="auto"/>
            <w:textDirection w:val="lrTb"/>
            <w:vAlign w:val="bottom"/>
          </w:tcPr>
          <w:p>
            <w:pPr>
              <w:spacing w:after="0"/>
              <w:jc w:val="right"/>
            </w:pP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c>
          <w:tcPr>
            <w:tcW w:w="3600" w:type="dxa"/>
            <w:gridSpan w:val="4"/>
            <w:shd w:val="clear" w:color="auto" w:fill="auto"/>
            <w:textDirection w:val="lrTb"/>
            <w:vAlign w:val="bottom"/>
          </w:tcPr>
          <w:p>
            <w:pPr>
              <w:spacing w:after="0"/>
              <w:wordWrap w:val="0"/>
              <w:jc w:val="left"/>
            </w:pPr>
            <w:r>
              <w:rPr>
                <w:rFonts w:ascii="Arial" w:hAnsi="Arial"/>
                <w:sz w:val="19"/>
                <w:szCs w:val="19"/>
              </w:rPr>
              <w:t>г. Санкт-Петербург</w:t>
            </w: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1500" w:type="dxa"/>
            <w:gridSpan w:val="2"/>
            <w:shd w:val="clear" w:color="auto" w:fill="auto"/>
            <w:textDirection w:val="lrTb"/>
            <w:vAlign w:val="bottom"/>
          </w:tcPr>
          <w:p>
            <w:pPr>
              <w:spacing w:after="0"/>
              <w:wordWrap w:val="0"/>
              <w:jc w:val="right"/>
            </w:pPr>
            <w:r>
              <w:rPr>
                <w:rFonts w:ascii="Arial" w:hAnsi="Arial"/>
                <w:sz w:val="19"/>
                <w:szCs w:val="19"/>
              </w:rPr>
              <w:t>дата   2026 год </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both"/>
            </w:pPr>
            <w:r>
              <w:rPr>
                <w:rFonts w:ascii="Arial" w:hAnsi="Arial"/>
                <w:sz w:val="19"/>
                <w:szCs w:val="19"/>
              </w:rPr>
              <w:t xml:space="preserve">      организация __________________________________, именуемое в дальнейшем "Поставщик", в лице директора _______________________________действующего на основании Устава   / доверенности , с одной стороны, и МДОБУ "НОВО-ДЕВЯТКИНСКИЙ ДСКВ №1", именуемое в дальнейшем "Покупатель", в лице __________________________________________________, действующего на основании __________________________________________________, с другой стороны, именуемые в дальнейшем "Стороны", заключили настоящий контракт о нижеследующем, согласно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wordWrap w:val="1"/>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left"/>
            </w:pPr>
            <w:r>
              <w:rPr>
                <w:rFonts w:ascii="Arial" w:hAnsi="Arial"/>
                <w:b/>
                <w:sz w:val="19"/>
                <w:szCs w:val="19"/>
              </w:rPr>
              <w:t>1. Предмет контракта.</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1.1.</w:t>
            </w:r>
          </w:p>
        </w:tc>
        <w:tc>
          <w:tcPr>
            <w:tcW w:w="9600" w:type="dxa"/>
            <w:gridSpan w:val="11"/>
            <w:shd w:val="clear" w:color="auto" w:fill="auto"/>
            <w:textDirection w:val="lrTb"/>
            <w:vAlign w:val="top"/>
          </w:tcPr>
          <w:p>
            <w:pPr>
              <w:spacing w:after="0"/>
              <w:wordWrap w:val="1"/>
              <w:jc w:val="both"/>
            </w:pPr>
            <w:r>
              <w:rPr>
                <w:rFonts w:ascii="Arial" w:hAnsi="Arial"/>
                <w:sz w:val="19"/>
                <w:szCs w:val="19"/>
              </w:rPr>
              <w:t>Поставщик обязуется в течение срока действия настоящего контракта поставлять Покупателю Товар, а Покупатель обязуется принимать и оплачивать Товар на условиях настоящего Контракта. Общая сумма контракта составляет _____________________________________________________________</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1.2.</w:t>
            </w:r>
          </w:p>
        </w:tc>
        <w:tc>
          <w:tcPr>
            <w:tcW w:w="9600" w:type="dxa"/>
            <w:gridSpan w:val="11"/>
            <w:shd w:val="clear" w:color="auto" w:fill="auto"/>
            <w:textDirection w:val="lrTb"/>
            <w:vAlign w:val="top"/>
          </w:tcPr>
          <w:p>
            <w:pPr>
              <w:spacing w:after="0"/>
              <w:wordWrap w:val="1"/>
              <w:jc w:val="both"/>
            </w:pPr>
            <w:r>
              <w:rPr>
                <w:rFonts w:ascii="Arial" w:hAnsi="Arial"/>
                <w:sz w:val="19"/>
                <w:szCs w:val="19"/>
              </w:rPr>
              <w:t>Количество, ассортимент, цена Товара указываются в спецификации, являющейся неотъемлемой частью настоящего контракта.</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1.3.</w:t>
            </w:r>
          </w:p>
        </w:tc>
        <w:tc>
          <w:tcPr>
            <w:tcW w:w="9600" w:type="dxa"/>
            <w:gridSpan w:val="11"/>
            <w:shd w:val="clear" w:color="auto" w:fill="auto"/>
            <w:textDirection w:val="lrTb"/>
            <w:vAlign w:val="top"/>
          </w:tcPr>
          <w:p>
            <w:pPr>
              <w:spacing w:after="0"/>
              <w:wordWrap w:val="1"/>
              <w:jc w:val="both"/>
            </w:pPr>
            <w:r>
              <w:rPr>
                <w:rFonts w:ascii="Arial" w:hAnsi="Arial"/>
                <w:sz w:val="19"/>
                <w:szCs w:val="19"/>
              </w:rPr>
              <w:t>Право собственности на товар переходит с момента подписания сторонами товарной накладной (товарно-транспортной накладной).</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wordWrap w:val="1"/>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left"/>
            </w:pPr>
            <w:r>
              <w:rPr>
                <w:rFonts w:ascii="Arial" w:hAnsi="Arial"/>
                <w:b/>
                <w:sz w:val="19"/>
                <w:szCs w:val="19"/>
              </w:rPr>
              <w:t>2. Условия, срок и порядок поставки.</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2.1.</w:t>
            </w:r>
          </w:p>
        </w:tc>
        <w:tc>
          <w:tcPr>
            <w:tcW w:w="9600" w:type="dxa"/>
            <w:gridSpan w:val="11"/>
            <w:shd w:val="clear" w:color="auto" w:fill="auto"/>
            <w:textDirection w:val="lrTb"/>
            <w:vAlign w:val="top"/>
          </w:tcPr>
          <w:p>
            <w:pPr>
              <w:spacing w:after="0"/>
              <w:wordWrap w:val="1"/>
              <w:jc w:val="both"/>
            </w:pPr>
            <w:r>
              <w:rPr>
                <w:rFonts w:ascii="Arial" w:hAnsi="Arial"/>
                <w:sz w:val="19"/>
                <w:szCs w:val="19"/>
              </w:rPr>
              <w:t>Срок поставки составляет    в течении и   до 35 рабочих  дней с момента заключения настоящего контракта. Поставщик вправе осуществить поставку партиями в течении всего срока поставки.  Доставка , разгрузка , подключение оборудования силами поставщика и за его счет , в рабочие дни с 9 до 17 часов. 188673, Ленинградская область, р-н Всеволожский, д Новое Девяткино, ул Лесная, дом 8</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2.2.</w:t>
            </w:r>
          </w:p>
        </w:tc>
        <w:tc>
          <w:tcPr>
            <w:tcW w:w="9600" w:type="dxa"/>
            <w:gridSpan w:val="11"/>
            <w:shd w:val="clear" w:color="auto" w:fill="auto"/>
            <w:textDirection w:val="lrTb"/>
            <w:vAlign w:val="top"/>
          </w:tcPr>
          <w:p>
            <w:pPr>
              <w:spacing w:after="0"/>
              <w:wordWrap w:val="1"/>
              <w:jc w:val="both"/>
            </w:pPr>
            <w:r>
              <w:rPr>
                <w:rFonts w:ascii="Arial" w:hAnsi="Arial"/>
                <w:sz w:val="19"/>
                <w:szCs w:val="19"/>
              </w:rPr>
              <w:t>Направление заявок на поставку и счетов, а также обмен иными документами (кроме товаросопроводительных и счетов-фактур) может осуществляться при помощи факсимильной связи, электронной почтой или иным способом, позволяющим достоверно установить, что документ исходит от стороны по Контракту.</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2.3.</w:t>
            </w:r>
          </w:p>
        </w:tc>
        <w:tc>
          <w:tcPr>
            <w:tcW w:w="9600" w:type="dxa"/>
            <w:gridSpan w:val="11"/>
            <w:shd w:val="clear" w:color="auto" w:fill="auto"/>
            <w:textDirection w:val="lrTb"/>
            <w:vAlign w:val="top"/>
          </w:tcPr>
          <w:p>
            <w:pPr>
              <w:spacing w:after="0"/>
              <w:wordWrap w:val="1"/>
              <w:jc w:val="both"/>
            </w:pPr>
            <w:r>
              <w:rPr>
                <w:rFonts w:ascii="Arial" w:hAnsi="Arial"/>
                <w:sz w:val="19"/>
                <w:szCs w:val="19"/>
              </w:rPr>
              <w:t>Поставка Товара осуществляется транспортом  поставщика  за счет  поставщика </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2.4.</w:t>
            </w:r>
          </w:p>
        </w:tc>
        <w:tc>
          <w:tcPr>
            <w:tcW w:w="9600" w:type="dxa"/>
            <w:gridSpan w:val="11"/>
            <w:shd w:val="clear" w:color="auto" w:fill="auto"/>
            <w:textDirection w:val="lrTb"/>
            <w:vAlign w:val="top"/>
          </w:tcPr>
          <w:p>
            <w:pPr>
              <w:spacing w:after="0"/>
              <w:wordWrap w:val="1"/>
              <w:jc w:val="both"/>
            </w:pPr>
            <w:r>
              <w:rPr>
                <w:rFonts w:ascii="Arial" w:hAnsi="Arial"/>
                <w:sz w:val="19"/>
                <w:szCs w:val="19"/>
              </w:rPr>
              <w:t>О готовности партии Товара к доставке Поставщик не уведомляет Покупателя. Покупатель обязан осуществить приемку Товара в течение 3 (трех) дней со дня окончания срока поставки.</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2.5.</w:t>
            </w:r>
          </w:p>
        </w:tc>
        <w:tc>
          <w:tcPr>
            <w:tcW w:w="9600" w:type="dxa"/>
            <w:gridSpan w:val="11"/>
            <w:shd w:val="clear" w:color="auto" w:fill="auto"/>
            <w:textDirection w:val="lrTb"/>
            <w:vAlign w:val="top"/>
          </w:tcPr>
          <w:p>
            <w:pPr>
              <w:spacing w:after="0"/>
              <w:wordWrap w:val="1"/>
              <w:jc w:val="both"/>
            </w:pPr>
            <w:r>
              <w:rPr>
                <w:rFonts w:ascii="Arial" w:hAnsi="Arial"/>
                <w:sz w:val="19"/>
                <w:szCs w:val="19"/>
              </w:rPr>
              <w:t>Передача Товара производится представителю Покупателя или Перевозчику при предъявлении надлежаще оформленной доверенности от Покупателя и предъявлении документа удостоверяющего личность. При отсутствии такой доверенности Поставщик вправе не отгружать Товар.</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2.6.</w:t>
            </w:r>
          </w:p>
        </w:tc>
        <w:tc>
          <w:tcPr>
            <w:tcW w:w="9600" w:type="dxa"/>
            <w:gridSpan w:val="11"/>
            <w:shd w:val="clear" w:color="auto" w:fill="auto"/>
            <w:textDirection w:val="lrTb"/>
            <w:vAlign w:val="top"/>
          </w:tcPr>
          <w:p>
            <w:pPr>
              <w:spacing w:after="0"/>
              <w:wordWrap w:val="1"/>
              <w:jc w:val="both"/>
            </w:pPr>
            <w:r>
              <w:rPr>
                <w:rFonts w:ascii="Arial" w:hAnsi="Arial"/>
                <w:sz w:val="19"/>
                <w:szCs w:val="19"/>
              </w:rPr>
              <w:t>Обязательства Поставщика по поставке Товара считаются исполненными с момента передачи Товара первому Перевозчику (или Покупателю - при самостоятельном получении Товара).</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wordWrap w:val="1"/>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left"/>
            </w:pPr>
            <w:r>
              <w:rPr>
                <w:rFonts w:ascii="Arial" w:hAnsi="Arial"/>
                <w:b/>
                <w:sz w:val="19"/>
                <w:szCs w:val="19"/>
              </w:rPr>
              <w:t>3. Качество и комплектность поставки.</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3.1.</w:t>
            </w:r>
          </w:p>
        </w:tc>
        <w:tc>
          <w:tcPr>
            <w:tcW w:w="9600" w:type="dxa"/>
            <w:gridSpan w:val="11"/>
            <w:shd w:val="clear" w:color="auto" w:fill="auto"/>
            <w:textDirection w:val="lrTb"/>
            <w:vAlign w:val="top"/>
          </w:tcPr>
          <w:p>
            <w:pPr>
              <w:spacing w:after="0"/>
              <w:wordWrap w:val="1"/>
              <w:jc w:val="both"/>
            </w:pPr>
            <w:r>
              <w:rPr>
                <w:rFonts w:ascii="Arial" w:hAnsi="Arial"/>
                <w:sz w:val="19"/>
                <w:szCs w:val="19"/>
              </w:rPr>
              <w:t>Качество и комплектность поставляемых Товаров должны соответствовать стандартам, техническим условиям, образцам и сертификатам качества.</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3.2.</w:t>
            </w:r>
          </w:p>
        </w:tc>
        <w:tc>
          <w:tcPr>
            <w:tcW w:w="9600" w:type="dxa"/>
            <w:gridSpan w:val="11"/>
            <w:shd w:val="clear" w:color="auto" w:fill="auto"/>
            <w:textDirection w:val="lrTb"/>
            <w:vAlign w:val="top"/>
          </w:tcPr>
          <w:p>
            <w:pPr>
              <w:spacing w:after="0"/>
              <w:wordWrap w:val="1"/>
              <w:jc w:val="both"/>
            </w:pPr>
            <w:r>
              <w:rPr>
                <w:rFonts w:ascii="Arial" w:hAnsi="Arial"/>
                <w:sz w:val="19"/>
                <w:szCs w:val="19"/>
              </w:rPr>
              <w:t>Согласование между сторонами уточнённых характеристик и дополнительных требований по качеству и комплектности производится сторонами в отдельном порядке.</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3.3.</w:t>
            </w:r>
          </w:p>
        </w:tc>
        <w:tc>
          <w:tcPr>
            <w:tcW w:w="9600" w:type="dxa"/>
            <w:gridSpan w:val="11"/>
            <w:shd w:val="clear" w:color="auto" w:fill="auto"/>
            <w:textDirection w:val="lrTb"/>
            <w:vAlign w:val="top"/>
          </w:tcPr>
          <w:p>
            <w:pPr>
              <w:spacing w:after="0"/>
              <w:wordWrap w:val="1"/>
              <w:jc w:val="both"/>
            </w:pPr>
            <w:r>
              <w:rPr>
                <w:rFonts w:ascii="Arial" w:hAnsi="Arial"/>
                <w:sz w:val="19"/>
                <w:szCs w:val="19"/>
              </w:rPr>
              <w:t>Принятый Покупателем Товар должен быть осмотрен им в момент отгрузки.</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wordWrap w:val="1"/>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left"/>
            </w:pPr>
            <w:r>
              <w:rPr>
                <w:rFonts w:ascii="Arial" w:hAnsi="Arial"/>
                <w:b/>
                <w:sz w:val="19"/>
                <w:szCs w:val="19"/>
              </w:rPr>
              <w:t>4. Порядок приемки товара.</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4.1.</w:t>
            </w:r>
          </w:p>
        </w:tc>
        <w:tc>
          <w:tcPr>
            <w:tcW w:w="9600" w:type="dxa"/>
            <w:gridSpan w:val="11"/>
            <w:shd w:val="clear" w:color="auto" w:fill="auto"/>
            <w:textDirection w:val="lrTb"/>
            <w:vAlign w:val="top"/>
          </w:tcPr>
          <w:p>
            <w:pPr>
              <w:spacing w:after="0"/>
              <w:wordWrap w:val="1"/>
              <w:jc w:val="both"/>
            </w:pPr>
            <w:r>
              <w:rPr>
                <w:rFonts w:ascii="Arial" w:hAnsi="Arial"/>
                <w:sz w:val="19"/>
                <w:szCs w:val="19"/>
              </w:rPr>
              <w:t>Приемка Товара Покупателем осуществляется</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4.1.1.</w:t>
            </w:r>
          </w:p>
        </w:tc>
        <w:tc>
          <w:tcPr>
            <w:tcW w:w="9600" w:type="dxa"/>
            <w:gridSpan w:val="11"/>
            <w:shd w:val="clear" w:color="auto" w:fill="auto"/>
            <w:textDirection w:val="lrTb"/>
            <w:vAlign w:val="top"/>
          </w:tcPr>
          <w:p>
            <w:pPr>
              <w:spacing w:after="0"/>
              <w:wordWrap w:val="1"/>
              <w:jc w:val="both"/>
            </w:pPr>
            <w:r>
              <w:rPr>
                <w:rFonts w:ascii="Arial" w:hAnsi="Arial"/>
                <w:sz w:val="19"/>
                <w:szCs w:val="19"/>
              </w:rPr>
              <w:t>При выборке Товара Покупателем на складе Поставщика, т.е. при самовывозе – Приемка Товара, подлежащего вывозу силами Покупателя, по наименованию, количеству, ассортименту, комплектности и качеству (отсутствию внешних дефектов) осуществляется Покупателем путем его пересчета и внешнего осмотра при получении Товара от уполномоченного представителя Поставщика в момент погрузки на складе Поставщика и оформляется подписанием товарной накладной / универсального передаточного документа (ТОРГ-12/УПД). Право собственности на Товар и риск случайной гибели или случайного повреждения Товара переходят в момент фактического приема-передачи Товара с подписанной товарной накладной / универсального передаточного документа (ТОРГ-12/УПД) от Поставщика к Покупателю.</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4.1.2.</w:t>
            </w:r>
          </w:p>
        </w:tc>
        <w:tc>
          <w:tcPr>
            <w:tcW w:w="9600" w:type="dxa"/>
            <w:gridSpan w:val="11"/>
            <w:shd w:val="clear" w:color="auto" w:fill="auto"/>
            <w:textDirection w:val="lrTb"/>
            <w:vAlign w:val="top"/>
          </w:tcPr>
          <w:p>
            <w:pPr>
              <w:spacing w:after="0"/>
              <w:wordWrap w:val="1"/>
              <w:jc w:val="both"/>
            </w:pPr>
            <w:r>
              <w:rPr>
                <w:rFonts w:ascii="Arial" w:hAnsi="Arial"/>
                <w:sz w:val="19"/>
                <w:szCs w:val="19"/>
              </w:rPr>
              <w:t>В случае привлечения Покупателем своего Перевозчика – выбор Перевозчика остается за Покупателем. Покупатель в течение 3 (трех) рабочих дней, но не позднее чем за 1 (один) рабочий день до предполагаемой даты отгрузки, направляет в адрес Поставщика письменное уведомление с указанием реквизитов Перевозчика, уполномоченного Покупателем на получение Товара от Поставщика для последующей доставки. Приемка Товара по наименованию, количеству, ассортименту, комплектности и качеству (отсутствию внешних дефектов) осуществляется Покупателем путем его пересчета и внешнего осмотра при получении Товара от уполномоченного представителя Поставщика или Перевозчика в момент погрузки в месте, указанном в заявке на доставку, и оформляется подписанием товарной накладной / универсального передаточного документа (ТОРГ-12/УПД). Покупатель или уполномоченный представитель Покупателя (Перевозчик) обязан подписать товарно-транспортную накладную и товарную накладную на Товар и передать их уполномоченному представителю Поставщика в момент приема-передачи Товара.  В случае привлечения Покупателем своего Перевозчика – право собственности на Товар и риск случайной гибели или случайного повреждения Товара переходят к Покупателю в момент фактического приема-передачи Товара с подписанной товарной накладной / универсального передаточного документа (ТОРГ-12/УПД) от Поставщика к первому Перевозчику Покупателя.</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4.1.3.</w:t>
            </w:r>
          </w:p>
        </w:tc>
        <w:tc>
          <w:tcPr>
            <w:tcW w:w="9600" w:type="dxa"/>
            <w:gridSpan w:val="11"/>
            <w:shd w:val="clear" w:color="auto" w:fill="auto"/>
            <w:textDirection w:val="lrTb"/>
            <w:vAlign w:val="top"/>
          </w:tcPr>
          <w:p>
            <w:pPr>
              <w:spacing w:after="0"/>
              <w:wordWrap w:val="1"/>
              <w:jc w:val="both"/>
            </w:pPr>
            <w:r>
              <w:rPr>
                <w:rFonts w:ascii="Arial" w:hAnsi="Arial"/>
                <w:sz w:val="19"/>
                <w:szCs w:val="19"/>
              </w:rPr>
              <w:t>В случае привлечения Поставщиком своего Перевозчика – выбор Перевозчика остается за Поставщиком.  Приемка-передача Товара осуществляется Покупателем или уполномоченным представителем Покупателя по количеству мест и веса по товарной накладной / универсального передаточного документа (ТОРГ-12/УПД) в момент разгрузки в месте, указанном Покупателем в заявке на доставку, с одновременным подписанием всех товаросопроводительных документов, которые удостоверяют и подтверждают наименование, количество, качество, ассортимент и комплектность Товара. Покупатель обязан подписать товарно-транспортную накладную и товарную накладную / универсальный передаточный документ (ТОРГ-12/УПД) на Товар и передать их уполномоченному представителю Поставщика (транспортной компании) в момент приема-передачи Товара. В случае привлечения Поставщиком своего Перевозчика – право собственности на Товар и риск случайной гибели или случайного повреждения Товара переходят к Покупателю в момент фактического приема-передачи Товара с подписанной товарной накладной / универсальным передаточным документом (ТОРГ-12/УПД) от выбранного Поставщиком Перевозчика к Покупателю.</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4.2.</w:t>
            </w:r>
          </w:p>
        </w:tc>
        <w:tc>
          <w:tcPr>
            <w:tcW w:w="9600" w:type="dxa"/>
            <w:gridSpan w:val="11"/>
            <w:shd w:val="clear" w:color="auto" w:fill="auto"/>
            <w:textDirection w:val="lrTb"/>
            <w:vAlign w:val="top"/>
          </w:tcPr>
          <w:p>
            <w:pPr>
              <w:spacing w:after="0"/>
              <w:wordWrap w:val="1"/>
              <w:jc w:val="both"/>
            </w:pPr>
            <w:r>
              <w:rPr>
                <w:rFonts w:ascii="Arial" w:hAnsi="Arial"/>
                <w:sz w:val="19"/>
                <w:szCs w:val="19"/>
              </w:rPr>
              <w:t>Датой поставки считается дата, указанная Поставщиком в товарной накладной / универсальном передаточном документе (ТОРГ-12/УПД) и товарно-сопроводительных документах.</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4.3.</w:t>
            </w:r>
          </w:p>
        </w:tc>
        <w:tc>
          <w:tcPr>
            <w:tcW w:w="9600" w:type="dxa"/>
            <w:gridSpan w:val="11"/>
            <w:shd w:val="clear" w:color="auto" w:fill="auto"/>
            <w:textDirection w:val="lrTb"/>
            <w:vAlign w:val="top"/>
          </w:tcPr>
          <w:p>
            <w:pPr>
              <w:spacing w:after="0"/>
              <w:wordWrap w:val="1"/>
              <w:jc w:val="both"/>
            </w:pPr>
            <w:r>
              <w:rPr>
                <w:rFonts w:ascii="Arial" w:hAnsi="Arial"/>
                <w:sz w:val="19"/>
                <w:szCs w:val="19"/>
              </w:rPr>
              <w:t>В случае выявления при приемке Товара, доставляемого Поставщиком, несоответствий условиям настоящего Контракта и товарно-сопроводительным документам уполномоченные представители Сторон составляют и подписывают акт об обнаруженных недостатках, в котором оговариваются все обнаруженные при приемке расхождения и недостатки Товара. В случае, если Товар принят Покупателем без составления указанного акта, Поставщик считается полностью и надлежащим образом исполнившим свои обязательства по поставке Товара, и Покупатель не имеет права предъявлять претензии к Поставщику.</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4.4.</w:t>
            </w:r>
          </w:p>
        </w:tc>
        <w:tc>
          <w:tcPr>
            <w:tcW w:w="9600" w:type="dxa"/>
            <w:gridSpan w:val="11"/>
            <w:shd w:val="clear" w:color="auto" w:fill="auto"/>
            <w:textDirection w:val="lrTb"/>
            <w:vAlign w:val="top"/>
          </w:tcPr>
          <w:p>
            <w:pPr>
              <w:spacing w:after="0"/>
              <w:wordWrap w:val="1"/>
              <w:jc w:val="both"/>
            </w:pPr>
            <w:r>
              <w:rPr>
                <w:rFonts w:ascii="Arial" w:hAnsi="Arial"/>
                <w:sz w:val="19"/>
                <w:szCs w:val="19"/>
              </w:rPr>
              <w:t>В случае выявления внешних дефектов или несоответствия количества, ассортимента, комплектности Товара, подлежащего вывозу силами Покупателя, в товарной накладной / универсальном передаточном документе (ТОРГ-12/УПД) должна быть сделана отметка о фактически принятом наименовании, количестве, ассортименте и комплектности Товара. Претензии по наименованию, количеству, ассортименту, комплектности и качеству (отсутствию внешних дефектов) Товара после подписания Сторонами товарной накладной / универсального передаточного документа (ТОРГ-12/УПД) не принимаются.</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4.5.</w:t>
            </w:r>
          </w:p>
        </w:tc>
        <w:tc>
          <w:tcPr>
            <w:tcW w:w="9600" w:type="dxa"/>
            <w:gridSpan w:val="11"/>
            <w:shd w:val="clear" w:color="auto" w:fill="auto"/>
            <w:textDirection w:val="lrTb"/>
            <w:vAlign w:val="top"/>
          </w:tcPr>
          <w:p>
            <w:pPr>
              <w:spacing w:after="0"/>
              <w:wordWrap w:val="1"/>
              <w:jc w:val="both"/>
            </w:pPr>
            <w:r>
              <w:rPr>
                <w:rFonts w:ascii="Arial" w:hAnsi="Arial"/>
                <w:sz w:val="19"/>
                <w:szCs w:val="19"/>
              </w:rPr>
              <w:t>Срок бесплатного хранения товара на складе Поставщика составляет 3 дня с момента окончания сроков отгрузки товара Покупателю. В дальнейшем стоимость хранения товара в день составляет 1 % от стоимости не выбранного товара Покупателем, но не менее 300 (трехсот) рублей за 1 день хранения.</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wordWrap w:val="1"/>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left"/>
            </w:pPr>
            <w:r>
              <w:rPr>
                <w:rFonts w:ascii="Arial" w:hAnsi="Arial"/>
                <w:b/>
                <w:sz w:val="19"/>
                <w:szCs w:val="19"/>
              </w:rPr>
              <w:t>5. Цена и порядок расчетов.</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5.1.</w:t>
            </w:r>
          </w:p>
        </w:tc>
        <w:tc>
          <w:tcPr>
            <w:tcW w:w="9600" w:type="dxa"/>
            <w:gridSpan w:val="11"/>
            <w:shd w:val="clear" w:color="auto" w:fill="auto"/>
            <w:textDirection w:val="lrTb"/>
            <w:vAlign w:val="top"/>
          </w:tcPr>
          <w:p>
            <w:pPr>
              <w:spacing w:after="0"/>
              <w:wordWrap w:val="1"/>
              <w:jc w:val="both"/>
            </w:pPr>
            <w:r>
              <w:rPr>
                <w:rFonts w:ascii="Arial" w:hAnsi="Arial"/>
                <w:sz w:val="19"/>
                <w:szCs w:val="19"/>
              </w:rPr>
              <w:t>Расчёты между сторонами производятся путём перечисления денежных средств с расчётного счета Покупателя на расчётный счёт Поставщика.</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5.2.</w:t>
            </w:r>
          </w:p>
        </w:tc>
        <w:tc>
          <w:tcPr>
            <w:tcW w:w="9600" w:type="dxa"/>
            <w:gridSpan w:val="11"/>
            <w:shd w:val="clear" w:color="auto" w:fill="auto"/>
            <w:textDirection w:val="lrTb"/>
            <w:vAlign w:val="top"/>
          </w:tcPr>
          <w:p>
            <w:pPr>
              <w:spacing w:after="0"/>
              <w:wordWrap w:val="1"/>
              <w:jc w:val="both"/>
            </w:pPr>
            <w:r>
              <w:rPr>
                <w:rFonts w:ascii="Arial" w:hAnsi="Arial"/>
                <w:sz w:val="19"/>
                <w:szCs w:val="19"/>
              </w:rPr>
              <w:t>Покупатель оплачивает поставляемый поставщиком товар по согласованной на момент заключения настоящего контракта цене, в следующем порядке: 100% от стоимости товара в течение 10 рабочих дней с момента подписания товарной накладной / универсального передаточного документа (ТОРГ-12/УПД).</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5.3.</w:t>
            </w:r>
          </w:p>
        </w:tc>
        <w:tc>
          <w:tcPr>
            <w:tcW w:w="9600" w:type="dxa"/>
            <w:gridSpan w:val="11"/>
            <w:shd w:val="clear" w:color="auto" w:fill="auto"/>
            <w:textDirection w:val="lrTb"/>
            <w:vAlign w:val="top"/>
          </w:tcPr>
          <w:p>
            <w:pPr>
              <w:spacing w:after="0"/>
              <w:wordWrap w:val="1"/>
              <w:jc w:val="both"/>
            </w:pPr>
            <w:r>
              <w:rPr>
                <w:rFonts w:ascii="Arial" w:hAnsi="Arial"/>
                <w:sz w:val="19"/>
                <w:szCs w:val="19"/>
              </w:rPr>
              <w:t>Оплата Товара производится перечислением денежных средств на расчетный счет Поставщика.</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5.4.</w:t>
            </w:r>
          </w:p>
        </w:tc>
        <w:tc>
          <w:tcPr>
            <w:tcW w:w="9600" w:type="dxa"/>
            <w:gridSpan w:val="11"/>
            <w:shd w:val="clear" w:color="auto" w:fill="auto"/>
            <w:textDirection w:val="lrTb"/>
            <w:vAlign w:val="top"/>
          </w:tcPr>
          <w:p>
            <w:pPr>
              <w:spacing w:after="0"/>
              <w:wordWrap w:val="1"/>
              <w:jc w:val="both"/>
            </w:pPr>
            <w:r>
              <w:rPr>
                <w:rFonts w:ascii="Arial" w:hAnsi="Arial"/>
                <w:sz w:val="19"/>
                <w:szCs w:val="19"/>
              </w:rPr>
              <w:t>Партия Товара (часть партии) считается оплаченной с момента зачисления денежных средств на расчетный счет Поставщика. </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5.5.</w:t>
            </w:r>
          </w:p>
        </w:tc>
        <w:tc>
          <w:tcPr>
            <w:tcW w:w="9600" w:type="dxa"/>
            <w:gridSpan w:val="11"/>
            <w:shd w:val="clear" w:color="auto" w:fill="auto"/>
            <w:textDirection w:val="lrTb"/>
            <w:vAlign w:val="top"/>
          </w:tcPr>
          <w:p>
            <w:pPr>
              <w:spacing w:after="0"/>
              <w:wordWrap w:val="1"/>
              <w:jc w:val="both"/>
            </w:pPr>
            <w:r>
              <w:rPr>
                <w:rFonts w:ascii="Arial" w:hAnsi="Arial"/>
                <w:sz w:val="19"/>
                <w:szCs w:val="19"/>
              </w:rPr>
              <w:t>Источник финансирования:______________________________</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wordWrap w:val="1"/>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left"/>
            </w:pPr>
            <w:r>
              <w:rPr>
                <w:rFonts w:ascii="Arial" w:hAnsi="Arial"/>
                <w:b/>
                <w:sz w:val="19"/>
                <w:szCs w:val="19"/>
              </w:rPr>
              <w:t>6. Гарантийные обязательства.</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6.1.</w:t>
            </w:r>
          </w:p>
        </w:tc>
        <w:tc>
          <w:tcPr>
            <w:tcW w:w="9600" w:type="dxa"/>
            <w:gridSpan w:val="11"/>
            <w:shd w:val="clear" w:color="auto" w:fill="auto"/>
            <w:textDirection w:val="lrTb"/>
            <w:vAlign w:val="top"/>
          </w:tcPr>
          <w:p>
            <w:pPr>
              <w:spacing w:after="0"/>
              <w:wordWrap w:val="1"/>
              <w:jc w:val="both"/>
            </w:pPr>
            <w:r>
              <w:rPr>
                <w:rFonts w:ascii="Arial" w:hAnsi="Arial"/>
                <w:sz w:val="19"/>
                <w:szCs w:val="19"/>
              </w:rPr>
              <w:t>Поставляемый Товар по своему качеству и комплектности должен соответствовать ГОСТам, требованиям технических условий (ТУ) завода-изготовителя и техническому паспорту.</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6.2.</w:t>
            </w:r>
          </w:p>
        </w:tc>
        <w:tc>
          <w:tcPr>
            <w:tcW w:w="9600" w:type="dxa"/>
            <w:gridSpan w:val="11"/>
            <w:shd w:val="clear" w:color="auto" w:fill="auto"/>
            <w:textDirection w:val="lrTb"/>
            <w:vAlign w:val="top"/>
          </w:tcPr>
          <w:p>
            <w:pPr>
              <w:spacing w:after="0"/>
              <w:wordWrap w:val="1"/>
              <w:jc w:val="both"/>
            </w:pPr>
            <w:r>
              <w:rPr>
                <w:rFonts w:ascii="Arial" w:hAnsi="Arial"/>
                <w:sz w:val="19"/>
                <w:szCs w:val="19"/>
              </w:rPr>
              <w:t>Гарантийный срок на Товар, имеющий заводскую нумерацию и имеющий технический паспорт, устанавливается в соответствии с обязательствами завода-изготовителя и сопровождается выдачей гарантийного талона в момент совершения продажи.</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6.3.</w:t>
            </w:r>
          </w:p>
        </w:tc>
        <w:tc>
          <w:tcPr>
            <w:tcW w:w="9600" w:type="dxa"/>
            <w:gridSpan w:val="11"/>
            <w:shd w:val="clear" w:color="auto" w:fill="auto"/>
            <w:textDirection w:val="lrTb"/>
            <w:vAlign w:val="top"/>
          </w:tcPr>
          <w:p>
            <w:pPr>
              <w:spacing w:after="0"/>
              <w:wordWrap w:val="1"/>
              <w:jc w:val="both"/>
            </w:pPr>
            <w:r>
              <w:rPr>
                <w:rFonts w:ascii="Arial" w:hAnsi="Arial"/>
                <w:sz w:val="19"/>
                <w:szCs w:val="19"/>
              </w:rPr>
              <w:t>Гарантийный срок на весь остальной Товар составляет 14 дней с момента его продажи.</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6.4.</w:t>
            </w:r>
          </w:p>
        </w:tc>
        <w:tc>
          <w:tcPr>
            <w:tcW w:w="9600" w:type="dxa"/>
            <w:gridSpan w:val="11"/>
            <w:shd w:val="clear" w:color="auto" w:fill="auto"/>
            <w:textDirection w:val="lrTb"/>
            <w:vAlign w:val="top"/>
          </w:tcPr>
          <w:p>
            <w:pPr>
              <w:spacing w:after="0"/>
              <w:wordWrap w:val="1"/>
              <w:jc w:val="both"/>
            </w:pPr>
            <w:r>
              <w:rPr>
                <w:rFonts w:ascii="Arial" w:hAnsi="Arial"/>
                <w:sz w:val="19"/>
                <w:szCs w:val="19"/>
              </w:rPr>
              <w:t>Гарантия не распространяется:</w:t>
            </w:r>
          </w:p>
          <w:p>
            <w:pPr>
              <w:spacing w:after="0"/>
              <w:wordWrap w:val="1"/>
              <w:jc w:val="both"/>
            </w:pPr>
            <w:r>
              <w:rPr>
                <w:rFonts w:ascii="Arial" w:hAnsi="Arial"/>
                <w:sz w:val="19"/>
                <w:szCs w:val="19"/>
              </w:rPr>
              <w:t>- на Товар, имеющий следы неправильной установки;</w:t>
            </w:r>
          </w:p>
          <w:p>
            <w:pPr>
              <w:spacing w:after="0"/>
              <w:wordWrap w:val="1"/>
              <w:jc w:val="both"/>
            </w:pPr>
            <w:r>
              <w:rPr>
                <w:rFonts w:ascii="Arial" w:hAnsi="Arial"/>
                <w:sz w:val="19"/>
                <w:szCs w:val="19"/>
              </w:rPr>
              <w:t>- на расходные запасные части и материалы (масла, фильтры, предохранители, лампы, стёкла, режущий инструмент и т. п.);</w:t>
            </w:r>
          </w:p>
          <w:p>
            <w:pPr>
              <w:spacing w:after="0"/>
              <w:wordWrap w:val="1"/>
              <w:jc w:val="both"/>
            </w:pPr>
            <w:r>
              <w:rPr>
                <w:rFonts w:ascii="Arial" w:hAnsi="Arial"/>
                <w:sz w:val="19"/>
                <w:szCs w:val="19"/>
              </w:rPr>
              <w:t>- на запасные части, установленные без привлечения сервисных центров, специализированных организаций.</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6.5.</w:t>
            </w:r>
          </w:p>
        </w:tc>
        <w:tc>
          <w:tcPr>
            <w:tcW w:w="9600" w:type="dxa"/>
            <w:gridSpan w:val="11"/>
            <w:shd w:val="clear" w:color="auto" w:fill="auto"/>
            <w:textDirection w:val="lrTb"/>
            <w:vAlign w:val="top"/>
          </w:tcPr>
          <w:p>
            <w:pPr>
              <w:spacing w:after="0"/>
              <w:wordWrap w:val="1"/>
              <w:jc w:val="both"/>
            </w:pPr>
            <w:r>
              <w:rPr>
                <w:rFonts w:ascii="Arial" w:hAnsi="Arial"/>
                <w:sz w:val="19"/>
                <w:szCs w:val="19"/>
              </w:rPr>
              <w:t>Требования к монтажу и эксплуатации технологического Оборудования:</w:t>
            </w:r>
          </w:p>
          <w:p>
            <w:pPr>
              <w:spacing w:after="0"/>
              <w:wordWrap w:val="1"/>
              <w:jc w:val="both"/>
            </w:pPr>
            <w:r>
              <w:rPr>
                <w:rFonts w:ascii="Arial" w:hAnsi="Arial"/>
                <w:sz w:val="19"/>
                <w:szCs w:val="19"/>
              </w:rPr>
              <w:t>Монтаж, ввод в эксплуатацию и пуско-наладочные работы должен проводить специалист, имеющий квалификацию не ниже среднего-специального образования по программе наладчик оборудования в производстве пищевой продукции.</w:t>
            </w:r>
          </w:p>
          <w:p>
            <w:pPr>
              <w:spacing w:after="0"/>
              <w:wordWrap w:val="1"/>
              <w:jc w:val="both"/>
            </w:pPr>
            <w:r>
              <w:rPr>
                <w:rFonts w:ascii="Arial" w:hAnsi="Arial"/>
                <w:sz w:val="19"/>
                <w:szCs w:val="19"/>
              </w:rPr>
              <w:t>Эксплуатация оборудования допустима только под контролем специалиста, имеющего квалификацию, не ниже среднего-специального образования по программе «Технолог пищевой промышленности».</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6.6.</w:t>
            </w:r>
          </w:p>
        </w:tc>
        <w:tc>
          <w:tcPr>
            <w:tcW w:w="9600" w:type="dxa"/>
            <w:gridSpan w:val="11"/>
            <w:shd w:val="clear" w:color="auto" w:fill="auto"/>
            <w:textDirection w:val="lrTb"/>
            <w:vAlign w:val="top"/>
          </w:tcPr>
          <w:p>
            <w:pPr>
              <w:spacing w:after="0"/>
              <w:wordWrap w:val="1"/>
              <w:jc w:val="both"/>
            </w:pPr>
            <w:r>
              <w:rPr>
                <w:rFonts w:ascii="Arial" w:hAnsi="Arial"/>
                <w:sz w:val="19"/>
                <w:szCs w:val="19"/>
              </w:rPr>
              <w:t>При обращении Покупателя по гарантийному случаю покупатель направляет акт рекламации с подробным описанием неисправности, с приложением документов подтверждающих квалификацию лиц, осуществляющих монтаж, ввод в эксплуатацию и пуско-наладочные работы и эксплуатацию товара. При непредоставлении указанных документов акт рекламации рассмотрению не подлежит.</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wordWrap w:val="1"/>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left"/>
            </w:pPr>
            <w:r>
              <w:rPr>
                <w:rFonts w:ascii="Arial" w:hAnsi="Arial"/>
                <w:b/>
                <w:sz w:val="19"/>
                <w:szCs w:val="19"/>
              </w:rPr>
              <w:t>7. Условия обмена и возврата товара.</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7.1.</w:t>
            </w:r>
          </w:p>
        </w:tc>
        <w:tc>
          <w:tcPr>
            <w:tcW w:w="9600" w:type="dxa"/>
            <w:gridSpan w:val="11"/>
            <w:shd w:val="clear" w:color="auto" w:fill="auto"/>
            <w:textDirection w:val="lrTb"/>
            <w:vAlign w:val="top"/>
          </w:tcPr>
          <w:p>
            <w:pPr>
              <w:spacing w:after="0"/>
              <w:wordWrap w:val="1"/>
              <w:jc w:val="both"/>
            </w:pPr>
            <w:r>
              <w:rPr>
                <w:rFonts w:ascii="Arial" w:hAnsi="Arial"/>
                <w:sz w:val="19"/>
                <w:szCs w:val="19"/>
              </w:rPr>
              <w:t>Отношения Покупателя и Поставщика регламентируются контрактом на поставку и Гражданским Кодексом РФ. Закон о защите прав потребителей применению не подлежит в связи с приобретением товара для предпринимательской деятельности, не связанной с личным семейным использованием. Односторонний отказ от исполнения обязательств, а также одностороннее изменение обязательств недопустимы (ст.309, 310 ГК РФ).</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7.2.</w:t>
            </w:r>
          </w:p>
        </w:tc>
        <w:tc>
          <w:tcPr>
            <w:tcW w:w="9600" w:type="dxa"/>
            <w:gridSpan w:val="11"/>
            <w:shd w:val="clear" w:color="auto" w:fill="auto"/>
            <w:textDirection w:val="lrTb"/>
            <w:vAlign w:val="top"/>
          </w:tcPr>
          <w:p>
            <w:pPr>
              <w:spacing w:after="0"/>
              <w:wordWrap w:val="1"/>
              <w:jc w:val="both"/>
            </w:pPr>
            <w:r>
              <w:rPr>
                <w:rFonts w:ascii="Arial" w:hAnsi="Arial"/>
                <w:sz w:val="19"/>
                <w:szCs w:val="19"/>
              </w:rPr>
              <w:t>Возврат или обмен неисправного товара возможен при соблюдении следующих условий:</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7.2.1.</w:t>
            </w:r>
          </w:p>
        </w:tc>
        <w:tc>
          <w:tcPr>
            <w:tcW w:w="9600" w:type="dxa"/>
            <w:gridSpan w:val="11"/>
            <w:shd w:val="clear" w:color="auto" w:fill="auto"/>
            <w:textDirection w:val="lrTb"/>
            <w:vAlign w:val="top"/>
          </w:tcPr>
          <w:p>
            <w:pPr>
              <w:spacing w:after="0"/>
              <w:wordWrap w:val="1"/>
              <w:jc w:val="both"/>
            </w:pPr>
            <w:r>
              <w:rPr>
                <w:rFonts w:ascii="Arial" w:hAnsi="Arial"/>
                <w:sz w:val="19"/>
                <w:szCs w:val="19"/>
              </w:rPr>
              <w:t>Покупателем товара соблюдены требования монтажа, эксплуатации и регламентированного технического обслуживания, указанные в паспорте изделия и гарантийном талоне, что подтверждается актом пуско-наладки оборудования и актами о проведении периодического технического обслуживания.</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7.2.2.</w:t>
            </w:r>
          </w:p>
        </w:tc>
        <w:tc>
          <w:tcPr>
            <w:tcW w:w="9600" w:type="dxa"/>
            <w:gridSpan w:val="11"/>
            <w:shd w:val="clear" w:color="auto" w:fill="auto"/>
            <w:textDirection w:val="lrTb"/>
            <w:vAlign w:val="top"/>
          </w:tcPr>
          <w:p>
            <w:pPr>
              <w:spacing w:after="0"/>
              <w:wordWrap w:val="1"/>
              <w:jc w:val="both"/>
            </w:pPr>
            <w:r>
              <w:rPr>
                <w:rFonts w:ascii="Arial" w:hAnsi="Arial"/>
                <w:sz w:val="19"/>
                <w:szCs w:val="19"/>
              </w:rPr>
              <w:t>Срок гарантийного ремонта составляет более 60 рабочих дней, а в случае выхода из строя комплектующих импортного производства более 6 календарных месяцев, с момента сдачи товара в сервисную службу Поставщика.</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7.2.3.</w:t>
            </w:r>
          </w:p>
        </w:tc>
        <w:tc>
          <w:tcPr>
            <w:tcW w:w="9600" w:type="dxa"/>
            <w:gridSpan w:val="11"/>
            <w:shd w:val="clear" w:color="auto" w:fill="auto"/>
            <w:textDirection w:val="lrTb"/>
            <w:vAlign w:val="top"/>
          </w:tcPr>
          <w:p>
            <w:pPr>
              <w:spacing w:after="0"/>
              <w:wordWrap w:val="1"/>
              <w:jc w:val="both"/>
            </w:pPr>
            <w:r>
              <w:rPr>
                <w:rFonts w:ascii="Arial" w:hAnsi="Arial"/>
                <w:sz w:val="19"/>
                <w:szCs w:val="19"/>
              </w:rPr>
              <w:t>Возврат неисправного товара для проведения диагностики, ремонта или обмена осуществляется силами и за счет Покупателя.</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7.2.4.</w:t>
            </w:r>
          </w:p>
        </w:tc>
        <w:tc>
          <w:tcPr>
            <w:tcW w:w="9600" w:type="dxa"/>
            <w:gridSpan w:val="11"/>
            <w:shd w:val="clear" w:color="auto" w:fill="auto"/>
            <w:textDirection w:val="lrTb"/>
            <w:vAlign w:val="top"/>
          </w:tcPr>
          <w:p>
            <w:pPr>
              <w:spacing w:after="0"/>
              <w:wordWrap w:val="1"/>
              <w:jc w:val="both"/>
            </w:pPr>
            <w:r>
              <w:rPr>
                <w:rFonts w:ascii="Arial" w:hAnsi="Arial"/>
                <w:sz w:val="19"/>
                <w:szCs w:val="19"/>
              </w:rPr>
              <w:t>Покупателем сохранены оригинальная заводская упаковка товара и паспорт изделия в течение всего гарантийного срока.</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wordWrap w:val="1"/>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left"/>
            </w:pPr>
            <w:r>
              <w:rPr>
                <w:rFonts w:ascii="Arial" w:hAnsi="Arial"/>
                <w:b/>
                <w:sz w:val="19"/>
                <w:szCs w:val="19"/>
              </w:rPr>
              <w:t>8. Ответственность сторон.</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8.1.</w:t>
            </w:r>
          </w:p>
        </w:tc>
        <w:tc>
          <w:tcPr>
            <w:tcW w:w="9600" w:type="dxa"/>
            <w:gridSpan w:val="11"/>
            <w:shd w:val="clear" w:color="auto" w:fill="auto"/>
            <w:textDirection w:val="lrTb"/>
            <w:vAlign w:val="top"/>
          </w:tcPr>
          <w:p>
            <w:pPr>
              <w:spacing w:after="0"/>
              <w:wordWrap w:val="1"/>
              <w:jc w:val="both"/>
            </w:pPr>
            <w:r>
              <w:rPr>
                <w:rFonts w:ascii="Arial" w:hAnsi="Arial"/>
                <w:sz w:val="19"/>
                <w:szCs w:val="19"/>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8.1.1.</w:t>
            </w:r>
          </w:p>
        </w:tc>
        <w:tc>
          <w:tcPr>
            <w:tcW w:w="9600" w:type="dxa"/>
            <w:gridSpan w:val="11"/>
            <w:shd w:val="clear" w:color="auto" w:fill="auto"/>
            <w:textDirection w:val="lrTb"/>
            <w:vAlign w:val="top"/>
          </w:tcPr>
          <w:p>
            <w:pPr>
              <w:spacing w:after="0"/>
              <w:wordWrap w:val="1"/>
              <w:jc w:val="both"/>
            </w:pPr>
            <w:r>
              <w:rPr>
                <w:rFonts w:ascii="Arial" w:hAnsi="Arial"/>
                <w:sz w:val="19"/>
                <w:szCs w:val="19"/>
              </w:rPr>
              <w:t>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Банка России от цены Контракта, уменьшенной на сумму, пропорциональную объему обязательств, предусмотренных Контрактом и фактически исполненных Поставщиком.</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8.1.2.</w:t>
            </w:r>
          </w:p>
        </w:tc>
        <w:tc>
          <w:tcPr>
            <w:tcW w:w="9600" w:type="dxa"/>
            <w:gridSpan w:val="11"/>
            <w:shd w:val="clear" w:color="auto" w:fill="auto"/>
            <w:textDirection w:val="lrTb"/>
            <w:vAlign w:val="top"/>
          </w:tcPr>
          <w:p>
            <w:pPr>
              <w:spacing w:after="0"/>
              <w:wordWrap w:val="1"/>
              <w:jc w:val="both"/>
            </w:pPr>
            <w:r>
              <w:rPr>
                <w:rFonts w:ascii="Arial" w:hAnsi="Arial"/>
                <w:sz w:val="19"/>
                <w:szCs w:val="19"/>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обязан уплатить Заказчику штраф. Размер штрафа за неисполнение или ненадлежащее исполнение Поставщиком обязательств по Контракту определяется в соответствии с Правилами, утвержденными Постановлением Правительства РФ от 30.08.2017 N 1042.</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8.1.3.</w:t>
            </w:r>
          </w:p>
        </w:tc>
        <w:tc>
          <w:tcPr>
            <w:tcW w:w="9600" w:type="dxa"/>
            <w:gridSpan w:val="11"/>
            <w:shd w:val="clear" w:color="auto" w:fill="auto"/>
            <w:textDirection w:val="lrTb"/>
            <w:vAlign w:val="top"/>
          </w:tcPr>
          <w:p>
            <w:pPr>
              <w:spacing w:after="0"/>
              <w:wordWrap w:val="1"/>
              <w:jc w:val="both"/>
            </w:pPr>
            <w:r>
              <w:rPr>
                <w:rFonts w:ascii="Arial" w:hAnsi="Arial"/>
                <w:sz w:val="19"/>
                <w:szCs w:val="19"/>
              </w:rPr>
              <w:t>Если не исполнено или исполнено ненадлежащим образом обязательство по Контракту, которое имеет стоимостное выражение, размер штрафа составляет:</w:t>
            </w:r>
          </w:p>
          <w:p>
            <w:pPr>
              <w:spacing w:after="0"/>
              <w:wordWrap w:val="1"/>
              <w:jc w:val="both"/>
            </w:pPr>
            <w:r>
              <w:rPr>
                <w:rFonts w:ascii="Arial" w:hAnsi="Arial"/>
                <w:sz w:val="19"/>
                <w:szCs w:val="19"/>
              </w:rPr>
              <w:t>а) 10% цены Контракта, если цена Контракта не превышает 3 млн руб.;</w:t>
            </w:r>
          </w:p>
          <w:p>
            <w:pPr>
              <w:spacing w:after="0"/>
              <w:wordWrap w:val="1"/>
              <w:jc w:val="both"/>
            </w:pPr>
            <w:r>
              <w:rPr>
                <w:rFonts w:ascii="Arial" w:hAnsi="Arial"/>
                <w:sz w:val="19"/>
                <w:szCs w:val="19"/>
              </w:rPr>
              <w:t>б) 5% цены Контракта, если цена Контракта составляет от 3 млн до 50 млн руб. (включительно);</w:t>
            </w:r>
          </w:p>
          <w:p>
            <w:pPr>
              <w:spacing w:after="0"/>
              <w:wordWrap w:val="1"/>
              <w:jc w:val="both"/>
            </w:pPr>
            <w:r>
              <w:rPr>
                <w:rFonts w:ascii="Arial" w:hAnsi="Arial"/>
                <w:sz w:val="19"/>
                <w:szCs w:val="19"/>
              </w:rPr>
              <w:t>в) 1% цены Контракта, если цена Контракта составляет от 50 млн до 100 млн руб. (включительно);</w:t>
            </w:r>
          </w:p>
          <w:p>
            <w:pPr>
              <w:spacing w:after="0"/>
              <w:wordWrap w:val="1"/>
              <w:jc w:val="both"/>
            </w:pPr>
            <w:r>
              <w:rPr>
                <w:rFonts w:ascii="Arial" w:hAnsi="Arial"/>
                <w:sz w:val="19"/>
                <w:szCs w:val="19"/>
              </w:rPr>
              <w:t>г) 0,5% цены Контракта, если цена Контракта составляет от 100 млн до 500 млн руб. (включительно);</w:t>
            </w:r>
          </w:p>
          <w:p>
            <w:pPr>
              <w:spacing w:after="0"/>
              <w:wordWrap w:val="1"/>
              <w:jc w:val="both"/>
            </w:pPr>
            <w:r>
              <w:rPr>
                <w:rFonts w:ascii="Arial" w:hAnsi="Arial"/>
                <w:sz w:val="19"/>
                <w:szCs w:val="19"/>
              </w:rPr>
              <w:t>д) 0,4% цены Контракта, если цена Контракта составляет от 500 млн до 1 млрд руб. (включительно);</w:t>
            </w:r>
          </w:p>
          <w:p>
            <w:pPr>
              <w:spacing w:after="0"/>
              <w:wordWrap w:val="1"/>
              <w:jc w:val="both"/>
            </w:pPr>
            <w:r>
              <w:rPr>
                <w:rFonts w:ascii="Arial" w:hAnsi="Arial"/>
                <w:sz w:val="19"/>
                <w:szCs w:val="19"/>
              </w:rPr>
              <w:t>е) 0,3% цены Контракта, если цена Контракта составляет от 1 млрд до 2 млрд руб. (включительно);</w:t>
            </w:r>
          </w:p>
          <w:p>
            <w:pPr>
              <w:spacing w:after="0"/>
              <w:wordWrap w:val="1"/>
              <w:jc w:val="both"/>
            </w:pPr>
            <w:r>
              <w:rPr>
                <w:rFonts w:ascii="Arial" w:hAnsi="Arial"/>
                <w:sz w:val="19"/>
                <w:szCs w:val="19"/>
              </w:rPr>
              <w:t>ж) 0,25% цены Контракта, если цена Контракта составляет от 2 млрд до 5 млрд руб. (включительно);</w:t>
            </w:r>
          </w:p>
          <w:p>
            <w:pPr>
              <w:spacing w:after="0"/>
              <w:wordWrap w:val="1"/>
              <w:jc w:val="both"/>
            </w:pPr>
            <w:r>
              <w:rPr>
                <w:rFonts w:ascii="Arial" w:hAnsi="Arial"/>
                <w:sz w:val="19"/>
                <w:szCs w:val="19"/>
              </w:rPr>
              <w:t>з) 0,2% цены Контракта, если цена Контракта составляет от 5 млрд до 10 млрд руб. (включительно);</w:t>
            </w:r>
          </w:p>
          <w:p>
            <w:pPr>
              <w:spacing w:after="0"/>
              <w:wordWrap w:val="1"/>
              <w:jc w:val="both"/>
            </w:pPr>
            <w:r>
              <w:rPr>
                <w:rFonts w:ascii="Arial" w:hAnsi="Arial"/>
                <w:sz w:val="19"/>
                <w:szCs w:val="19"/>
              </w:rPr>
              <w:t>и) 0,1% цены Контракта, если цена Контракта превышает 10 млрд руб.</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8.1.4.</w:t>
            </w:r>
          </w:p>
        </w:tc>
        <w:tc>
          <w:tcPr>
            <w:tcW w:w="9600" w:type="dxa"/>
            <w:gridSpan w:val="11"/>
            <w:shd w:val="clear" w:color="auto" w:fill="auto"/>
            <w:textDirection w:val="lrTb"/>
            <w:vAlign w:val="top"/>
          </w:tcPr>
          <w:p>
            <w:pPr>
              <w:spacing w:after="0"/>
              <w:wordWrap w:val="1"/>
              <w:jc w:val="both"/>
            </w:pPr>
            <w:r>
              <w:rPr>
                <w:rFonts w:ascii="Arial" w:hAnsi="Arial"/>
                <w:sz w:val="19"/>
                <w:szCs w:val="19"/>
              </w:rPr>
              <w:t>Если не исполнено или исполнено ненадлежащим образом обязательство по Контракту, которое не имеет стоимостного выражения, размер штрафа составляет:</w:t>
            </w:r>
          </w:p>
          <w:p>
            <w:pPr>
              <w:spacing w:after="0"/>
              <w:wordWrap w:val="1"/>
              <w:jc w:val="both"/>
            </w:pPr>
            <w:r>
              <w:rPr>
                <w:rFonts w:ascii="Arial" w:hAnsi="Arial"/>
                <w:sz w:val="19"/>
                <w:szCs w:val="19"/>
              </w:rPr>
              <w:t>а) 1 000 руб., если цена Контракта не превышает 3 млн руб.;</w:t>
            </w:r>
          </w:p>
          <w:p>
            <w:pPr>
              <w:spacing w:after="0"/>
              <w:wordWrap w:val="1"/>
              <w:jc w:val="both"/>
            </w:pPr>
            <w:r>
              <w:rPr>
                <w:rFonts w:ascii="Arial" w:hAnsi="Arial"/>
                <w:sz w:val="19"/>
                <w:szCs w:val="19"/>
              </w:rPr>
              <w:t>б) 5 000 руб., если цена Контракта составляет от 3 млн руб. до 50 млн руб. (включительно);</w:t>
            </w:r>
          </w:p>
          <w:p>
            <w:pPr>
              <w:spacing w:after="0"/>
              <w:wordWrap w:val="1"/>
              <w:jc w:val="both"/>
            </w:pPr>
            <w:r>
              <w:rPr>
                <w:rFonts w:ascii="Arial" w:hAnsi="Arial"/>
                <w:sz w:val="19"/>
                <w:szCs w:val="19"/>
              </w:rPr>
              <w:t>в) 10 000 руб., если цена Контракта составляет от 50 млн руб. до 100 млн руб. (включительно);</w:t>
            </w:r>
          </w:p>
          <w:p>
            <w:pPr>
              <w:spacing w:after="0"/>
              <w:wordWrap w:val="1"/>
              <w:jc w:val="both"/>
            </w:pPr>
            <w:r>
              <w:rPr>
                <w:rFonts w:ascii="Arial" w:hAnsi="Arial"/>
                <w:sz w:val="19"/>
                <w:szCs w:val="19"/>
              </w:rPr>
              <w:t>г) 100 000 руб., если цена Контракта превышает 100 млн руб.</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8.1.5.</w:t>
            </w:r>
          </w:p>
        </w:tc>
        <w:tc>
          <w:tcPr>
            <w:tcW w:w="9600" w:type="dxa"/>
            <w:gridSpan w:val="11"/>
            <w:shd w:val="clear" w:color="auto" w:fill="auto"/>
            <w:textDirection w:val="lrTb"/>
            <w:vAlign w:val="top"/>
          </w:tcPr>
          <w:p>
            <w:pPr>
              <w:spacing w:after="0"/>
              <w:wordWrap w:val="1"/>
              <w:jc w:val="both"/>
            </w:pPr>
            <w:r>
              <w:rPr>
                <w:rFonts w:ascii="Arial" w:hAnsi="Arial"/>
                <w:sz w:val="19"/>
                <w:szCs w:val="19"/>
              </w:rPr>
              <w:t>Общая сумма начисленных штрафов за неисполнение или ненадлежащее исполнение Поставщиком обязательств по Контракту не может превышать цену Контракта. Заказчик удерживает суммы в размере не исполненных Поставщиком требований об уплате неустоек (штрафов, пеней), предъявленных Заказчиком в соответствии с настоящим Контрактом, из суммы, подлежащей уплате Поставщику.</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8.1.6.</w:t>
            </w:r>
          </w:p>
        </w:tc>
        <w:tc>
          <w:tcPr>
            <w:tcW w:w="9600" w:type="dxa"/>
            <w:gridSpan w:val="11"/>
            <w:shd w:val="clear" w:color="auto" w:fill="auto"/>
            <w:textDirection w:val="lrTb"/>
            <w:vAlign w:val="top"/>
          </w:tcPr>
          <w:p>
            <w:pPr>
              <w:spacing w:after="0"/>
              <w:wordWrap w:val="1"/>
              <w:jc w:val="both"/>
            </w:pPr>
            <w:r>
              <w:rPr>
                <w:rFonts w:ascii="Arial" w:hAnsi="Arial"/>
                <w:sz w:val="19"/>
                <w:szCs w:val="19"/>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 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1/300 действующей на дату уплаты пеней ключевой ставки Банка России от суммы, не уплаченной в срок.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8.1.7.</w:t>
            </w:r>
          </w:p>
        </w:tc>
        <w:tc>
          <w:tcPr>
            <w:tcW w:w="9600" w:type="dxa"/>
            <w:gridSpan w:val="11"/>
            <w:shd w:val="clear" w:color="auto" w:fill="auto"/>
            <w:textDirection w:val="lrTb"/>
            <w:vAlign w:val="top"/>
          </w:tcPr>
          <w:p>
            <w:pPr>
              <w:spacing w:after="0"/>
              <w:wordWrap w:val="1"/>
              <w:jc w:val="both"/>
            </w:pPr>
            <w:r>
              <w:rPr>
                <w:rFonts w:ascii="Arial" w:hAnsi="Arial"/>
                <w:sz w:val="19"/>
                <w:szCs w:val="19"/>
              </w:rPr>
              <w:t>Размер штрафа за ненадлежащее исполнение Заказчиком обязательств по Контракту определяется в соответствии с Правилами, утвержденными Постановлением Правительства РФ от 30.08.2017 N 1042.</w:t>
            </w:r>
          </w:p>
          <w:p>
            <w:pPr>
              <w:spacing w:after="0"/>
              <w:wordWrap w:val="1"/>
              <w:jc w:val="both"/>
            </w:pPr>
            <w:r>
              <w:rPr>
                <w:rFonts w:ascii="Arial" w:hAnsi="Arial"/>
                <w:sz w:val="19"/>
                <w:szCs w:val="19"/>
              </w:rPr>
              <w:t>За каждый факт неисполнения обязательств по Контракту, за исключением просрочки исполнения обязательств, Заказчик уплачивает:</w:t>
            </w:r>
          </w:p>
          <w:p>
            <w:pPr>
              <w:spacing w:after="0"/>
              <w:wordWrap w:val="1"/>
              <w:jc w:val="both"/>
            </w:pPr>
            <w:r>
              <w:rPr>
                <w:rFonts w:ascii="Arial" w:hAnsi="Arial"/>
                <w:sz w:val="19"/>
                <w:szCs w:val="19"/>
              </w:rPr>
              <w:t>а) 1 000 руб., если цена Контракта не превышает 3 млн руб. (включительно);</w:t>
            </w:r>
          </w:p>
          <w:p>
            <w:pPr>
              <w:spacing w:after="0"/>
              <w:wordWrap w:val="1"/>
              <w:jc w:val="both"/>
            </w:pPr>
            <w:r>
              <w:rPr>
                <w:rFonts w:ascii="Arial" w:hAnsi="Arial"/>
                <w:sz w:val="19"/>
                <w:szCs w:val="19"/>
              </w:rPr>
              <w:t>б) 5 000 руб., если цена Контракта составляет от 3 млн до 50 млн руб. (включительно);</w:t>
            </w:r>
          </w:p>
          <w:p>
            <w:pPr>
              <w:spacing w:after="0"/>
              <w:wordWrap w:val="1"/>
              <w:jc w:val="both"/>
            </w:pPr>
            <w:r>
              <w:rPr>
                <w:rFonts w:ascii="Arial" w:hAnsi="Arial"/>
                <w:sz w:val="19"/>
                <w:szCs w:val="19"/>
              </w:rPr>
              <w:t>в) 10 000 руб., если цена Контракта составляет от 50 млн до 100 млн руб. (включительно);</w:t>
            </w:r>
          </w:p>
          <w:p>
            <w:pPr>
              <w:spacing w:after="0"/>
              <w:wordWrap w:val="1"/>
              <w:jc w:val="both"/>
            </w:pPr>
            <w:r>
              <w:rPr>
                <w:rFonts w:ascii="Arial" w:hAnsi="Arial"/>
                <w:sz w:val="19"/>
                <w:szCs w:val="19"/>
              </w:rPr>
              <w:t>г) 100 000 руб., если цена Контракта превышает 100 млн руб.</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8.1.8.</w:t>
            </w:r>
          </w:p>
        </w:tc>
        <w:tc>
          <w:tcPr>
            <w:tcW w:w="9600" w:type="dxa"/>
            <w:gridSpan w:val="11"/>
            <w:shd w:val="clear" w:color="auto" w:fill="auto"/>
            <w:textDirection w:val="lrTb"/>
            <w:vAlign w:val="top"/>
          </w:tcPr>
          <w:p>
            <w:pPr>
              <w:spacing w:after="0"/>
              <w:wordWrap w:val="1"/>
              <w:jc w:val="both"/>
            </w:pPr>
            <w:r>
              <w:rPr>
                <w:rFonts w:ascii="Arial" w:hAnsi="Arial"/>
                <w:sz w:val="19"/>
                <w:szCs w:val="19"/>
              </w:rPr>
              <w:t>Общая сумма начисленных штрафов за ненадлежащее исполнение Заказчиком обязательств по Контракту не может превышать цену Контракта.</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8.2.</w:t>
            </w:r>
          </w:p>
        </w:tc>
        <w:tc>
          <w:tcPr>
            <w:tcW w:w="9600" w:type="dxa"/>
            <w:gridSpan w:val="11"/>
            <w:shd w:val="clear" w:color="auto" w:fill="auto"/>
            <w:textDirection w:val="lrTb"/>
            <w:vAlign w:val="top"/>
          </w:tcPr>
          <w:p>
            <w:pPr>
              <w:spacing w:after="0"/>
              <w:wordWrap w:val="1"/>
              <w:jc w:val="both"/>
            </w:pPr>
            <w:r>
              <w:rPr>
                <w:rFonts w:ascii="Arial" w:hAnsi="Arial"/>
                <w:sz w:val="19"/>
                <w:szCs w:val="19"/>
              </w:rPr>
              <w:t>В случае отказа Покупателя от поставляемого товара надлежащего качества и принятия Поставщиком такого отказа о чем составляется дополнительное соглашение, деньги Покупателю возвращаются только после реализации товара третьим лицам, если иное не установлено дополнительным соглашением сторон.</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8.3.</w:t>
            </w:r>
          </w:p>
        </w:tc>
        <w:tc>
          <w:tcPr>
            <w:tcW w:w="9600" w:type="dxa"/>
            <w:gridSpan w:val="11"/>
            <w:shd w:val="clear" w:color="auto" w:fill="auto"/>
            <w:textDirection w:val="lrTb"/>
            <w:vAlign w:val="top"/>
          </w:tcPr>
          <w:p>
            <w:pPr>
              <w:spacing w:after="0"/>
              <w:wordWrap w:val="1"/>
              <w:jc w:val="both"/>
            </w:pPr>
            <w:r>
              <w:rPr>
                <w:rFonts w:ascii="Arial" w:hAnsi="Arial"/>
                <w:sz w:val="19"/>
                <w:szCs w:val="19"/>
              </w:rPr>
              <w:t>Поставщик ответственность за просрочку выборки товара Покупателем на складе Поставщика не несет, неустойка по данному основанию не применяется.</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8.4.</w:t>
            </w:r>
          </w:p>
        </w:tc>
        <w:tc>
          <w:tcPr>
            <w:tcW w:w="9600" w:type="dxa"/>
            <w:gridSpan w:val="11"/>
            <w:shd w:val="clear" w:color="auto" w:fill="auto"/>
            <w:textDirection w:val="lrTb"/>
            <w:vAlign w:val="top"/>
          </w:tcPr>
          <w:p>
            <w:pPr>
              <w:spacing w:after="0"/>
              <w:wordWrap w:val="1"/>
              <w:jc w:val="both"/>
            </w:pPr>
            <w:r>
              <w:rPr>
                <w:rFonts w:ascii="Arial" w:hAnsi="Arial"/>
                <w:sz w:val="19"/>
                <w:szCs w:val="19"/>
              </w:rPr>
              <w:t>В случае внезапных отказов или при возникновении неисправностей в работе Товара, Покупатель обязан немедленно сообщить об этом Поставщику и принять меры по сохранению Товара от порчи. С Поставщика не может быть востребовано возмещение ущерба Покупателя, который может возникнуть в результате неисправностей в работе Товара.</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wordWrap w:val="1"/>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left"/>
            </w:pPr>
            <w:r>
              <w:rPr>
                <w:rFonts w:ascii="Arial" w:hAnsi="Arial"/>
                <w:b/>
                <w:sz w:val="19"/>
                <w:szCs w:val="19"/>
              </w:rPr>
              <w:t>9. Порядок разрешения споров.</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9.1.</w:t>
            </w:r>
          </w:p>
        </w:tc>
        <w:tc>
          <w:tcPr>
            <w:tcW w:w="9600" w:type="dxa"/>
            <w:gridSpan w:val="11"/>
            <w:shd w:val="clear" w:color="auto" w:fill="auto"/>
            <w:textDirection w:val="lrTb"/>
            <w:vAlign w:val="top"/>
          </w:tcPr>
          <w:p>
            <w:pPr>
              <w:spacing w:after="0"/>
              <w:wordWrap w:val="1"/>
              <w:jc w:val="both"/>
            </w:pPr>
            <w:r>
              <w:rPr>
                <w:rFonts w:ascii="Arial" w:hAnsi="Arial"/>
                <w:sz w:val="19"/>
                <w:szCs w:val="19"/>
              </w:rPr>
              <w:t>Споры, возникающие между сторонами при исполнении контракта, разрешаются в установленном законодательном порядке.</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9.2.</w:t>
            </w:r>
          </w:p>
        </w:tc>
        <w:tc>
          <w:tcPr>
            <w:tcW w:w="9600" w:type="dxa"/>
            <w:gridSpan w:val="11"/>
            <w:shd w:val="clear" w:color="auto" w:fill="auto"/>
            <w:textDirection w:val="lrTb"/>
            <w:vAlign w:val="top"/>
          </w:tcPr>
          <w:p>
            <w:pPr>
              <w:spacing w:after="0"/>
              <w:wordWrap w:val="1"/>
              <w:jc w:val="both"/>
            </w:pPr>
            <w:r>
              <w:rPr>
                <w:rFonts w:ascii="Arial" w:hAnsi="Arial"/>
                <w:sz w:val="19"/>
                <w:szCs w:val="19"/>
              </w:rPr>
              <w:t>Все разногласия или споры, возникающие между сторонами по настоящему контракту или в связи с ним, разрешаются путём переговоров между ними. Претензионный (досудебный) порядок обязателен. Срок рассмотрения и предоставления обоснованного письменного ответа на претензию — не более 10 (десяти) рабочих дней с даты получения претензии Стороной.</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9.3.</w:t>
            </w:r>
          </w:p>
        </w:tc>
        <w:tc>
          <w:tcPr>
            <w:tcW w:w="9600" w:type="dxa"/>
            <w:gridSpan w:val="11"/>
            <w:shd w:val="clear" w:color="auto" w:fill="auto"/>
            <w:textDirection w:val="lrTb"/>
            <w:vAlign w:val="top"/>
          </w:tcPr>
          <w:p>
            <w:pPr>
              <w:spacing w:after="0"/>
              <w:wordWrap w:val="1"/>
              <w:jc w:val="both"/>
            </w:pPr>
            <w:r>
              <w:rPr>
                <w:rFonts w:ascii="Arial" w:hAnsi="Arial"/>
                <w:sz w:val="19"/>
                <w:szCs w:val="19"/>
              </w:rPr>
              <w:t>В случае невозможности разрешения споров путём переговоров, они подлежат рассмотрению в Арбитражном суде Краснодарского края. Применимое право - право Российской Федерации.</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wordWrap w:val="1"/>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left"/>
            </w:pPr>
            <w:r>
              <w:rPr>
                <w:rFonts w:ascii="Arial" w:hAnsi="Arial"/>
                <w:b/>
                <w:sz w:val="19"/>
                <w:szCs w:val="19"/>
              </w:rPr>
              <w:t>10. Обстоятельства непреодолимой силы.</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10.1.</w:t>
            </w:r>
          </w:p>
        </w:tc>
        <w:tc>
          <w:tcPr>
            <w:tcW w:w="9600" w:type="dxa"/>
            <w:gridSpan w:val="11"/>
            <w:shd w:val="clear" w:color="auto" w:fill="auto"/>
            <w:textDirection w:val="lrTb"/>
            <w:vAlign w:val="top"/>
          </w:tcPr>
          <w:p>
            <w:pPr>
              <w:spacing w:after="0"/>
              <w:wordWrap w:val="1"/>
              <w:jc w:val="both"/>
            </w:pPr>
            <w:r>
              <w:rPr>
                <w:rFonts w:ascii="Arial" w:hAnsi="Arial"/>
                <w:sz w:val="19"/>
                <w:szCs w:val="19"/>
              </w:rPr>
              <w:t>Ни одна из сторон не будет нести ответственности по настоящему контракту, если нарушение условий последнего связано с обстоятельствами непреодолимой силы (со стихийными бедствиями, военными действиями, действиями правительственных органов и т.п.).  Наличие обстоятельств, не имеющих преюдициальное значение, должно быть подтверждено актом компетентного органа.</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wordWrap w:val="1"/>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left"/>
            </w:pPr>
            <w:r>
              <w:rPr>
                <w:rFonts w:ascii="Arial" w:hAnsi="Arial"/>
                <w:b/>
                <w:sz w:val="19"/>
                <w:szCs w:val="19"/>
              </w:rPr>
              <w:t>11. Заключительные условия.</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11.1.</w:t>
            </w:r>
          </w:p>
        </w:tc>
        <w:tc>
          <w:tcPr>
            <w:tcW w:w="9600" w:type="dxa"/>
            <w:gridSpan w:val="11"/>
            <w:shd w:val="clear" w:color="auto" w:fill="auto"/>
            <w:textDirection w:val="lrTb"/>
            <w:vAlign w:val="top"/>
          </w:tcPr>
          <w:p>
            <w:pPr>
              <w:spacing w:after="0"/>
              <w:wordWrap w:val="1"/>
              <w:jc w:val="both"/>
            </w:pPr>
            <w:r>
              <w:rPr>
                <w:rFonts w:ascii="Arial" w:hAnsi="Arial"/>
                <w:sz w:val="19"/>
                <w:szCs w:val="19"/>
              </w:rPr>
              <w:t>Настоящий контракт вступает в силу с момента его подписания Сторонами и действует до 02 сентября 2027 г. Если за 30 (тридцать) календарных дней до окончания срока действия настоящего контракта Стороны не выразили намерения расторгнуть контракт, контракт автоматически пролонгируется на тот же срок.</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11.2.</w:t>
            </w:r>
          </w:p>
        </w:tc>
        <w:tc>
          <w:tcPr>
            <w:tcW w:w="9600" w:type="dxa"/>
            <w:gridSpan w:val="11"/>
            <w:shd w:val="clear" w:color="auto" w:fill="auto"/>
            <w:textDirection w:val="lrTb"/>
            <w:vAlign w:val="top"/>
          </w:tcPr>
          <w:p>
            <w:pPr>
              <w:spacing w:after="0"/>
              <w:wordWrap w:val="1"/>
              <w:jc w:val="both"/>
            </w:pPr>
            <w:r>
              <w:rPr>
                <w:rFonts w:ascii="Arial" w:hAnsi="Arial"/>
                <w:sz w:val="19"/>
                <w:szCs w:val="19"/>
              </w:rPr>
              <w:t>Настоящий контракт составлен в 2 экземплярах - по одному экземпляру у каждой Стороны, имеющим равную юридическую силу.</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11.3.</w:t>
            </w:r>
          </w:p>
        </w:tc>
        <w:tc>
          <w:tcPr>
            <w:tcW w:w="9600" w:type="dxa"/>
            <w:gridSpan w:val="11"/>
            <w:shd w:val="clear" w:color="auto" w:fill="auto"/>
            <w:textDirection w:val="lrTb"/>
            <w:vAlign w:val="top"/>
          </w:tcPr>
          <w:p>
            <w:pPr>
              <w:spacing w:after="0"/>
              <w:wordWrap w:val="1"/>
              <w:jc w:val="both"/>
            </w:pPr>
            <w:r>
              <w:rPr>
                <w:rFonts w:ascii="Arial" w:hAnsi="Arial"/>
                <w:sz w:val="19"/>
                <w:szCs w:val="19"/>
              </w:rPr>
              <w:t>Все изменения и дополнения к настоящему контракту должны быть составлены в письменной форме и подписаны Сторонами.</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11.4.</w:t>
            </w:r>
          </w:p>
        </w:tc>
        <w:tc>
          <w:tcPr>
            <w:tcW w:w="9600" w:type="dxa"/>
            <w:gridSpan w:val="11"/>
            <w:shd w:val="clear" w:color="auto" w:fill="auto"/>
            <w:textDirection w:val="lrTb"/>
            <w:vAlign w:val="top"/>
          </w:tcPr>
          <w:p>
            <w:pPr>
              <w:spacing w:after="0"/>
              <w:wordWrap w:val="1"/>
              <w:jc w:val="both"/>
            </w:pPr>
            <w:r>
              <w:rPr>
                <w:rFonts w:ascii="Arial" w:hAnsi="Arial"/>
                <w:sz w:val="19"/>
                <w:szCs w:val="19"/>
              </w:rPr>
              <w:t>Односторонний отказ от настоящего контракта не допускается, расторжение контракта осуществляется по согласованию сторон или в судебном порядке.</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11.5.</w:t>
            </w:r>
          </w:p>
        </w:tc>
        <w:tc>
          <w:tcPr>
            <w:tcW w:w="9600" w:type="dxa"/>
            <w:gridSpan w:val="11"/>
            <w:shd w:val="clear" w:color="auto" w:fill="auto"/>
            <w:textDirection w:val="lrTb"/>
            <w:vAlign w:val="top"/>
          </w:tcPr>
          <w:p>
            <w:pPr>
              <w:spacing w:after="0"/>
              <w:wordWrap w:val="1"/>
              <w:jc w:val="both"/>
            </w:pPr>
            <w:r>
              <w:rPr>
                <w:rFonts w:ascii="Arial" w:hAnsi="Arial"/>
                <w:sz w:val="19"/>
                <w:szCs w:val="19"/>
              </w:rPr>
              <w:t>Документы, переданные факсимильной связью, имеют полную юридическую силу.</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11.6.</w:t>
            </w:r>
          </w:p>
        </w:tc>
        <w:tc>
          <w:tcPr>
            <w:tcW w:w="9600" w:type="dxa"/>
            <w:gridSpan w:val="11"/>
            <w:shd w:val="clear" w:color="auto" w:fill="auto"/>
            <w:textDirection w:val="lrTb"/>
            <w:vAlign w:val="top"/>
          </w:tcPr>
          <w:p>
            <w:pPr>
              <w:spacing w:after="0"/>
              <w:wordWrap w:val="1"/>
              <w:jc w:val="both"/>
            </w:pPr>
            <w:r>
              <w:rPr>
                <w:rFonts w:ascii="Arial" w:hAnsi="Arial"/>
                <w:sz w:val="19"/>
                <w:szCs w:val="19"/>
              </w:rPr>
              <w:t>В отношении между Сторонами наряду с традиционным бумажным без ограничений может применяется электронный документооборот (ЭДО), осуществляемый через операторов электронного документооборота (операторов ЭДО), соответствующего установленным налоговыми органами требованиям. Стороны могут подписывать через ЭДО: Контракты (договоры), соглашения, претензии сторон и ответы на них, акты сверок, первичные документы (УПД, счета-фактуры и т.д.) и иные документы.</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11.7.</w:t>
            </w:r>
          </w:p>
        </w:tc>
        <w:tc>
          <w:tcPr>
            <w:tcW w:w="9600" w:type="dxa"/>
            <w:gridSpan w:val="11"/>
            <w:shd w:val="clear" w:color="auto" w:fill="auto"/>
            <w:textDirection w:val="lrTb"/>
            <w:vAlign w:val="top"/>
          </w:tcPr>
          <w:p>
            <w:pPr>
              <w:spacing w:after="0"/>
              <w:wordWrap w:val="1"/>
              <w:jc w:val="both"/>
            </w:pPr>
            <w:r>
              <w:rPr>
                <w:rFonts w:ascii="Arial" w:hAnsi="Arial"/>
                <w:sz w:val="19"/>
                <w:szCs w:val="19"/>
              </w:rPr>
              <w:t>Электронные документы, отправляемые и получаемые через систему ЭДО, в целях исполнения настоящего контракта имеют точно такую же юридическую силу, как и документы, оформленные на бумажных носителях и подписанные собственноручной подписью. При использовании электронного документа такой же документ на бумаге не составляется.</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wordWrap w:val="1"/>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left"/>
            </w:pPr>
            <w:r>
              <w:rPr>
                <w:rFonts w:ascii="Arial" w:hAnsi="Arial"/>
                <w:b/>
                <w:sz w:val="19"/>
                <w:szCs w:val="19"/>
              </w:rPr>
              <w:t>12. Дополнительные условия.</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12.1.</w:t>
            </w:r>
          </w:p>
        </w:tc>
        <w:tc>
          <w:tcPr>
            <w:tcW w:w="9600" w:type="dxa"/>
            <w:gridSpan w:val="11"/>
            <w:shd w:val="clear" w:color="auto" w:fill="auto"/>
            <w:textDirection w:val="lrTb"/>
            <w:vAlign w:val="top"/>
          </w:tcPr>
          <w:p>
            <w:pPr>
              <w:spacing w:after="0"/>
              <w:wordWrap w:val="1"/>
              <w:jc w:val="both"/>
            </w:pPr>
            <w:r>
              <w:rPr>
                <w:rFonts w:ascii="Arial" w:hAnsi="Arial"/>
                <w:sz w:val="19"/>
                <w:szCs w:val="19"/>
              </w:rPr>
              <w:t>В случае заказа Покупателем нестандартных изделий их поставка и заказ осуществляется согласно эскизам, подписанным Покупателем.</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12.2.</w:t>
            </w:r>
          </w:p>
        </w:tc>
        <w:tc>
          <w:tcPr>
            <w:tcW w:w="9600" w:type="dxa"/>
            <w:gridSpan w:val="11"/>
            <w:shd w:val="clear" w:color="auto" w:fill="auto"/>
            <w:textDirection w:val="lrTb"/>
            <w:vAlign w:val="top"/>
          </w:tcPr>
          <w:p>
            <w:pPr>
              <w:spacing w:after="0"/>
              <w:wordWrap w:val="1"/>
              <w:jc w:val="both"/>
            </w:pPr>
            <w:r>
              <w:rPr>
                <w:rFonts w:ascii="Arial" w:hAnsi="Arial"/>
                <w:sz w:val="19"/>
                <w:szCs w:val="19"/>
              </w:rPr>
              <w:t>Содержание Контракта, дополнительных соглашений к нему, иных документов, оформляемых Сторонами в ходе исполнения Контракта, а также полученная Сторонами техническая, коммерческая, финансовая и иная информация, связанная с выполнением Контракта и не являющаяся общедоступной, считаются конфиденциальной информацией и не подлежат разглашению третьим лицам.</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12.3.</w:t>
            </w:r>
          </w:p>
        </w:tc>
        <w:tc>
          <w:tcPr>
            <w:tcW w:w="9600" w:type="dxa"/>
            <w:gridSpan w:val="11"/>
            <w:shd w:val="clear" w:color="auto" w:fill="auto"/>
            <w:textDirection w:val="lrTb"/>
            <w:vAlign w:val="top"/>
          </w:tcPr>
          <w:p>
            <w:pPr>
              <w:spacing w:after="0"/>
              <w:wordWrap w:val="1"/>
              <w:jc w:val="both"/>
            </w:pPr>
            <w:r>
              <w:rPr>
                <w:rFonts w:ascii="Arial" w:hAnsi="Arial"/>
                <w:sz w:val="19"/>
                <w:szCs w:val="19"/>
              </w:rPr>
              <w:t>Подписывая настоящий Контракт Покупатель дает согласие на получение рекламной информации от Поставщика по указанным в настоящем Контракте адресам, в том числе электронной почты, которое действительно до дня получения Поставщиком письменного отзыва такого согласия.</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wordWrap w:val="1"/>
              <w:jc w:val="left"/>
            </w:pPr>
            <w:r>
              <w:rPr>
                <w:rFonts w:ascii="Arial" w:hAnsi="Arial"/>
                <w:sz w:val="19"/>
                <w:szCs w:val="19"/>
              </w:rPr>
              <w:t>12.4.</w:t>
            </w:r>
          </w:p>
        </w:tc>
        <w:tc>
          <w:tcPr>
            <w:tcW w:w="9600" w:type="dxa"/>
            <w:gridSpan w:val="11"/>
            <w:shd w:val="clear" w:color="auto" w:fill="auto"/>
            <w:textDirection w:val="lrTb"/>
            <w:vAlign w:val="top"/>
          </w:tcPr>
          <w:p>
            <w:pPr>
              <w:spacing w:after="0"/>
              <w:wordWrap w:val="1"/>
              <w:jc w:val="both"/>
            </w:pPr>
            <w:r>
              <w:rPr>
                <w:rFonts w:ascii="Arial" w:hAnsi="Arial"/>
                <w:sz w:val="19"/>
                <w:szCs w:val="19"/>
              </w:rPr>
              <w:t>Покупатель подтверждает, что является лицом, приобретающий или принимающий продукцию для собственного использования в соответствии с ее назначением и гарантирующий не осуществлять перепродажу продукции в течение одного года с даты ее поставки.</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wordWrap w:val="1"/>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top"/>
          </w:tcPr>
          <w:p>
            <w:pPr>
              <w:spacing w:after="0"/>
              <w:wordWrap w:val="1"/>
              <w:jc w:val="left"/>
            </w:pPr>
            <w:r>
              <w:rPr>
                <w:rFonts w:ascii="Arial" w:hAnsi="Arial"/>
                <w:b/>
                <w:sz w:val="19"/>
                <w:szCs w:val="19"/>
              </w:rPr>
              <w:t>13. Адреса и банковские реквизиты Сторон.</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jc w:val="left"/>
            </w:pPr>
            <w:r>
              <w:rPr>
                <w:rFonts w:ascii="Arial" w:hAnsi="Arial"/>
                <w:sz w:val="19"/>
                <w:szCs w:val="19"/>
              </w:rPr>
              <w:t>13.1. </w:t>
            </w:r>
          </w:p>
        </w:tc>
        <w:tc>
          <w:tcPr>
            <w:tcW w:w="9600" w:type="dxa"/>
            <w:gridSpan w:val="11"/>
            <w:shd w:val="clear" w:color="auto" w:fill="auto"/>
            <w:textDirection w:val="lrTb"/>
            <w:vAlign w:val="bottom"/>
          </w:tcPr>
          <w:p>
            <w:pPr>
              <w:spacing w:after="0"/>
              <w:wordWrap w:val="1"/>
              <w:jc w:val="left"/>
            </w:pPr>
            <w:r>
              <w:rPr>
                <w:rFonts w:ascii="Arial" w:hAnsi="Arial"/>
                <w:b/>
                <w:sz w:val="19"/>
                <w:szCs w:val="19"/>
              </w:rPr>
              <w:t>Поставщик </w:t>
            </w:r>
          </w:p>
        </w:tc>
      </w:tr>
      <w:tr>
        <w:trPr>
          <w:cantSplit/>
          <w:trHeight w:val="754" w:hRule="atLeast"/>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bottom"/>
          </w:tcPr>
          <w:p>
            <w:pPr>
              <w:spacing w:after="0"/>
              <w:wordWrap w:val="1"/>
              <w:jc w:val="left"/>
            </w:pPr>
            <w:r>
              <w:rPr>
                <w:rFonts w:ascii="Arial" w:hAnsi="Arial"/>
                <w:sz w:val="19"/>
                <w:szCs w:val="19"/>
              </w:rPr>
              <w:t>Юридический адрес:</w:t>
            </w:r>
          </w:p>
          <w:p>
            <w:pPr>
              <w:spacing w:after="0"/>
              <w:wordWrap w:val="1"/>
              <w:jc w:val="left"/>
            </w:pPr>
            <w:r>
              <w:rPr>
                <w:rFonts w:ascii="Arial" w:hAnsi="Arial"/>
                <w:sz w:val="19"/>
                <w:szCs w:val="19"/>
              </w:rPr>
              <w:t>Фактический адрес: .</w:t>
            </w:r>
          </w:p>
        </w:tc>
      </w:tr>
      <w:tr>
        <w:trPr>
          <w:cantSplit/>
          <w:trHeight w:val="711" w:hRule="atLeast"/>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bottom"/>
          </w:tcPr>
          <w:p>
            <w:pPr>
              <w:spacing w:after="0"/>
              <w:wordWrap w:val="1"/>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bottom"/>
          </w:tcPr>
          <w:p>
            <w:pPr>
              <w:spacing w:after="0"/>
              <w:wordWrap w:val="1"/>
              <w:jc w:val="left"/>
            </w:pPr>
          </w:p>
        </w:tc>
      </w:tr>
      <w:tr>
        <w:trPr>
          <w:cantSplit/>
          <w:trHeight w:val="159"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bottom"/>
          </w:tcPr>
          <w:p>
            <w:pPr>
              <w:spacing w:after="0"/>
              <w:wordWrap w:val="1"/>
              <w:jc w:val="left"/>
            </w:pPr>
            <w:r>
              <w:rPr>
                <w:rFonts w:ascii="Arial" w:hAnsi="Arial"/>
                <w:sz w:val="19"/>
                <w:szCs w:val="19"/>
              </w:rPr>
              <w:t>директор __________________________/     ______________/</w:t>
            </w:r>
          </w:p>
        </w:tc>
      </w:tr>
      <w:tr>
        <w:trPr>
          <w:cantSplit/>
          <w:trHeight w:val="72" w:hRule="atLeast"/>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top"/>
          </w:tcPr>
          <w:p>
            <w:pPr>
              <w:spacing w:after="0"/>
              <w:jc w:val="left"/>
            </w:pPr>
            <w:r>
              <w:rPr>
                <w:rFonts w:ascii="Arial" w:hAnsi="Arial"/>
                <w:sz w:val="19"/>
                <w:szCs w:val="19"/>
              </w:rPr>
              <w:t>13.2  </w:t>
            </w:r>
          </w:p>
        </w:tc>
        <w:tc>
          <w:tcPr>
            <w:tcW w:w="9600" w:type="dxa"/>
            <w:gridSpan w:val="11"/>
            <w:shd w:val="clear" w:color="auto" w:fill="auto"/>
            <w:textDirection w:val="lrTb"/>
            <w:vAlign w:val="bottom"/>
          </w:tcPr>
          <w:p>
            <w:pPr>
              <w:spacing w:after="0"/>
              <w:wordWrap w:val="1"/>
              <w:jc w:val="left"/>
            </w:pPr>
            <w:r>
              <w:rPr>
                <w:rFonts w:ascii="Arial" w:hAnsi="Arial"/>
                <w:b/>
                <w:sz w:val="19"/>
                <w:szCs w:val="19"/>
              </w:rPr>
              <w:t>Покупатель МДОБУ "НОВО-ДЕВЯТКИНСКИЙ ДСКВ №1"</w:t>
            </w: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bottom"/>
          </w:tcPr>
          <w:p>
            <w:pPr>
              <w:spacing w:after="0"/>
              <w:wordWrap w:val="1"/>
              <w:jc w:val="left"/>
            </w:pPr>
            <w:r>
              <w:rPr>
                <w:rFonts w:ascii="Arial" w:hAnsi="Arial"/>
                <w:sz w:val="19"/>
                <w:szCs w:val="19"/>
              </w:rPr>
              <w:t>Юридический адрес: 188673, Ленинградская область, р-н Всеволожский, д Новое Девяткино, ул Лесная, дом 8</w:t>
            </w:r>
          </w:p>
          <w:p>
            <w:pPr>
              <w:spacing w:after="0"/>
              <w:wordWrap w:val="1"/>
              <w:jc w:val="left"/>
            </w:pPr>
            <w:r>
              <w:rPr>
                <w:rFonts w:ascii="Arial" w:hAnsi="Arial"/>
                <w:sz w:val="19"/>
                <w:szCs w:val="19"/>
              </w:rPr>
              <w:t>Фактический адрес: 188673, Ленинградская область, р-н Всеволожский, д Новое Девяткино, ул Лесная, д. 8</w:t>
            </w: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bottom"/>
          </w:tcPr>
          <w:p>
            <w:pPr>
              <w:spacing w:after="0"/>
              <w:wordWrap w:val="1"/>
              <w:jc w:val="left"/>
            </w:pPr>
            <w:r>
              <w:rPr>
                <w:rFonts w:ascii="Arial" w:hAnsi="Arial"/>
                <w:sz w:val="19"/>
                <w:szCs w:val="19"/>
              </w:rPr>
              <w:t>ИНН 4703141732, КПП 470301001, казн.счет 03234643416120004500 в банке ОКЦ № 1 СЗГУ Банка России//УФК по Ленинградской области БИК 044030098 ЕКС 40102810745370000098</w:t>
            </w:r>
          </w:p>
        </w:tc>
      </w:tr>
      <w:tr>
        <w:trPr>
          <w:cantSplit/>
          <w:trHeight w:val="0" w:hRule="auto"/>
        </w:trPr>
        <w:tc>
          <w:tcPr>
            <w:tcW w:w="405"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900" w:type="dxa"/>
            <w:shd w:val="clear" w:color="auto" w:fill="auto"/>
            <w:textDirection w:val="lrTb"/>
            <w:vAlign w:val="bottom"/>
          </w:tcPr>
          <w:p>
            <w:pPr>
              <w:spacing w:after="0"/>
              <w:jc w:val="left"/>
            </w:pPr>
          </w:p>
        </w:tc>
        <w:tc>
          <w:tcPr>
            <w:tcW w:w="600" w:type="dxa"/>
            <w:shd w:val="clear" w:color="auto" w:fill="auto"/>
            <w:textDirection w:val="lrTb"/>
            <w:vAlign w:val="bottom"/>
          </w:tcPr>
          <w:p>
            <w:pPr>
              <w:spacing w:after="0"/>
              <w:jc w:val="left"/>
            </w:pPr>
          </w:p>
        </w:tc>
      </w:tr>
      <w:tr>
        <w:trPr>
          <w:cantSplit/>
          <w:trHeight w:val="0" w:hRule="auto"/>
        </w:trPr>
        <w:tc>
          <w:tcPr>
            <w:tcW w:w="405" w:type="dxa"/>
            <w:shd w:val="clear" w:color="auto" w:fill="auto"/>
            <w:textDirection w:val="lrTb"/>
            <w:vAlign w:val="bottom"/>
          </w:tcPr>
          <w:p>
            <w:pPr>
              <w:spacing w:after="0"/>
              <w:jc w:val="left"/>
            </w:pPr>
          </w:p>
        </w:tc>
        <w:tc>
          <w:tcPr>
            <w:tcW w:w="10200" w:type="dxa"/>
            <w:gridSpan w:val="12"/>
            <w:shd w:val="clear" w:color="auto" w:fill="auto"/>
            <w:textDirection w:val="lrTb"/>
            <w:vAlign w:val="bottom"/>
          </w:tcPr>
          <w:p>
            <w:pPr>
              <w:spacing w:after="0"/>
              <w:wordWrap w:val="1"/>
              <w:jc w:val="left"/>
            </w:pPr>
            <w:r>
              <w:rPr>
                <w:rFonts w:ascii="Arial" w:hAnsi="Arial"/>
                <w:sz w:val="19"/>
                <w:szCs w:val="19"/>
              </w:rPr>
              <w:t>Директор _______________/____________________________/ </w:t>
            </w:r>
          </w:p>
        </w:tc>
      </w:tr>
    </w:tbl>
    <w:sectPr>
      <w:footerReference w:type="default" r:id="rId8"/>
      <w:footerReference w:type="first" r:id="rId9"/>
      <w:pgSz w:w="11907" w:h="16839" w:orient="portrait"/>
      <w:pgMar w:top="567" w:right="567" w:bottom="567" w:left="567"/>
    </w:sectPr>
  </w:body>
</w:document>
</file>

<file path=word/footer1.xml><?xml version="1.0" encoding="utf-8"?>
<w:ftr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w:sdt>
    <w:sdtPr>
      <w:docPartObj>
        <w:docPartGallery w:val="Page Numbers (Top of Page)"/>
      </w:docPartObj>
    </w:sdtPr>
    <w:sdtContent>
      <w:p>
        <w:pPr>
          <w:pStyle w:val="a4"/>
        </w:pPr>
        <w:r>
          <w:rPr>
            <w:rFonts w:ascii="Arial" w:hAnsi="Arial"/>
            <w:sz w:val="15"/>
          </w:rPr>
          <w:t xml:space="preserve">КОНТРАКТ НА ПОСТАВКУ № ППСП-000175</w:t>
        </w:r>
        <w:r>
          <w:tab/>
        </w:r>
        <w:r>
          <w:ptab w:alignment="right" w:relativeTo="margin" w:leader="none"/>
        </w:r>
        <w:r>
          <w:rPr>
            <w:rFonts w:ascii="Arial" w:hAnsi="Arial"/>
            <w:sz w:val="15"/>
          </w:rPr>
          <w:t xml:space="preserve">Поставщик__________________ Покупатель______________________</w:t>
        </w:r>
      </w:p>
    </w:sdtContent>
  </w:sdt>
  <w:p>
    <w:pPr>
      <w:pStyle w:val="a4"/>
    </w:pPr>
  </w:p>
</w:ftr>
</file>

<file path=word/footer2.xml><?xml version="1.0" encoding="utf-8"?>
<w:ftr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w:sdt>
    <w:sdtPr>
      <w:docPartObj>
        <w:docPartGallery w:val="Page Numbers (Top of Page)"/>
      </w:docPartObj>
    </w:sdtPr>
    <w:sdtContent>
      <w:p>
        <w:pPr>
          <w:pStyle w:val="a4"/>
        </w:pPr>
        <w:r>
          <w:rPr>
            <w:rFonts w:ascii="Arial" w:hAnsi="Arial"/>
            <w:sz w:val="15"/>
          </w:rPr>
          <w:t xml:space="preserve">КОНТРАКТ НА ПОСТАВКУ № ППСП-000175</w:t>
        </w:r>
        <w:r>
          <w:tab/>
        </w:r>
        <w:r>
          <w:ptab w:alignment="right" w:relativeTo="margin" w:leader="none"/>
        </w:r>
        <w:r>
          <w:rPr>
            <w:rFonts w:ascii="Arial" w:hAnsi="Arial"/>
            <w:sz w:val="15"/>
          </w:rPr>
          <w:t xml:space="preserve">Поставщик__________________ Покупатель______________________</w:t>
        </w:r>
      </w:p>
    </w:sdtContent>
  </w:sdt>
  <w:p>
    <w:pPr>
      <w:pStyle w:val="a4"/>
    </w:pPr>
  </w:p>
</w:ftr>
</file>

<file path=word/settings.xml><?xml version="1.0" encoding="utf-8"?>
<w:settings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view w:val="normal"/>
  <w:zoom w:percent="100"/>
</w:settings>
</file>

<file path=word/styles.xml><?xml version="1.0" encoding="utf-8"?>
<w:styles xmlns:r="http://schemas.openxmlformats.org/officeDocument/2006/relationships" xmlns:w="http://schemas.openxmlformats.org/wordprocessingml/2006/main">
  <w:style w:type="table" w:styleId="TableStyle0">
    <w:name w:val="TableStyle0"/>
    <w:pPr>
      <w:spacing w:after="0" w:line="240" w:lineRule="auto"/>
    </w:pPr>
    <w:rPr>
      <w:rFonts w:ascii="Arial" w:hAnsi="Arial"/>
      <w:sz w:val="15"/>
    </w:rPr>
  </w:style>
  <w:style w:type="paragraph" w:styleId="rId8">
    <w:name w:val="footer"/>
  </w:style>
  <w:style w:type="paragraph" w:styleId="rId9">
    <w:name w:val="foote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8" Type="http://schemas.openxmlformats.org/officeDocument/2006/relationships/footer" Target="footer1.xml"/>
	<Relationship Id="rId9" Type="http://schemas.openxmlformats.org/officeDocument/2006/relationships/footer" Target="footer2.xml"/>
</Relationships>
</file>